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rPr>
          <w:sz w:val="62"/>
          <w:szCs w:val="62"/>
        </w:rPr>
      </w:pPr>
    </w:p>
    <w:p>
      <w:pPr>
        <w:pStyle w:val="Title"/>
        <w:jc w:val="center"/>
        <w:rPr>
          <w:sz w:val="62"/>
          <w:szCs w:val="62"/>
        </w:rPr>
      </w:pPr>
    </w:p>
    <w:p>
      <w:pPr>
        <w:pStyle w:val="Title"/>
        <w:jc w:val="center"/>
        <w:rPr>
          <w:sz w:val="62"/>
          <w:szCs w:val="62"/>
        </w:rPr>
      </w:pPr>
    </w:p>
    <w:p>
      <w:pPr>
        <w:pStyle w:val="Title"/>
        <w:jc w:val="center"/>
        <w:rPr>
          <w:sz w:val="62"/>
          <w:szCs w:val="62"/>
        </w:rPr>
      </w:pPr>
    </w:p>
    <w:p>
      <w:pPr>
        <w:pStyle w:val="Title"/>
        <w:jc w:val="center"/>
        <w:rPr>
          <w:sz w:val="62"/>
          <w:szCs w:val="62"/>
        </w:rPr>
      </w:pPr>
    </w:p>
    <w:p>
      <w:pPr>
        <w:pStyle w:val="Title"/>
        <w:jc w:val="center"/>
        <w:rPr>
          <w:sz w:val="62"/>
          <w:szCs w:val="62"/>
        </w:rPr>
      </w:pPr>
    </w:p>
    <w:p>
      <w:pPr>
        <w:pStyle w:val="Title"/>
        <w:jc w:val="center"/>
      </w:pPr>
      <w:r>
        <w:rPr>
          <w:sz w:val="62"/>
          <w:szCs w:val="62"/>
          <w:rtl w:val="0"/>
          <w:lang w:val="en-US"/>
        </w:rPr>
        <w:t>E-banking in Bangladesh challenging and prospect</w:t>
      </w:r>
      <w:r>
        <w:rPr>
          <w:rFonts w:ascii="Arial Unicode MS" w:cs="Arial Unicode MS" w:hAnsi="Arial Unicode MS" w:eastAsia="Arial Unicode MS"/>
          <w:b w:val="0"/>
          <w:bCs w:val="0"/>
          <w:i w:val="0"/>
          <w:iCs w:val="0"/>
          <w:sz w:val="62"/>
          <w:szCs w:val="62"/>
        </w:rPr>
        <w:br w:type="page"/>
      </w:r>
    </w:p>
    <w:p>
      <w:pPr>
        <w:pStyle w:val="Default"/>
        <w:suppressAutoHyphens w:val="1"/>
        <w:spacing w:before="0" w:after="281" w:line="240" w:lineRule="auto"/>
        <w:rPr>
          <w:rFonts w:ascii="Times Roman" w:cs="Times Roman" w:hAnsi="Times Roman" w:eastAsia="Times Roman"/>
          <w:b w:val="1"/>
          <w:bCs w:val="1"/>
          <w:sz w:val="40"/>
          <w:szCs w:val="40"/>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DECLARATION</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 xml:space="preserve">I, Nuna Afroz Reja, hereby declare that the thesis titled </w:t>
      </w:r>
      <w:r>
        <w:rPr>
          <w:rFonts w:ascii="Times Roman" w:hAnsi="Times Roman"/>
          <w:b w:val="1"/>
          <w:bCs w:val="1"/>
          <w:sz w:val="26"/>
          <w:szCs w:val="26"/>
          <w:rtl w:val="0"/>
          <w:lang w:val="en-US"/>
        </w:rPr>
        <w:t>"E-banking in Bangladesh: Challenges and Prospects"</w:t>
      </w:r>
      <w:r>
        <w:rPr>
          <w:rFonts w:ascii="Times Roman" w:hAnsi="Times Roman"/>
          <w:sz w:val="26"/>
          <w:szCs w:val="26"/>
          <w:rtl w:val="0"/>
          <w:lang w:val="en-US"/>
        </w:rPr>
        <w:t>submitted in partial fulfillment of the requirements for the degree of Master of Development Studies (MDS) at Jahangirnagar University, is my original work.</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I confirm that this research has not been submitted previously, in whole or in part, to any other university or institution for the award of any degree, diploma, or fellowship. All secondary sources, data, and literature used in this study have been duly acknowledged and correctly cited in accordance with academic standards.</w:t>
      </w:r>
    </w:p>
    <w:p>
      <w:pPr>
        <w:pStyle w:val="Default"/>
        <w:suppressAutoHyphens w:val="1"/>
        <w:spacing w:before="0" w:after="240"/>
        <w:jc w:val="both"/>
        <w:rPr>
          <w:rFonts w:ascii="Times Roman" w:cs="Times Roman" w:hAnsi="Times Roman" w:eastAsia="Times Roman"/>
          <w:sz w:val="26"/>
          <w:szCs w:val="26"/>
        </w:rPr>
      </w:pPr>
    </w:p>
    <w:p>
      <w:pPr>
        <w:pStyle w:val="Default"/>
        <w:suppressAutoHyphens w:val="1"/>
        <w:spacing w:before="0" w:after="240"/>
        <w:jc w:val="both"/>
        <w:rPr>
          <w:rFonts w:ascii="Times Roman" w:cs="Times Roman" w:hAnsi="Times Roman" w:eastAsia="Times Roman"/>
          <w:sz w:val="26"/>
          <w:szCs w:val="26"/>
        </w:rPr>
      </w:pPr>
    </w:p>
    <w:p>
      <w:pPr>
        <w:pStyle w:val="Default"/>
        <w:suppressAutoHyphens w:val="1"/>
        <w:spacing w:before="0" w:after="240"/>
        <w:jc w:val="both"/>
        <w:rPr>
          <w:rFonts w:ascii="Times Roman" w:cs="Times Roman" w:hAnsi="Times Roman" w:eastAsia="Times Roman"/>
          <w:b w:val="1"/>
          <w:bCs w:val="1"/>
          <w:sz w:val="26"/>
          <w:szCs w:val="26"/>
        </w:rPr>
      </w:pPr>
      <w:r>
        <w:rPr>
          <w:rFonts w:ascii="Times Roman" w:hAnsi="Times Roman"/>
          <w:b w:val="1"/>
          <w:bCs w:val="1"/>
          <w:sz w:val="26"/>
          <w:szCs w:val="26"/>
          <w:rtl w:val="0"/>
          <w:lang w:val="en-US"/>
        </w:rPr>
        <w:t xml:space="preserve">Signature: ___________________________ </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rPr>
        <w:t xml:space="preserve">Name: Nuna Afroz Reja </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de-DE"/>
        </w:rPr>
        <w:t xml:space="preserve">Student ID: 20250105 </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de-DE"/>
        </w:rPr>
        <w:t xml:space="preserve">Batch: MDS-23 </w:t>
      </w:r>
    </w:p>
    <w:p>
      <w:pPr>
        <w:pStyle w:val="Default"/>
        <w:suppressAutoHyphens w:val="1"/>
        <w:spacing w:before="0" w:after="240" w:line="240" w:lineRule="auto"/>
        <w:jc w:val="both"/>
        <w:rPr>
          <w:rFonts w:ascii="Times Roman" w:cs="Times Roman" w:hAnsi="Times Roman" w:eastAsia="Times Roman"/>
          <w:sz w:val="26"/>
          <w:szCs w:val="26"/>
        </w:rPr>
      </w:pPr>
    </w:p>
    <w:p>
      <w:pPr>
        <w:pStyle w:val="Default"/>
        <w:suppressAutoHyphens w:val="1"/>
        <w:spacing w:before="0" w:after="240" w:line="240" w:lineRule="auto"/>
        <w:ind w:left="720"/>
        <w:jc w:val="both"/>
      </w:pPr>
      <w:r>
        <w:rPr>
          <w:rFonts w:ascii="Arial Unicode MS" w:cs="Arial Unicode MS" w:hAnsi="Arial Unicode MS" w:eastAsia="Arial Unicode MS"/>
          <w:b w:val="0"/>
          <w:bCs w:val="0"/>
          <w:i w:val="0"/>
          <w:iCs w:val="0"/>
          <w:sz w:val="26"/>
          <w:szCs w:val="26"/>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CERTIFICATE OF APPROVAL</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 xml:space="preserve">This is to certify that the thesis titled </w:t>
      </w:r>
      <w:r>
        <w:rPr>
          <w:rFonts w:ascii="Times Roman" w:hAnsi="Times Roman"/>
          <w:b w:val="1"/>
          <w:bCs w:val="1"/>
          <w:sz w:val="26"/>
          <w:szCs w:val="26"/>
          <w:rtl w:val="0"/>
          <w:lang w:val="en-US"/>
        </w:rPr>
        <w:t>"E-banking in Bangladesh: Challenges and Prospects"</w:t>
      </w:r>
      <w:r>
        <w:rPr>
          <w:rFonts w:ascii="Times Roman" w:hAnsi="Times Roman"/>
          <w:sz w:val="26"/>
          <w:szCs w:val="26"/>
          <w:rtl w:val="0"/>
          <w:lang w:val="en-US"/>
        </w:rPr>
        <w:t xml:space="preserve">, submitted by </w:t>
      </w:r>
      <w:r>
        <w:rPr>
          <w:rFonts w:ascii="Times Roman" w:hAnsi="Times Roman"/>
          <w:b w:val="1"/>
          <w:bCs w:val="1"/>
          <w:sz w:val="26"/>
          <w:szCs w:val="26"/>
          <w:rtl w:val="0"/>
        </w:rPr>
        <w:t>Nuna Afroz Reja</w:t>
      </w:r>
      <w:r>
        <w:rPr>
          <w:rFonts w:ascii="Times Roman" w:hAnsi="Times Roman"/>
          <w:sz w:val="26"/>
          <w:szCs w:val="26"/>
          <w:rtl w:val="0"/>
          <w:lang w:val="en-US"/>
        </w:rPr>
        <w:t xml:space="preserve"> (Student ID: 20250105, Batch: MDS-23), has been completed under my direct supervision. This thesis represents a rigorous, original academic investigation and meets the standards required for the degree of Master of Development Studies (MDS) at Jahangirnagar University.</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To the best of my knowledge, the findings, interpretations, and conclusions expressed in this document are those of the author and do not breach any copyright or academic integrity guidelines. I approve this thesis for final evaluation and submission.</w:t>
      </w:r>
    </w:p>
    <w:p>
      <w:pPr>
        <w:pStyle w:val="Default"/>
        <w:suppressAutoHyphens w:val="1"/>
        <w:spacing w:before="0" w:after="240"/>
        <w:jc w:val="both"/>
        <w:rPr>
          <w:rFonts w:ascii="Times Roman" w:cs="Times Roman" w:hAnsi="Times Roman" w:eastAsia="Times Roman"/>
          <w:sz w:val="26"/>
          <w:szCs w:val="26"/>
        </w:rPr>
      </w:pPr>
    </w:p>
    <w:p>
      <w:pPr>
        <w:pStyle w:val="Default"/>
        <w:suppressAutoHyphens w:val="1"/>
        <w:spacing w:before="0" w:after="240"/>
        <w:jc w:val="both"/>
        <w:rPr>
          <w:rFonts w:ascii="Times Roman" w:cs="Times Roman" w:hAnsi="Times Roman" w:eastAsia="Times Roman"/>
          <w:sz w:val="26"/>
          <w:szCs w:val="26"/>
        </w:rPr>
      </w:pPr>
    </w:p>
    <w:p>
      <w:pPr>
        <w:pStyle w:val="Default"/>
        <w:suppressAutoHyphens w:val="1"/>
        <w:spacing w:before="0" w:after="240"/>
        <w:jc w:val="both"/>
        <w:rPr>
          <w:rFonts w:ascii="Times Roman" w:cs="Times Roman" w:hAnsi="Times Roman" w:eastAsia="Times Roman"/>
          <w:sz w:val="26"/>
          <w:szCs w:val="26"/>
        </w:rPr>
      </w:pPr>
      <w:r>
        <w:rPr>
          <w:rFonts w:ascii="Times Roman" w:hAnsi="Times Roman"/>
          <w:b w:val="1"/>
          <w:bCs w:val="1"/>
          <w:sz w:val="26"/>
          <w:szCs w:val="26"/>
          <w:rtl w:val="0"/>
          <w:lang w:val="en-US"/>
        </w:rPr>
        <w:t>Signature:</w:t>
      </w:r>
      <w:r>
        <w:rPr>
          <w:rFonts w:ascii="Times Roman" w:hAnsi="Times Roman"/>
          <w:sz w:val="26"/>
          <w:szCs w:val="26"/>
          <w:rtl w:val="0"/>
          <w:lang w:val="en-US"/>
        </w:rPr>
        <w:t xml:space="preserve"> ___________________________ </w:t>
      </w:r>
    </w:p>
    <w:p>
      <w:pPr>
        <w:pStyle w:val="Default"/>
        <w:suppressAutoHyphens w:val="1"/>
        <w:spacing w:before="0" w:after="240"/>
        <w:jc w:val="both"/>
        <w:rPr>
          <w:rFonts w:ascii="Times Roman" w:cs="Times Roman" w:hAnsi="Times Roman" w:eastAsia="Times Roman"/>
          <w:sz w:val="26"/>
          <w:szCs w:val="26"/>
        </w:rPr>
      </w:pPr>
      <w:r>
        <w:rPr>
          <w:rFonts w:ascii="Times Roman" w:hAnsi="Times Roman"/>
          <w:b w:val="1"/>
          <w:bCs w:val="1"/>
          <w:sz w:val="26"/>
          <w:szCs w:val="26"/>
          <w:rtl w:val="0"/>
          <w:lang w:val="de-DE"/>
        </w:rPr>
        <w:t>Dr. Mohammad Jahangir Alam</w:t>
      </w:r>
      <w:r>
        <w:rPr>
          <w:rFonts w:ascii="Times Roman" w:hAnsi="Times Roman"/>
          <w:sz w:val="26"/>
          <w:szCs w:val="26"/>
          <w:rtl w:val="0"/>
        </w:rPr>
        <w:t xml:space="preserve"> </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it-IT"/>
        </w:rPr>
        <w:t xml:space="preserve">Professor </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 xml:space="preserve">Department of Economics </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de-DE"/>
        </w:rPr>
        <w:t xml:space="preserve">Jahangirnagar University </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ind w:left="720"/>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de-DE"/>
        </w:rPr>
        <w:t>ACKNOWLEDGEMENTS</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The completion of this thesis would not have been possible without the support, guidance, and encouragement of many individuals and institutions.</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 xml:space="preserve">First and foremost, I express my deepest gratitude to my supervisor, </w:t>
      </w:r>
      <w:r>
        <w:rPr>
          <w:rFonts w:ascii="Times Roman" w:hAnsi="Times Roman"/>
          <w:b w:val="1"/>
          <w:bCs w:val="1"/>
          <w:sz w:val="26"/>
          <w:szCs w:val="26"/>
          <w:rtl w:val="0"/>
          <w:lang w:val="de-DE"/>
        </w:rPr>
        <w:t>Dr. Mohammad Jahangir Alam</w:t>
      </w:r>
      <w:r>
        <w:rPr>
          <w:rFonts w:ascii="Times Roman" w:hAnsi="Times Roman"/>
          <w:sz w:val="26"/>
          <w:szCs w:val="26"/>
          <w:rtl w:val="0"/>
          <w:lang w:val="en-US"/>
        </w:rPr>
        <w:t>, Professor, Department of Economics, Jahangirnagar University. His profound academic insights, patient mentorship, and constructive feedback were instrumental in shaping this research from its conceptualization to its final realization.</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I am deeply thankful to the faculty and administration of the Master of Development Studies program and the Department of Economics at Jahangirnagar University for providing a rigorous and nurturing academic environment.</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My sincere appreciation extends to the 592 respondents and the 28 key informants</w:t>
      </w:r>
      <w:r>
        <w:rPr>
          <w:rFonts w:ascii="Times Roman" w:hAnsi="Times Roman" w:hint="default"/>
          <w:sz w:val="26"/>
          <w:szCs w:val="26"/>
          <w:rtl w:val="0"/>
          <w:lang w:val="en-US"/>
        </w:rPr>
        <w:t>—</w:t>
      </w:r>
      <w:r>
        <w:rPr>
          <w:rFonts w:ascii="Times Roman" w:hAnsi="Times Roman"/>
          <w:sz w:val="26"/>
          <w:szCs w:val="26"/>
          <w:rtl w:val="0"/>
          <w:lang w:val="en-US"/>
        </w:rPr>
        <w:t>including officials from Bangladesh Bank, commercial bank executives, MFS providers, and rural agents</w:t>
      </w:r>
      <w:r>
        <w:rPr>
          <w:rFonts w:ascii="Times Roman" w:hAnsi="Times Roman" w:hint="default"/>
          <w:sz w:val="26"/>
          <w:szCs w:val="26"/>
          <w:rtl w:val="0"/>
          <w:lang w:val="en-US"/>
        </w:rPr>
        <w:t>—</w:t>
      </w:r>
      <w:r>
        <w:rPr>
          <w:rFonts w:ascii="Times Roman" w:hAnsi="Times Roman"/>
          <w:sz w:val="26"/>
          <w:szCs w:val="26"/>
          <w:rtl w:val="0"/>
          <w:lang w:val="en-US"/>
        </w:rPr>
        <w:t>who generously shared their time and invaluable perspectives to enrich the empirical foundation of this study.</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Finally, I owe an immeasurable debt of gratitude to my family and friends for their endless patience, emotional support, and encouragement during the demanding months of this research.</w:t>
      </w:r>
    </w:p>
    <w:p>
      <w:pPr>
        <w:pStyle w:val="Default"/>
        <w:suppressAutoHyphens w:val="1"/>
        <w:spacing w:before="0" w:after="240" w:line="240" w:lineRule="auto"/>
        <w:ind w:left="720"/>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de-DE"/>
        </w:rPr>
        <w:t>ABSTRACT</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This thesis investigates the challenges and prospects of e-banking and Mobile Financial Services (MFS) in Bangladesh, evaluating the sector</w:t>
      </w:r>
      <w:r>
        <w:rPr>
          <w:rFonts w:ascii="Times Roman" w:hAnsi="Times Roman" w:hint="default"/>
          <w:sz w:val="26"/>
          <w:szCs w:val="26"/>
          <w:rtl w:val="1"/>
        </w:rPr>
        <w:t>’</w:t>
      </w:r>
      <w:r>
        <w:rPr>
          <w:rFonts w:ascii="Times Roman" w:hAnsi="Times Roman"/>
          <w:sz w:val="26"/>
          <w:szCs w:val="26"/>
          <w:rtl w:val="0"/>
          <w:lang w:val="en-US"/>
        </w:rPr>
        <w:t>s trajectory toward the Smart Bangladesh 2041 vision. Despite extraordinary quantitative growth</w:t>
      </w:r>
      <w:r>
        <w:rPr>
          <w:rFonts w:ascii="Times Roman" w:hAnsi="Times Roman" w:hint="default"/>
          <w:sz w:val="26"/>
          <w:szCs w:val="26"/>
          <w:rtl w:val="0"/>
          <w:lang w:val="en-US"/>
        </w:rPr>
        <w:t>—</w:t>
      </w:r>
      <w:r>
        <w:rPr>
          <w:rFonts w:ascii="Times Roman" w:hAnsi="Times Roman"/>
          <w:sz w:val="26"/>
          <w:szCs w:val="26"/>
          <w:rtl w:val="0"/>
          <w:lang w:val="en-US"/>
        </w:rPr>
        <w:t>reaching 239.3 million registered MFS accounts and handling Tk 17.37 lakh crore in 2024</w:t>
      </w:r>
      <w:r>
        <w:rPr>
          <w:rFonts w:ascii="Times Roman" w:hAnsi="Times Roman" w:hint="default"/>
          <w:sz w:val="26"/>
          <w:szCs w:val="26"/>
          <w:rtl w:val="0"/>
          <w:lang w:val="en-US"/>
        </w:rPr>
        <w:t>—</w:t>
      </w:r>
      <w:r>
        <w:rPr>
          <w:rFonts w:ascii="Times Roman" w:hAnsi="Times Roman"/>
          <w:sz w:val="26"/>
          <w:szCs w:val="26"/>
          <w:rtl w:val="0"/>
          <w:lang w:val="en-US"/>
        </w:rPr>
        <w:t>the transition to a cash-light economy remains constrained by persistent security vulnerabilities, trust deficits, regulatory enforcement gaps, and significant digital divides. Employing a pragmatist mixed-methods sequential explanatory design, this study extends the Unified Theory of Acceptance and Use of Technology 2 (UTAUT2) by integrating institutional theory and digital divide variables. Primary quantitative data from 592 active users were analyzed using Partial Least Squares Structural Equation Modeling (PLS-SEM), triangulated with reflexive thematic analysis of 28 expert interviews.</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The structural model demonstrates substantial explanatory power (R</w:t>
      </w:r>
      <w:r>
        <w:rPr>
          <w:rFonts w:ascii="Times Roman" w:hAnsi="Times Roman" w:hint="default"/>
          <w:sz w:val="26"/>
          <w:szCs w:val="26"/>
          <w:rtl w:val="0"/>
        </w:rPr>
        <w:t xml:space="preserve">² </w:t>
      </w:r>
      <w:r>
        <w:rPr>
          <w:rFonts w:ascii="Times Roman" w:hAnsi="Times Roman"/>
          <w:sz w:val="26"/>
          <w:szCs w:val="26"/>
          <w:rtl w:val="0"/>
          <w:lang w:val="en-US"/>
        </w:rPr>
        <w:t>= 0.68 for Behavioral Intention). Performance Expectancy (</w:t>
      </w:r>
      <w:r>
        <w:rPr>
          <w:rFonts w:ascii="Times Roman" w:hAnsi="Times Roman" w:hint="default"/>
          <w:sz w:val="26"/>
          <w:szCs w:val="26"/>
          <w:rtl w:val="0"/>
        </w:rPr>
        <w:t xml:space="preserve">β </w:t>
      </w:r>
      <w:r>
        <w:rPr>
          <w:rFonts w:ascii="Times Roman" w:hAnsi="Times Roman"/>
          <w:sz w:val="26"/>
          <w:szCs w:val="26"/>
          <w:rtl w:val="0"/>
          <w:lang w:val="en-US"/>
        </w:rPr>
        <w:t>= 0.41) and Trust Restoration (</w:t>
      </w:r>
      <w:r>
        <w:rPr>
          <w:rFonts w:ascii="Times Roman" w:hAnsi="Times Roman" w:hint="default"/>
          <w:sz w:val="26"/>
          <w:szCs w:val="26"/>
          <w:rtl w:val="0"/>
        </w:rPr>
        <w:t xml:space="preserve">β </w:t>
      </w:r>
      <w:r>
        <w:rPr>
          <w:rFonts w:ascii="Times Roman" w:hAnsi="Times Roman"/>
          <w:sz w:val="26"/>
          <w:szCs w:val="26"/>
          <w:rtl w:val="0"/>
          <w:lang w:val="en-US"/>
        </w:rPr>
        <w:t>= 0.37) emerged as the dominant predictors of adoption. Crucially, Governance Perception significantly moderates the trust-intention pathway, indicating that institutional trust is a dynamically recoverable resource dependent on visible regulatory action. Multi-group analysis revealed stark divides: agent network quality is a significantly stronger determinant for rural users, while post-fraud risk perception disproportionately deters female users. Importance-Performance Analysis (IPA) prioritized security and cyber risks as the most critical systemic vulnerabilities.</w:t>
      </w:r>
    </w:p>
    <w:p>
      <w:pPr>
        <w:pStyle w:val="Default"/>
        <w:suppressAutoHyphens w:val="1"/>
        <w:spacing w:before="0" w:after="240"/>
        <w:jc w:val="both"/>
        <w:rPr>
          <w:rFonts w:ascii="Times Roman" w:cs="Times Roman" w:hAnsi="Times Roman" w:eastAsia="Times Roman"/>
          <w:sz w:val="26"/>
          <w:szCs w:val="26"/>
        </w:rPr>
      </w:pPr>
      <w:r>
        <w:rPr>
          <w:rFonts w:ascii="Times Roman" w:hAnsi="Times Roman"/>
          <w:sz w:val="26"/>
          <w:szCs w:val="26"/>
          <w:rtl w:val="0"/>
          <w:lang w:val="en-US"/>
        </w:rPr>
        <w:t>To convert high formal inclusion into active, trust-based usage, this study proposes a phased policy roadmap. Short-term recommendations include mandating 72-hour public fraud redressal protocols, national agent certification, and mass digital literacy campaigns targeting rural women. Medium-to-long-term strategies advocate for deeper interoperability via the National Payment Switch Bangladesh (NPSB), AI-driven real-time transaction monitoring by the Bangladesh Financial Intelligence Unit (BFIU), and the phased rollout of a wholesale Central Bank Digital Currency (CBDC). By implementing these evidence-based interventions to close institutional voids and structural inequalities, Bangladesh can realistically achieve its optimistic projection of 92% active digital inclusion and a less than 20% cash-dependent retail economy by 2041.</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pPr>
      <w:r>
        <w:rPr>
          <w:rFonts w:ascii="Arial Unicode MS" w:cs="Arial Unicode MS" w:hAnsi="Arial Unicode MS" w:eastAsia="Arial Unicode MS"/>
          <w:b w:val="0"/>
          <w:bCs w:val="0"/>
          <w:i w:val="0"/>
          <w:iCs w:val="0"/>
          <w:outline w:val="0"/>
          <w:color w:val="808080"/>
          <w14:textFill>
            <w14:solidFill>
              <w14:srgbClr w14:val="808080"/>
            </w14:solidFill>
          </w14:textFill>
        </w:rPr>
        <w:br w:type="page"/>
      </w:r>
    </w:p>
    <w:p>
      <w:pPr>
        <w:pStyle w:val="Default"/>
        <w:suppressAutoHyphens w:val="1"/>
        <w:spacing w:before="0" w:after="240" w:line="240" w:lineRule="auto"/>
        <w:ind w:left="720"/>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 xml:space="preserve">Table of Contents </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de-DE"/>
        </w:rPr>
        <w:t>FRONT MATTER</w:t>
      </w:r>
    </w:p>
    <w:p>
      <w:pPr>
        <w:pStyle w:val="Default"/>
        <w:numPr>
          <w:ilvl w:val="0"/>
          <w:numId w:val="2"/>
        </w:numPr>
        <w:suppressAutoHyphens w:val="1"/>
        <w:spacing w:before="100" w:line="240" w:lineRule="auto"/>
        <w:jc w:val="left"/>
        <w:rPr>
          <w:rFonts w:ascii="Times Roman" w:hAnsi="Times Roman"/>
        </w:rPr>
      </w:pPr>
      <w:r>
        <w:rPr>
          <w:rFonts w:ascii="Times Roman" w:hAnsi="Times Roman"/>
          <w:rtl w:val="0"/>
        </w:rPr>
        <w:t>Declaration</w:t>
      </w:r>
    </w:p>
    <w:p>
      <w:pPr>
        <w:pStyle w:val="Default"/>
        <w:numPr>
          <w:ilvl w:val="0"/>
          <w:numId w:val="2"/>
        </w:numPr>
        <w:suppressAutoHyphens w:val="1"/>
        <w:spacing w:before="100" w:line="240" w:lineRule="auto"/>
        <w:jc w:val="left"/>
        <w:rPr>
          <w:rFonts w:ascii="Times Roman" w:hAnsi="Times Roman"/>
          <w:lang w:val="en-US"/>
        </w:rPr>
      </w:pPr>
      <w:r>
        <w:rPr>
          <w:rFonts w:ascii="Times Roman" w:hAnsi="Times Roman"/>
          <w:rtl w:val="0"/>
          <w:lang w:val="en-US"/>
        </w:rPr>
        <w:t>Certificate of Approval</w:t>
      </w:r>
    </w:p>
    <w:p>
      <w:pPr>
        <w:pStyle w:val="Default"/>
        <w:numPr>
          <w:ilvl w:val="0"/>
          <w:numId w:val="2"/>
        </w:numPr>
        <w:suppressAutoHyphens w:val="1"/>
        <w:spacing w:before="100" w:line="240" w:lineRule="auto"/>
        <w:jc w:val="left"/>
        <w:rPr>
          <w:rFonts w:ascii="Times Roman" w:hAnsi="Times Roman"/>
          <w:lang w:val="en-US"/>
        </w:rPr>
      </w:pPr>
      <w:r>
        <w:rPr>
          <w:rFonts w:ascii="Times Roman" w:hAnsi="Times Roman"/>
          <w:rtl w:val="0"/>
          <w:lang w:val="en-US"/>
        </w:rPr>
        <w:t xml:space="preserve">Dedication </w:t>
      </w:r>
    </w:p>
    <w:p>
      <w:pPr>
        <w:pStyle w:val="Default"/>
        <w:numPr>
          <w:ilvl w:val="0"/>
          <w:numId w:val="2"/>
        </w:numPr>
        <w:suppressAutoHyphens w:val="1"/>
        <w:spacing w:before="100" w:line="240" w:lineRule="auto"/>
        <w:jc w:val="left"/>
        <w:rPr>
          <w:rFonts w:ascii="Times Roman" w:hAnsi="Times Roman"/>
          <w:lang w:val="en-US"/>
        </w:rPr>
      </w:pPr>
      <w:r>
        <w:rPr>
          <w:rFonts w:ascii="Times Roman" w:hAnsi="Times Roman"/>
          <w:rtl w:val="0"/>
          <w:lang w:val="en-US"/>
        </w:rPr>
        <w:t>Acknowledgements</w:t>
      </w:r>
    </w:p>
    <w:p>
      <w:pPr>
        <w:pStyle w:val="Default"/>
        <w:numPr>
          <w:ilvl w:val="0"/>
          <w:numId w:val="2"/>
        </w:numPr>
        <w:suppressAutoHyphens w:val="1"/>
        <w:spacing w:before="100" w:line="240" w:lineRule="auto"/>
        <w:jc w:val="left"/>
        <w:rPr>
          <w:rFonts w:ascii="Times Roman" w:hAnsi="Times Roman"/>
          <w:lang w:val="de-DE"/>
        </w:rPr>
      </w:pPr>
      <w:r>
        <w:rPr>
          <w:rFonts w:ascii="Times Roman" w:hAnsi="Times Roman"/>
          <w:rtl w:val="0"/>
          <w:lang w:val="de-DE"/>
        </w:rPr>
        <w:t>Abstract</w:t>
      </w:r>
    </w:p>
    <w:p>
      <w:pPr>
        <w:pStyle w:val="Default"/>
        <w:numPr>
          <w:ilvl w:val="0"/>
          <w:numId w:val="2"/>
        </w:numPr>
        <w:suppressAutoHyphens w:val="1"/>
        <w:spacing w:before="100" w:line="240" w:lineRule="auto"/>
        <w:jc w:val="left"/>
        <w:rPr>
          <w:rFonts w:ascii="Times Roman" w:hAnsi="Times Roman"/>
          <w:lang w:val="en-US"/>
        </w:rPr>
      </w:pPr>
      <w:r>
        <w:rPr>
          <w:rFonts w:ascii="Times Roman" w:hAnsi="Times Roman"/>
          <w:rtl w:val="0"/>
          <w:lang w:val="en-US"/>
        </w:rPr>
        <w:t>List of Figures</w:t>
      </w:r>
    </w:p>
    <w:p>
      <w:pPr>
        <w:pStyle w:val="Default"/>
        <w:numPr>
          <w:ilvl w:val="0"/>
          <w:numId w:val="2"/>
        </w:numPr>
        <w:suppressAutoHyphens w:val="1"/>
        <w:spacing w:before="100" w:line="240" w:lineRule="auto"/>
        <w:jc w:val="left"/>
        <w:rPr>
          <w:rFonts w:ascii="Times Roman" w:hAnsi="Times Roman"/>
          <w:lang w:val="en-US"/>
        </w:rPr>
      </w:pPr>
      <w:r>
        <w:rPr>
          <w:rFonts w:ascii="Times Roman" w:hAnsi="Times Roman"/>
          <w:rtl w:val="0"/>
          <w:lang w:val="en-US"/>
        </w:rPr>
        <w:t>List of Abbreviations and Acronyms</w:t>
      </w:r>
    </w:p>
    <w:p>
      <w:pPr>
        <w:pStyle w:val="Default"/>
        <w:numPr>
          <w:ilvl w:val="0"/>
          <w:numId w:val="2"/>
        </w:numPr>
        <w:suppressAutoHyphens w:val="1"/>
        <w:spacing w:before="100" w:line="240" w:lineRule="auto"/>
        <w:jc w:val="left"/>
        <w:rPr>
          <w:rFonts w:ascii="Times Roman" w:hAnsi="Times Roman"/>
          <w:lang w:val="en-US"/>
        </w:rPr>
      </w:pPr>
      <w:r>
        <w:rPr>
          <w:rFonts w:ascii="Times Roman" w:hAnsi="Times Roman"/>
          <w:rtl w:val="0"/>
          <w:lang w:val="en-US"/>
        </w:rPr>
        <w:t>List of Appendices</w:t>
      </w:r>
    </w:p>
    <w:p>
      <w:pPr>
        <w:pStyle w:val="Default"/>
        <w:suppressAutoHyphens w:val="1"/>
        <w:spacing w:before="100" w:line="240" w:lineRule="auto"/>
        <w:jc w:val="left"/>
        <w:rPr>
          <w:rFonts w:ascii="Times Roman" w:cs="Times Roman" w:hAnsi="Times Roman" w:eastAsia="Times Roman"/>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de-DE"/>
        </w:rPr>
        <w:t>CHAPTER 1: INTRODUCTION</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1.1 Background of the Study: Digital Transformation of Bangladesh</w:t>
      </w:r>
      <w:r>
        <w:rPr>
          <w:rFonts w:ascii="Times Roman" w:hAnsi="Times Roman" w:hint="default"/>
          <w:rtl w:val="1"/>
        </w:rPr>
        <w:t>’</w:t>
      </w:r>
      <w:r>
        <w:rPr>
          <w:rFonts w:ascii="Times Roman" w:hAnsi="Times Roman"/>
          <w:rtl w:val="0"/>
          <w:lang w:val="pt-PT"/>
        </w:rPr>
        <w:t>s Financial Sector (2010</w:t>
      </w:r>
      <w:r>
        <w:rPr>
          <w:rFonts w:ascii="Times Roman" w:hAnsi="Times Roman" w:hint="default"/>
          <w:rtl w:val="0"/>
        </w:rPr>
        <w:t>–</w:t>
      </w:r>
      <w:r>
        <w:rPr>
          <w:rFonts w:ascii="Times Roman" w:hAnsi="Times Roman"/>
          <w:rtl w:val="0"/>
        </w:rPr>
        <w:t xml:space="preserve">2026) </w:t>
      </w:r>
      <w:r>
        <w:rPr>
          <w:rFonts w:ascii="Times Roman" w:hAnsi="Times Roman" w:hint="default"/>
          <w:rtl w:val="0"/>
        </w:rPr>
        <w:t xml:space="preserve">– </w:t>
      </w:r>
      <w:r>
        <w:rPr>
          <w:rFonts w:ascii="Times Roman" w:hAnsi="Times Roman"/>
          <w:rtl w:val="0"/>
          <w:lang w:val="en-US"/>
        </w:rPr>
        <w:t>From Mobile Money to Digital Banks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1.2 Statement of the Problem: Persistent Challenges Amidst Rapid Growth </w:t>
      </w:r>
      <w:r>
        <w:rPr>
          <w:rFonts w:ascii="Times Roman" w:hAnsi="Times Roman" w:hint="default"/>
          <w:rtl w:val="0"/>
        </w:rPr>
        <w:t xml:space="preserve">– </w:t>
      </w:r>
      <w:r>
        <w:rPr>
          <w:rFonts w:ascii="Times Roman" w:hAnsi="Times Roman"/>
          <w:rtl w:val="0"/>
          <w:lang w:val="en-US"/>
        </w:rPr>
        <w:t>Security Incidents, Trust Erosion, Regulatory Capacity Gaps, and Uneven Inclusion</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1.3 Research Objectives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1.3.1 General Objective</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1.3.2 Specific Objectives (Adoption Determinants, Challenge Prioritization &amp; Root-Cause Mapping, Prospect Scenarios to 2030/2041, Policy &amp; Governance Evaluation)</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1.4 Research Questions and Hypotheses (UTAUT2 Extended Model)</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1.4.1 Core UTAUT2 Hypotheses (Performance Expectancy, Effort Expectancy, Social Influence, Facilitating Conditions, Hedonic Motivation, Price Value, Habit)</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1.4.2 Bangladesh-Specific Moderators &amp; Mediators (Trust Post-Fraud Incidents, Perceived Governance Quality, Digital Literacy, Regulatory Enforcement, Agent Network Quality, Gender/Rural Divides)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1.5 Significance of the Study (Academic/Theoretical, Policy/Regulatory, Managerial/Industry, Societal/Inclusion &amp; SDG Contributions)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1.6 Scope and Delimitations (Geographic: 8 Divisions; Temporal: 2010</w:t>
      </w:r>
      <w:r>
        <w:rPr>
          <w:rFonts w:ascii="Times Roman" w:hAnsi="Times Roman" w:hint="default"/>
          <w:rtl w:val="0"/>
        </w:rPr>
        <w:t>–</w:t>
      </w:r>
      <w:r>
        <w:rPr>
          <w:rFonts w:ascii="Times Roman" w:hAnsi="Times Roman"/>
          <w:rtl w:val="0"/>
          <w:lang w:val="en-US"/>
        </w:rPr>
        <w:t>2026 with 2025</w:t>
      </w:r>
      <w:r>
        <w:rPr>
          <w:rFonts w:ascii="Times Roman" w:hAnsi="Times Roman" w:hint="default"/>
          <w:rtl w:val="0"/>
        </w:rPr>
        <w:t>–</w:t>
      </w:r>
      <w:r>
        <w:rPr>
          <w:rFonts w:ascii="Times Roman" w:hAnsi="Times Roman"/>
          <w:rtl w:val="0"/>
          <w:lang w:val="en-US"/>
        </w:rPr>
        <w:t>2026 primary data; Service Types: Internet Banking, MFS, Cards/QR/POS, Emerging Digital Lending &amp; Open Banking)</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1.7 Limitations of the Study</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1.8 Organization of the Thesis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1.9 Preliminary Conceptual Framework Overview (Visual + Narrative Link to Chapter 2)</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CHAPTER 2: THEORETICAL AND CONCEPTUAL FRAMEWORK</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2.1 Conceptual Definitions: E-banking, Digital Banking, Mobile Financial Services (MFS), Fintech, Agent Banking, Open Finance, CBDC</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2.2 Evolution of Electronic Banking: Global (Nordics, Singapore, Kenya M-Pesa) and Regional (India UPI, Pakistan, Nepal, Indonesia) Perspectives </w:t>
      </w:r>
      <w:r>
        <w:rPr>
          <w:rFonts w:ascii="Times Roman" w:hAnsi="Times Roman" w:hint="default"/>
          <w:rtl w:val="0"/>
        </w:rPr>
        <w:t xml:space="preserve">– </w:t>
      </w:r>
      <w:r>
        <w:rPr>
          <w:rFonts w:ascii="Times Roman" w:hAnsi="Times Roman"/>
          <w:rtl w:val="0"/>
          <w:lang w:val="da-DK"/>
        </w:rPr>
        <w:t>Lessons for Bangladesh</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2.3 Theoretical Underpinnings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2.3.1 Technology Acceptance Model (TAM) and Extensions (TAM2, TAM3)</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 xml:space="preserve">2.3.2 Unified Theory of Acceptance and Use of Technology (UTAUT &amp; UTAUT2) </w:t>
      </w:r>
      <w:r>
        <w:rPr>
          <w:rFonts w:ascii="Times Roman" w:hAnsi="Times Roman" w:hint="default"/>
          <w:rtl w:val="0"/>
        </w:rPr>
        <w:t xml:space="preserve">– </w:t>
      </w:r>
      <w:r>
        <w:rPr>
          <w:rFonts w:ascii="Times Roman" w:hAnsi="Times Roman"/>
          <w:rtl w:val="0"/>
          <w:lang w:val="en-US"/>
        </w:rPr>
        <w:t>Core Constructs and Critiques in Emerging Markets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 xml:space="preserve">2.3.3 Diffusion of Innovations Theory (Rogers) and Institutional Theory (North, Scott, DiMaggio &amp; Powell) </w:t>
      </w:r>
      <w:r>
        <w:rPr>
          <w:rFonts w:ascii="Times Roman" w:hAnsi="Times Roman" w:hint="default"/>
          <w:rtl w:val="0"/>
        </w:rPr>
        <w:t xml:space="preserve">– </w:t>
      </w:r>
      <w:r>
        <w:rPr>
          <w:rFonts w:ascii="Times Roman" w:hAnsi="Times Roman"/>
          <w:rtl w:val="0"/>
          <w:lang w:val="en-US"/>
        </w:rPr>
        <w:t>Regulatory, Normative, and Cognitive Pillars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2.3.4 Perceived Risk, Trust Restoration, and Governance Frameworks in Emerging Markets (Post-Fraud, Institutional Voids)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2.4 Proposed Integrated Conceptual Model for Bangladesh Context (UTAUT2 + Institutional/Governance Moderators + Digital Divide Variables)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2.5 Operationalization of Variables and Measurement Scales (Adapted + New Bangladesh-Specific Items)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2.6 Cross-Cultural and Contextual Validation of Technology Acceptance Theories in South Asian Emerging Economies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2.7 Theoretical Contributions Expected from the Study</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CHAPTER 3: LITERATURE REVIEW AND RESEARCH GAP ANALYSIS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3.1 Systematic Review Methodology (PRISMA 2020 Framework </w:t>
      </w:r>
      <w:r>
        <w:rPr>
          <w:rFonts w:ascii="Times Roman" w:hAnsi="Times Roman" w:hint="default"/>
          <w:rtl w:val="0"/>
        </w:rPr>
        <w:t xml:space="preserve">– </w:t>
      </w:r>
      <w:r>
        <w:rPr>
          <w:rFonts w:ascii="Times Roman" w:hAnsi="Times Roman"/>
          <w:rtl w:val="0"/>
          <w:lang w:val="en-US"/>
        </w:rPr>
        <w:t>Search Strategy, Inclusion/Exclusion, Quality Appraisal)</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3.2 Global E-banking Literature: Meta-Analysis and Systematic Review of Adoption and Socio-Economic Impact Studies (2000</w:t>
      </w:r>
      <w:r>
        <w:rPr>
          <w:rFonts w:ascii="Times Roman" w:hAnsi="Times Roman" w:hint="default"/>
          <w:rtl w:val="0"/>
        </w:rPr>
        <w:t>–</w:t>
      </w:r>
      <w:r>
        <w:rPr>
          <w:rFonts w:ascii="Times Roman" w:hAnsi="Times Roman"/>
          <w:rtl w:val="0"/>
        </w:rPr>
        <w:t>2026)</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3.3 E-banking and MFS in South Asia and Other Developing Economies (India UPI Success Factors, Kenya M-Pesa Ecosystem, Pakistan, Nepal, Indonesia, Philippines </w:t>
      </w:r>
      <w:r>
        <w:rPr>
          <w:rFonts w:ascii="Times Roman" w:hAnsi="Times Roman" w:hint="default"/>
          <w:rtl w:val="0"/>
        </w:rPr>
        <w:t xml:space="preserve">– </w:t>
      </w:r>
      <w:r>
        <w:rPr>
          <w:rFonts w:ascii="Times Roman" w:hAnsi="Times Roman"/>
          <w:rtl w:val="0"/>
          <w:lang w:val="fr-FR"/>
        </w:rPr>
        <w:t>Comparative Lessons)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3.4 E-banking Development in Bangladesh: Historical Trajectory, Regulatory Milestones, and Market Evolution (2000</w:t>
      </w:r>
      <w:r>
        <w:rPr>
          <w:rFonts w:ascii="Times Roman" w:hAnsi="Times Roman" w:hint="default"/>
          <w:rtl w:val="0"/>
        </w:rPr>
        <w:t>–</w:t>
      </w:r>
      <w:r>
        <w:rPr>
          <w:rFonts w:ascii="Times Roman" w:hAnsi="Times Roman"/>
          <w:rtl w:val="0"/>
        </w:rPr>
        <w:t>2026)</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3.5 Thematic Synthesis: Challenges (Security &amp; Cyber Risks, Trust Deficits Post-2024</w:t>
      </w:r>
      <w:r>
        <w:rPr>
          <w:rFonts w:ascii="Times Roman" w:hAnsi="Times Roman" w:hint="default"/>
          <w:rtl w:val="0"/>
        </w:rPr>
        <w:t>–</w:t>
      </w:r>
      <w:r>
        <w:rPr>
          <w:rFonts w:ascii="Times Roman" w:hAnsi="Times Roman"/>
          <w:rtl w:val="0"/>
          <w:lang w:val="en-US"/>
        </w:rPr>
        <w:t>25 Incidents, Digital Literacy &amp; Gender/Rural Divides, Infrastructure &amp; Last-Mile Quality, Regulatory Enforcement &amp; Governance Capacity, Market Concentration &amp; Compliance)</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3.6 Thematic Synthesis: Prospects (Financial Inclusion Metrics &amp; Projections, Economic Growth &amp; Productivity, Innovation Pathways </w:t>
      </w:r>
      <w:r>
        <w:rPr>
          <w:rFonts w:ascii="Times Roman" w:hAnsi="Times Roman" w:hint="default"/>
          <w:rtl w:val="0"/>
        </w:rPr>
        <w:t xml:space="preserve">– </w:t>
      </w:r>
      <w:r>
        <w:rPr>
          <w:rFonts w:ascii="Times Roman" w:hAnsi="Times Roman"/>
          <w:rtl w:val="0"/>
          <w:lang w:val="en-US"/>
        </w:rPr>
        <w:t>AI/Biometrics/CBDC/Open Finance/Climate Fintech, Cashless Transition Roadmap)</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3.7 Identification of Research Gaps and Justification for Current Study (Explicit Gap Matrix: Theoretical, Empirical, Contextual, Methodological)</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3.8 Bibliometric and Scientometric Analysis of E-banking/Fintech Research in Bangladesh and South Asia (if extended </w:t>
      </w:r>
      <w:r>
        <w:rPr>
          <w:rFonts w:ascii="Times Roman" w:hAnsi="Times Roman" w:hint="default"/>
          <w:rtl w:val="0"/>
        </w:rPr>
        <w:t xml:space="preserve">– </w:t>
      </w:r>
      <w:r>
        <w:rPr>
          <w:rFonts w:ascii="Times Roman" w:hAnsi="Times Roman"/>
          <w:rtl w:val="0"/>
          <w:lang w:val="en-US"/>
        </w:rPr>
        <w:t>VOSviewer/Co-occurrence, Citation Networks)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3.9 Research Gap Matrix and Positioning of Current Study</w:t>
      </w:r>
      <w:r>
        <w:rPr>
          <w:rFonts w:ascii="Times Roman" w:hAnsi="Times Roman" w:hint="default"/>
          <w:rtl w:val="1"/>
        </w:rPr>
        <w:t>’</w:t>
      </w:r>
      <w:r>
        <w:rPr>
          <w:rFonts w:ascii="Times Roman" w:hAnsi="Times Roman"/>
          <w:rtl w:val="0"/>
          <w:lang w:val="fr-FR"/>
        </w:rPr>
        <w:t>s Unique Contributions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CHAPTER 4: E-BANKING LANDSCAPE AND CONTEXTUAL ANALYSIS IN BANGLADESH</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4.1 Overview of Bangladesh Banking Sector: Structure, Performance, Digital Maturity Index (2025</w:t>
      </w:r>
      <w:r>
        <w:rPr>
          <w:rFonts w:ascii="Times Roman" w:hAnsi="Times Roman" w:hint="default"/>
          <w:rtl w:val="0"/>
        </w:rPr>
        <w:t>–</w:t>
      </w:r>
      <w:r>
        <w:rPr>
          <w:rFonts w:ascii="Times Roman" w:hAnsi="Times Roman"/>
          <w:rtl w:val="0"/>
          <w:lang w:val="nl-NL"/>
        </w:rPr>
        <w:t>2026 Data)</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4.2 Regulatory and Legal Framework</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4.2.1 Bangladesh Bank Guidelines, Payment and Settlement Systems Act 2009 (Amended), MFS Regulations 2022 &amp; Updates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4.2.2 Digital Bank Guidelines Version 2 (2025): Branchless Model, Capital Requirements, Licensing Regime, Sandbox Provisions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4.2.3 Cybersecurity, Data Privacy (Digital Security Act), Consumer Protection, and BFIU Role in AML/CFT &amp; Fraud Response</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4.3 Current Status and Trends in E-banking Services (2018</w:t>
      </w:r>
      <w:r>
        <w:rPr>
          <w:rFonts w:ascii="Times Roman" w:hAnsi="Times Roman" w:hint="default"/>
          <w:rtl w:val="0"/>
        </w:rPr>
        <w:t>–</w:t>
      </w:r>
      <w:r>
        <w:rPr>
          <w:rFonts w:ascii="Times Roman" w:hAnsi="Times Roman"/>
          <w:rtl w:val="0"/>
          <w:lang w:val="en-US"/>
        </w:rPr>
        <w:t>2026 Statistics with Growth Trajectories)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4.3.1 Internet Banking: Transaction Volumes, 32%+ Surge, User Demographics &amp; Urban/Rural Split</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 xml:space="preserve">4.3.2 Mobile Financial Services (MFS): bKash, Nagad, Rocket </w:t>
      </w:r>
      <w:r>
        <w:rPr>
          <w:rFonts w:ascii="Times Roman" w:hAnsi="Times Roman" w:hint="default"/>
          <w:rtl w:val="0"/>
        </w:rPr>
        <w:t xml:space="preserve">– </w:t>
      </w:r>
      <w:r>
        <w:rPr>
          <w:rFonts w:ascii="Times Roman" w:hAnsi="Times Roman"/>
          <w:rtl w:val="0"/>
          <w:lang w:val="en-US"/>
        </w:rPr>
        <w:t>Market Shares, Agent Networks (1.2M+), Use Cases, Interoperability via NPSB &amp; IDTP</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4.3.3 Card Payments, QR Codes, POS Terminals, and Instant Payment Systems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4.3.4 Emerging Services: Digital Lending (Micro &amp; SME), Agent Banking Expansion, Open Banking Pilots, Biometric Authentication, CBDC Exploration</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4.4 Key Market Players, Business Models, and Competitive Dynamics (Herfindahl-Hirschman Index for Market Concentration)</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4.5 Digital Infrastructure Readiness: Internet/Smartphone Penetration (Urban vs Rural), 4G/5G Rollout, Cybersecurity Index, Power &amp; Network Reliability</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4.6 National Digital Initiatives and Their Impact: Digital Bangladesh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Smart Bangladesh 2041, Cashless Economy Roadmap 2030, Financial Inclusion Strategy</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4.7 Impact of Macro Events: COVID-19 Acceleration (2020</w:t>
      </w:r>
      <w:r>
        <w:rPr>
          <w:rFonts w:ascii="Times Roman" w:hAnsi="Times Roman" w:hint="default"/>
          <w:rtl w:val="0"/>
        </w:rPr>
        <w:t>–</w:t>
      </w:r>
      <w:r>
        <w:rPr>
          <w:rFonts w:ascii="Times Roman" w:hAnsi="Times Roman"/>
          <w:rtl w:val="0"/>
          <w:lang w:val="en-US"/>
        </w:rPr>
        <w:t>2022), 2024 Political Transition &amp; Governance Reset, Inflation/Liquidity Pressures (2024</w:t>
      </w:r>
      <w:r>
        <w:rPr>
          <w:rFonts w:ascii="Times Roman" w:hAnsi="Times Roman" w:hint="default"/>
          <w:rtl w:val="0"/>
        </w:rPr>
        <w:t>–</w:t>
      </w:r>
      <w:r>
        <w:rPr>
          <w:rFonts w:ascii="Times Roman" w:hAnsi="Times Roman"/>
          <w:rtl w:val="0"/>
        </w:rPr>
        <w:t>2026)</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4.8 Strategic Analysis: PESTLE / SWOT-TOWS of Bangladesh E-banking Ecosystem (Opportunities vs Threats Matrix)</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4.9 Digital Financial Inclusion Metrics &amp; Benchmarking (Findex 2025, GSMA Mobile Money Indicators, Gender &amp; Rural Gaps)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de-DE"/>
        </w:rPr>
        <w:t>CHAPTER 5: RESEARCH METHODOLOGY</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5.1 Research Philosophy, Paradigm, and Design (Pragmatist Mixed-Methods Sequential Explanatory Design </w:t>
      </w:r>
      <w:r>
        <w:rPr>
          <w:rFonts w:ascii="Times Roman" w:hAnsi="Times Roman" w:hint="default"/>
          <w:rtl w:val="0"/>
        </w:rPr>
        <w:t xml:space="preserve">– </w:t>
      </w:r>
      <w:r>
        <w:rPr>
          <w:rFonts w:ascii="Times Roman" w:hAnsi="Times Roman"/>
          <w:rtl w:val="0"/>
          <w:lang w:val="en-US"/>
        </w:rPr>
        <w:t>Rationale &amp; Justification)</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5.2 Population, Sampling Design, and Sample Size Justification (Power Analysis via G*Power, Stratified Multi-Stage Sampling, Minimum 600+ Customers + 25</w:t>
      </w:r>
      <w:r>
        <w:rPr>
          <w:rFonts w:ascii="Times Roman" w:hAnsi="Times Roman" w:hint="default"/>
          <w:rtl w:val="0"/>
        </w:rPr>
        <w:t>–</w:t>
      </w:r>
      <w:r>
        <w:rPr>
          <w:rFonts w:ascii="Times Roman" w:hAnsi="Times Roman"/>
          <w:rtl w:val="0"/>
          <w:lang w:val="en-US"/>
        </w:rPr>
        <w:t>30 Key Informants)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5.2.1 Customer/User Survey: Stratification by Division (8), Urban/Rural, Gender, Age Cohorts (18</w:t>
      </w:r>
      <w:r>
        <w:rPr>
          <w:rFonts w:ascii="Times Roman" w:hAnsi="Times Roman" w:hint="default"/>
          <w:rtl w:val="0"/>
        </w:rPr>
        <w:t>–</w:t>
      </w:r>
      <w:r>
        <w:rPr>
          <w:rFonts w:ascii="Times Roman" w:hAnsi="Times Roman"/>
          <w:rtl w:val="0"/>
          <w:lang w:val="en-US"/>
        </w:rPr>
        <w:t>65), Income Quintiles, and Service Usage Intensity</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5.2.2 Expert/Key Informant Interviews: Purposive + Snowball (Bangladesh Bank, Commercial Banks, MFS Providers, Fintech Startups, Academics, Agent Network Managers, BFIU, Development Partners)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fr-FR"/>
        </w:rPr>
        <w:t>5.3 Data Collection Instruments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 xml:space="preserve">5.3.1 Structured Questionnaire: Validated UTAUT2 Scales + Bangladesh-Specific Constructs (Trust Restoration, Governance Perception, Post-Fraud Risk, Digital Literacy Self-Assessment, Agent Quality) </w:t>
      </w:r>
      <w:r>
        <w:rPr>
          <w:rFonts w:ascii="Times Roman" w:hAnsi="Times Roman" w:hint="default"/>
          <w:rtl w:val="0"/>
        </w:rPr>
        <w:t xml:space="preserve">– </w:t>
      </w:r>
      <w:r>
        <w:rPr>
          <w:rFonts w:ascii="Times Roman" w:hAnsi="Times Roman"/>
          <w:rtl w:val="0"/>
          <w:lang w:val="en-US"/>
        </w:rPr>
        <w:t>7-Point Likert + Demographics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5.3.2 Semi-Structured Interview Protocol (Governance Capacity, Regulatory Enforcement Challenges, Future Scenarios 2030</w:t>
      </w:r>
      <w:r>
        <w:rPr>
          <w:rFonts w:ascii="Times Roman" w:hAnsi="Times Roman" w:hint="default"/>
          <w:rtl w:val="0"/>
        </w:rPr>
        <w:t>–</w:t>
      </w:r>
      <w:r>
        <w:rPr>
          <w:rFonts w:ascii="Times Roman" w:hAnsi="Times Roman"/>
          <w:rtl w:val="0"/>
          <w:lang w:val="en-US"/>
        </w:rPr>
        <w:t>2041, Trust-Building Interventions)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5.3.3 Secondary Data Sources: Bangladesh Bank Monthly/Annual Reports &amp; Statistics (2018</w:t>
      </w:r>
      <w:r>
        <w:rPr>
          <w:rFonts w:ascii="Times Roman" w:hAnsi="Times Roman" w:hint="default"/>
          <w:rtl w:val="0"/>
        </w:rPr>
        <w:t>–</w:t>
      </w:r>
      <w:r>
        <w:rPr>
          <w:rFonts w:ascii="Times Roman" w:hAnsi="Times Roman"/>
          <w:rtl w:val="0"/>
          <w:lang w:val="en-US"/>
        </w:rPr>
        <w:t>2026), Findex 2025, GSMA Mobile Money Reports, TI-Bangladesh MFS Governance Report 2025, NPSB Transaction Data</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5.4 Data Analysis Plan</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 xml:space="preserve">5.4.1 Quantitative Strand: Data Screening (Missing Values, Outliers, Normality </w:t>
      </w:r>
      <w:r>
        <w:rPr>
          <w:rFonts w:ascii="Times Roman" w:hAnsi="Times Roman" w:hint="default"/>
          <w:rtl w:val="0"/>
        </w:rPr>
        <w:t xml:space="preserve">– </w:t>
      </w:r>
      <w:r>
        <w:rPr>
          <w:rFonts w:ascii="Times Roman" w:hAnsi="Times Roman"/>
          <w:rtl w:val="0"/>
          <w:lang w:val="en-US"/>
        </w:rPr>
        <w:t>Shapiro-Wilk/Mardia), Descriptive Statistics, Reliability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α</w:t>
      </w:r>
      <w:r>
        <w:rPr>
          <w:rFonts w:ascii="Times Roman" w:hAnsi="Times Roman"/>
          <w:rtl w:val="0"/>
          <w:lang w:val="en-US"/>
        </w:rPr>
        <w:t xml:space="preserve">, Composite Reliability), Exploratory &amp; Confirmatory Factor Analysis (EFA/CFA), PLS-SEM (SmartPLS 4.x </w:t>
      </w:r>
      <w:r>
        <w:rPr>
          <w:rFonts w:ascii="Times Roman" w:hAnsi="Times Roman" w:hint="default"/>
          <w:rtl w:val="0"/>
        </w:rPr>
        <w:t xml:space="preserve">– </w:t>
      </w:r>
      <w:r>
        <w:rPr>
          <w:rFonts w:ascii="Times Roman" w:hAnsi="Times Roman"/>
          <w:rtl w:val="0"/>
          <w:lang w:val="en-US"/>
        </w:rPr>
        <w:t>Measurement &amp; Structural Models, f</w:t>
      </w:r>
      <w:r>
        <w:rPr>
          <w:rFonts w:ascii="Times Roman" w:hAnsi="Times Roman" w:hint="default"/>
          <w:rtl w:val="0"/>
        </w:rPr>
        <w:t>²</w:t>
      </w:r>
      <w:r>
        <w:rPr>
          <w:rFonts w:ascii="Times Roman" w:hAnsi="Times Roman"/>
          <w:rtl w:val="0"/>
        </w:rPr>
        <w:t>, Q</w:t>
      </w:r>
      <w:r>
        <w:rPr>
          <w:rFonts w:ascii="Times Roman" w:hAnsi="Times Roman" w:hint="default"/>
          <w:rtl w:val="0"/>
        </w:rPr>
        <w:t>²</w:t>
      </w:r>
      <w:r>
        <w:rPr>
          <w:rFonts w:ascii="Times Roman" w:hAnsi="Times Roman"/>
          <w:rtl w:val="0"/>
          <w:lang w:val="en-US"/>
        </w:rPr>
        <w:t xml:space="preserve">, SRMR), Multiple &amp; Logistic Regression, Cluster Analysis (K-Means for User Segments), Multi-Group Analysis (MGA </w:t>
      </w:r>
      <w:r>
        <w:rPr>
          <w:rFonts w:ascii="Times Roman" w:hAnsi="Times Roman" w:hint="default"/>
          <w:rtl w:val="0"/>
        </w:rPr>
        <w:t xml:space="preserve">– </w:t>
      </w:r>
      <w:r>
        <w:rPr>
          <w:rFonts w:ascii="Times Roman" w:hAnsi="Times Roman"/>
          <w:rtl w:val="0"/>
          <w:lang w:val="en-US"/>
        </w:rPr>
        <w:t>Urban/Rural, Gender, Income)</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5.4.2 Qualitative Strand: Reflexive Thematic Analysis (Braun &amp; Clarke 2022 Six-Phase Framework) using NVivo 15, Content Analysis of Policy Documents &amp; Expert Narratives, Case Study Protocol (Yin) for bKash/Nagad/BRAC/Islami Bank/Rural Agents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5.4.3 Integration &amp; Meta-Inferences: Joint Displays, Meta-Inference Tables, Scenario Planning (Intuitive Logics + Morphological Analysis) for Prospects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5.5 Validity, Reliability, Generalizability, and Rigor (Mixed-Methods Quality Criteria </w:t>
      </w:r>
      <w:r>
        <w:rPr>
          <w:rFonts w:ascii="Times Roman" w:hAnsi="Times Roman" w:hint="default"/>
          <w:rtl w:val="0"/>
        </w:rPr>
        <w:t xml:space="preserve">– </w:t>
      </w:r>
      <w:r>
        <w:rPr>
          <w:rFonts w:ascii="Times Roman" w:hAnsi="Times Roman"/>
          <w:rtl w:val="0"/>
          <w:lang w:val="en-US"/>
        </w:rPr>
        <w:t xml:space="preserve">Creswell &amp; Plano Clark, Tashakkori &amp; Teddlie; Trustworthiness Criteria </w:t>
      </w:r>
      <w:r>
        <w:rPr>
          <w:rFonts w:ascii="Times Roman" w:hAnsi="Times Roman" w:hint="default"/>
          <w:rtl w:val="0"/>
        </w:rPr>
        <w:t xml:space="preserve">– </w:t>
      </w:r>
      <w:r>
        <w:rPr>
          <w:rFonts w:ascii="Times Roman" w:hAnsi="Times Roman"/>
          <w:rtl w:val="0"/>
          <w:lang w:val="it-IT"/>
        </w:rPr>
        <w:t>Lincoln &amp; Guba)</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5.6 Pilot Study and Instrument Validation (n=60, Cognitive Interviewing, Item Refinement)</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5.7 Ethical Considerations, Informed Consent, Data Anonymization, Storage (GDPR-aligned + Bangladesh Data Protection), and IRB/Ethical Clearance Process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5.8 Researcher Positionality and Reflexivity Statement</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5.9 Data Management Plan and Timeline (Gantt Chart)</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CHAPTER 6: DATA ANALYSIS, FINDINGS, AND RESULTS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6.1 Preliminary Analysis: Response Rate (Target 85%+), Data Screening, Missing Values Imputation, Normality &amp; Multicollinearity Checks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6.2 Demographic and Socio-Economic Profile of Respondents (Tables, Charts, Cross-Tabs </w:t>
      </w:r>
      <w:r>
        <w:rPr>
          <w:rFonts w:ascii="Times Roman" w:hAnsi="Times Roman" w:hint="default"/>
          <w:rtl w:val="0"/>
        </w:rPr>
        <w:t xml:space="preserve">– </w:t>
      </w:r>
      <w:r>
        <w:rPr>
          <w:rFonts w:ascii="Times Roman" w:hAnsi="Times Roman"/>
          <w:rtl w:val="0"/>
          <w:lang w:val="en-US"/>
        </w:rPr>
        <w:t>Urban/Rural, Gender, Age, Income, Education, Division)</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6.3 Descriptive Findings: Awareness Levels, Usage Patterns &amp; Frequency, Satisfaction &amp; Net Promoter Scores by Service Type (Internet Banking vs MFS vs Cards/QR)</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6.4 Measurement Model Validation (Reliability, Convergent Validity </w:t>
      </w:r>
      <w:r>
        <w:rPr>
          <w:rFonts w:ascii="Times Roman" w:hAnsi="Times Roman" w:hint="default"/>
          <w:rtl w:val="0"/>
        </w:rPr>
        <w:t xml:space="preserve">– </w:t>
      </w:r>
      <w:r>
        <w:rPr>
          <w:rFonts w:ascii="Times Roman" w:hAnsi="Times Roman"/>
          <w:rtl w:val="0"/>
          <w:lang w:val="en-US"/>
        </w:rPr>
        <w:t xml:space="preserve">AVE &gt; 0.5, Discriminant Validity </w:t>
      </w:r>
      <w:r>
        <w:rPr>
          <w:rFonts w:ascii="Times Roman" w:hAnsi="Times Roman" w:hint="default"/>
          <w:rtl w:val="0"/>
        </w:rPr>
        <w:t xml:space="preserve">– </w:t>
      </w:r>
      <w:r>
        <w:rPr>
          <w:rFonts w:ascii="Times Roman" w:hAnsi="Times Roman"/>
          <w:rtl w:val="0"/>
          <w:lang w:val="en-US"/>
        </w:rPr>
        <w:t xml:space="preserve">HTMT &lt; 0.85, Common Method Bias </w:t>
      </w:r>
      <w:r>
        <w:rPr>
          <w:rFonts w:ascii="Times Roman" w:hAnsi="Times Roman" w:hint="default"/>
          <w:rtl w:val="0"/>
        </w:rPr>
        <w:t xml:space="preserve">– </w:t>
      </w:r>
      <w:r>
        <w:rPr>
          <w:rFonts w:ascii="Times Roman" w:hAnsi="Times Roman"/>
          <w:rtl w:val="0"/>
        </w:rPr>
        <w:t>Harman</w:t>
      </w:r>
      <w:r>
        <w:rPr>
          <w:rFonts w:ascii="Times Roman" w:hAnsi="Times Roman" w:hint="default"/>
          <w:rtl w:val="1"/>
        </w:rPr>
        <w:t>’</w:t>
      </w:r>
      <w:r>
        <w:rPr>
          <w:rFonts w:ascii="Times Roman" w:hAnsi="Times Roman"/>
          <w:rtl w:val="0"/>
          <w:lang w:val="en-US"/>
        </w:rPr>
        <w:t>s Single Factor &amp; Full Collinearity)</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6.5 Structural Model Results: Hypothesis Testing for Adoption Determinants and Challenge Factors (Path Coefficients </w:t>
      </w:r>
      <w:r>
        <w:rPr>
          <w:rFonts w:ascii="Times Roman" w:hAnsi="Times Roman" w:hint="default"/>
          <w:rtl w:val="0"/>
        </w:rPr>
        <w:t>β</w:t>
      </w:r>
      <w:r>
        <w:rPr>
          <w:rFonts w:ascii="Times Roman" w:hAnsi="Times Roman"/>
          <w:rtl w:val="0"/>
          <w:lang w:val="fr-FR"/>
        </w:rPr>
        <w:t>, t-values, p-values, f</w:t>
      </w:r>
      <w:r>
        <w:rPr>
          <w:rFonts w:ascii="Times Roman" w:hAnsi="Times Roman" w:hint="default"/>
          <w:rtl w:val="0"/>
        </w:rPr>
        <w:t xml:space="preserve">² </w:t>
      </w:r>
      <w:r>
        <w:rPr>
          <w:rFonts w:ascii="Times Roman" w:hAnsi="Times Roman"/>
          <w:rtl w:val="0"/>
          <w:lang w:val="en-US"/>
        </w:rPr>
        <w:t>Effect Sizes, Q</w:t>
      </w:r>
      <w:r>
        <w:rPr>
          <w:rFonts w:ascii="Times Roman" w:hAnsi="Times Roman" w:hint="default"/>
          <w:rtl w:val="0"/>
        </w:rPr>
        <w:t xml:space="preserve">² </w:t>
      </w:r>
      <w:r>
        <w:rPr>
          <w:rFonts w:ascii="Times Roman" w:hAnsi="Times Roman"/>
          <w:rtl w:val="0"/>
          <w:lang w:val="en-US"/>
        </w:rPr>
        <w:t xml:space="preserve">Predictive Relevance, Model Fit </w:t>
      </w:r>
      <w:r>
        <w:rPr>
          <w:rFonts w:ascii="Times Roman" w:hAnsi="Times Roman" w:hint="default"/>
          <w:rtl w:val="0"/>
        </w:rPr>
        <w:t xml:space="preserve">– </w:t>
      </w:r>
      <w:r>
        <w:rPr>
          <w:rFonts w:ascii="Times Roman" w:hAnsi="Times Roman"/>
          <w:rtl w:val="0"/>
          <w:lang w:val="en-US"/>
        </w:rPr>
        <w:t>SRMR, Chi-Square/df)</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6.6 Key Challenges Identified and Prioritized (Importance-Performance Analysis </w:t>
      </w:r>
      <w:r>
        <w:rPr>
          <w:rFonts w:ascii="Times Roman" w:hAnsi="Times Roman" w:hint="default"/>
          <w:rtl w:val="0"/>
        </w:rPr>
        <w:t xml:space="preserve">– </w:t>
      </w:r>
      <w:r>
        <w:rPr>
          <w:rFonts w:ascii="Times Roman" w:hAnsi="Times Roman"/>
          <w:rtl w:val="0"/>
          <w:lang w:val="it-IT"/>
        </w:rPr>
        <w:t>IPA + Multi-Dimensional Scaling)</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6.6.1 Security, Fraud &amp; Cyber Risks; Trust Deficits Post-2024</w:t>
      </w:r>
      <w:r>
        <w:rPr>
          <w:rFonts w:ascii="Times Roman" w:hAnsi="Times Roman" w:hint="default"/>
          <w:rtl w:val="0"/>
        </w:rPr>
        <w:t>–</w:t>
      </w:r>
      <w:r>
        <w:rPr>
          <w:rFonts w:ascii="Times Roman" w:hAnsi="Times Roman"/>
          <w:rtl w:val="0"/>
          <w:lang w:val="fr-FR"/>
        </w:rPr>
        <w:t>25 Incidents (Quantitative + Qualitative Triangulation)</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6.6.2 Digital Literacy &amp; Gender/Rural Divides; Infrastructure &amp; Network Quality Gaps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6.6.3 Regulatory &amp; Governance Issues: Market Concentration, e-Money Violations, BFIU Capacity Constraints, Enforcement Gaps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6.6.4 Agent Network Quality, High Fees, Last-Mile Delivery &amp; Liquidity Challenges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6.7 Prospects and Opportunities: Perceived Benefits, Growth Drivers, Future Intentions &amp; Projections to 2030/2041</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6.7.1 Financial Inclusion Impact Metrics (Account Ownership, Active Usage, Gender Gap Closure) and Econometric Projections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6.7.2 Innovation Opportunities: AI-Driven Credit Scoring, Biometrics, CBDC Pilot Readiness, Open Finance APIs, Climate &amp; Green Fintech</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6.8 In-Depth Qualitative Themes and Expert Narratives (Quotations, Thick Descriptions, Reflexive Commentary)</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6.9 Case Studies: bKash Success Factors &amp; Ecosystem Orchestration; Nagad Governance &amp; Regulatory Lessons; BRAC Bank &amp; Islami Bank Digital Transformation Journeys; Rural Agent Lived Experiences (Vignettes)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6.10 Comparative Analysis with Regional Peers (India UPI, Pakistan Easypaisa, Kenya M-Pesa) and International Benchmarks (Nordics, Singapore)</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6.11 Multi-Group and Moderation Analysis (Urban vs Rural, Male vs Female, High vs Low Income/Literacy </w:t>
      </w:r>
      <w:r>
        <w:rPr>
          <w:rFonts w:ascii="Times Roman" w:hAnsi="Times Roman" w:hint="default"/>
          <w:rtl w:val="0"/>
        </w:rPr>
        <w:t xml:space="preserve">– </w:t>
      </w:r>
      <w:r>
        <w:rPr>
          <w:rFonts w:ascii="Times Roman" w:hAnsi="Times Roman"/>
          <w:rtl w:val="0"/>
          <w:lang w:val="en-US"/>
        </w:rPr>
        <w:t>Path Differences &amp; Moderating Effects)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6.12 Robustness Checks, Sensitivity Analyses, and Supplementary Econometric Outputs (Alternative Models, Endogeneity Tests, Appendix Reference)</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6.13 Integrated Summary of Quantitative and Qualitative Findings (Joint Display Tables)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CHAPTER 7: DISCUSSION OF FINDINGS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7.1 Integration and Triangulation of Quantitative and Qualitative Results (Convergence, Complementarity, Divergence, Meta-Inferences)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7.2 Discussion within Theoretical Framework: Extending UTAUT2 with Governance, Institutional, and Trust-Restoration Variables in Post-Crisis Emerging Markets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7.3 Interpretation of Challenges in Bangladesh Context: Root Causes, Interlinkages, Political Economy Factors, and Institutional Voids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7.4 Prospects Evaluation: Realistic Growth Scenarios (Optimistic/Base/Pessimistic), Enabling Conditions, Risk Mitigation Pathways to 2030 &amp; 2041</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7.5 Comparison with Prior Studies and International Benchmarks </w:t>
      </w:r>
      <w:r>
        <w:rPr>
          <w:rFonts w:ascii="Times Roman" w:hAnsi="Times Roman" w:hint="default"/>
          <w:rtl w:val="0"/>
        </w:rPr>
        <w:t xml:space="preserve">– </w:t>
      </w:r>
      <w:r>
        <w:rPr>
          <w:rFonts w:ascii="Times Roman" w:hAnsi="Times Roman"/>
          <w:rtl w:val="0"/>
          <w:lang w:val="en-US"/>
        </w:rPr>
        <w:t>What Makes Bangladesh Unique?</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7.6 Theoretical Contributions to E-banking, Fintech Adoption, and Development Literature in Emerging Economies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7.7 Policy, Managerial, and Practical Implications</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7.7.1 For Bangladesh Bank and Regulators (Capacity Building, Proactive Enforcement, CBDC Roadmap, Trust-Restoration Framework)</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7.7.2 For Commercial Banks and MFS Providers (Trust Restoration Strategies, Product Innovation, Rural Agent Ecosystem Strengthening, Gender-Inclusive Design)</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7.7.3 For Government, Development Partners &amp; Civil Society (National Digital Literacy Campaign, Infrastructure Acceleration, Gender &amp; Rural Inclusion Programs)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7.8 Critical Evaluation of UTAUT2 Applicability and Limitations in the Bangladesh Institutional Context</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7.9 Integrated Policy-Practice-Research Implications Framework (Stakeholder Matrix)</w:t>
      </w:r>
    </w:p>
    <w:p>
      <w:pPr>
        <w:pStyle w:val="Default"/>
        <w:suppressAutoHyphens w:val="1"/>
        <w:spacing w:before="0" w:after="281" w:line="240" w:lineRule="auto"/>
        <w:jc w:val="left"/>
        <w:rPr>
          <w:rFonts w:ascii="Times Roman" w:cs="Times Roman" w:hAnsi="Times Roman" w:eastAsia="Times Roman"/>
          <w:b w:val="1"/>
          <w:bCs w:val="1"/>
          <w:sz w:val="28"/>
          <w:szCs w:val="28"/>
        </w:rPr>
      </w:pP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n-US"/>
        </w:rPr>
        <w:t>CHAPTER 8: CONCLUSION, RECOMMENDATIONS, AND FUTURE RESEARCH DIRECTIONS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8.1 Summary of Major Findings and Conclusions (Linked Back to Objectives &amp; Hypotheses)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8.2 Comprehensive Recommendations (Stakeholder Matrix with Timelines, KPIs, Resource Estimates, Responsibility Matrix, Risk Register)</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8.2.1 Short-term (0</w:t>
      </w:r>
      <w:r>
        <w:rPr>
          <w:rFonts w:ascii="Times Roman" w:hAnsi="Times Roman" w:hint="default"/>
          <w:rtl w:val="0"/>
        </w:rPr>
        <w:t>–</w:t>
      </w:r>
      <w:r>
        <w:rPr>
          <w:rFonts w:ascii="Times Roman" w:hAnsi="Times Roman"/>
          <w:rtl w:val="0"/>
          <w:lang w:val="en-US"/>
        </w:rPr>
        <w:t xml:space="preserve">2 years): Quick Wins </w:t>
      </w:r>
      <w:r>
        <w:rPr>
          <w:rFonts w:ascii="Times Roman" w:hAnsi="Times Roman" w:hint="default"/>
          <w:rtl w:val="0"/>
        </w:rPr>
        <w:t xml:space="preserve">– </w:t>
      </w:r>
      <w:r>
        <w:rPr>
          <w:rFonts w:ascii="Times Roman" w:hAnsi="Times Roman"/>
          <w:rtl w:val="0"/>
          <w:lang w:val="en-US"/>
        </w:rPr>
        <w:t>Security Audits &amp; Incident Response, Mass Digital Literacy Drives, Agent Training &amp; Certification, Compliance Enforcement &amp; e-Money Violation Crackdown</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8.2.2 Medium-term (2</w:t>
      </w:r>
      <w:r>
        <w:rPr>
          <w:rFonts w:ascii="Times Roman" w:hAnsi="Times Roman" w:hint="default"/>
          <w:rtl w:val="0"/>
        </w:rPr>
        <w:t>–</w:t>
      </w:r>
      <w:r>
        <w:rPr>
          <w:rFonts w:ascii="Times Roman" w:hAnsi="Times Roman"/>
          <w:rtl w:val="0"/>
          <w:lang w:val="en-US"/>
        </w:rPr>
        <w:t>5 years): Interoperability Deepening (Full NPSB/IDTP), Digital Bank Scaling &amp; Licensing Acceleration, AI/Biometric Integration Pilots, CBDC Sandbox &amp; Feasibility Study</w:t>
      </w:r>
    </w:p>
    <w:p>
      <w:pPr>
        <w:pStyle w:val="Default"/>
        <w:suppressAutoHyphens w:val="1"/>
        <w:spacing w:before="0" w:after="240" w:line="240" w:lineRule="auto"/>
        <w:ind w:left="360"/>
        <w:jc w:val="left"/>
        <w:rPr>
          <w:rFonts w:ascii="Times Roman" w:cs="Times Roman" w:hAnsi="Times Roman" w:eastAsia="Times Roman"/>
        </w:rPr>
      </w:pPr>
      <w:r>
        <w:rPr>
          <w:rFonts w:ascii="Arial Unicode MS" w:cs="Arial Unicode MS" w:hAnsi="Arial Unicode MS" w:eastAsia="Arial Unicode MS" w:hint="default"/>
          <w:b w:val="0"/>
          <w:bCs w:val="0"/>
          <w:i w:val="0"/>
          <w:iCs w:val="0"/>
          <w:rtl w:val="0"/>
        </w:rPr>
        <w:t> </w:t>
      </w:r>
      <w:r>
        <w:rPr>
          <w:rFonts w:ascii="Times Roman" w:hAnsi="Times Roman"/>
          <w:rtl w:val="0"/>
          <w:lang w:val="en-US"/>
        </w:rPr>
        <w:t>8.2.3 Long-term (5</w:t>
      </w:r>
      <w:r>
        <w:rPr>
          <w:rFonts w:ascii="Times Roman" w:hAnsi="Times Roman" w:hint="default"/>
          <w:rtl w:val="0"/>
        </w:rPr>
        <w:t>–</w:t>
      </w:r>
      <w:r>
        <w:rPr>
          <w:rFonts w:ascii="Times Roman" w:hAnsi="Times Roman"/>
          <w:rtl w:val="0"/>
          <w:lang w:val="en-US"/>
        </w:rPr>
        <w:t>10 years): Full Cashless Transition, Smart Financial Ecosystem (Open Finance + Embedded Finance), Regional Leadership in South Asia Fintech, Climate-Resilient Digital Finance</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8.3 Limitations of the Current Research and Mitigations (Sampling, Cross-Sectional Design, Self-Report Bias, Rapidly Evolving Regulatory Landscape)</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8.4 Agenda for Future Research (Longitudinal Panel Studies, Experimental/Quasi-Experimental Designs, Sectoral Deep Dives </w:t>
      </w:r>
      <w:r>
        <w:rPr>
          <w:rFonts w:ascii="Times Roman" w:hAnsi="Times Roman" w:hint="default"/>
          <w:rtl w:val="0"/>
        </w:rPr>
        <w:t xml:space="preserve">– </w:t>
      </w:r>
      <w:r>
        <w:rPr>
          <w:rFonts w:ascii="Times Roman" w:hAnsi="Times Roman"/>
          <w:rtl w:val="0"/>
          <w:lang w:val="en-US"/>
        </w:rPr>
        <w:t>Agriculture/Health/MSME Fintech, Climate/Health Fintech Nexus, CBDC Adoption &amp; Impact Studies, Comparative South Asia Panel)</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8.5 Alignment with National Visions (Smart Bangladesh 2041) and Sustainable Development Goals (SDG 8 </w:t>
      </w:r>
      <w:r>
        <w:rPr>
          <w:rFonts w:ascii="Times Roman" w:hAnsi="Times Roman" w:hint="default"/>
          <w:rtl w:val="0"/>
        </w:rPr>
        <w:t xml:space="preserve">– </w:t>
      </w:r>
      <w:r>
        <w:rPr>
          <w:rFonts w:ascii="Times Roman" w:hAnsi="Times Roman"/>
          <w:rtl w:val="0"/>
          <w:lang w:val="en-US"/>
        </w:rPr>
        <w:t xml:space="preserve">Decent Work &amp; Economic Growth, SDG 9 </w:t>
      </w:r>
      <w:r>
        <w:rPr>
          <w:rFonts w:ascii="Times Roman" w:hAnsi="Times Roman" w:hint="default"/>
          <w:rtl w:val="0"/>
        </w:rPr>
        <w:t xml:space="preserve">– </w:t>
      </w:r>
      <w:r>
        <w:rPr>
          <w:rFonts w:ascii="Times Roman" w:hAnsi="Times Roman"/>
          <w:rtl w:val="0"/>
          <w:lang w:val="en-US"/>
        </w:rPr>
        <w:t xml:space="preserve">Industry &amp; Innovation, SDG 10 </w:t>
      </w:r>
      <w:r>
        <w:rPr>
          <w:rFonts w:ascii="Times Roman" w:hAnsi="Times Roman" w:hint="default"/>
          <w:rtl w:val="0"/>
        </w:rPr>
        <w:t xml:space="preserve">– </w:t>
      </w:r>
      <w:r>
        <w:rPr>
          <w:rFonts w:ascii="Times Roman" w:hAnsi="Times Roman"/>
          <w:rtl w:val="0"/>
          <w:lang w:val="en-US"/>
        </w:rPr>
        <w:t>Reduced Inequalities)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8.6 Final Reflections: Toward an Inclusive, Resilient, Trustworthy, and Innovative Digital Financial Bangladesh by 2041 </w:t>
      </w:r>
      <w:r>
        <w:rPr>
          <w:rFonts w:ascii="Times Roman" w:hAnsi="Times Roman" w:hint="default"/>
          <w:rtl w:val="0"/>
        </w:rPr>
        <w:t xml:space="preserve">– </w:t>
      </w:r>
      <w:r>
        <w:rPr>
          <w:rFonts w:ascii="Times Roman" w:hAnsi="Times Roman"/>
          <w:rtl w:val="0"/>
          <w:lang w:val="en-US"/>
        </w:rPr>
        <w:t>Researcher</w:t>
      </w:r>
      <w:r>
        <w:rPr>
          <w:rFonts w:ascii="Times Roman" w:hAnsi="Times Roman" w:hint="default"/>
          <w:rtl w:val="1"/>
        </w:rPr>
        <w:t>’</w:t>
      </w:r>
      <w:r>
        <w:rPr>
          <w:rFonts w:ascii="Times Roman" w:hAnsi="Times Roman"/>
          <w:rtl w:val="0"/>
          <w:lang w:val="en-US"/>
        </w:rPr>
        <w:t>s Personal Insights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de-DE"/>
        </w:rPr>
        <w:t>REFERENCES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 xml:space="preserve">(APA 7th Edition </w:t>
      </w:r>
      <w:r>
        <w:rPr>
          <w:rFonts w:ascii="Times Roman" w:hAnsi="Times Roman" w:hint="default"/>
          <w:rtl w:val="0"/>
        </w:rPr>
        <w:t xml:space="preserve">– </w:t>
      </w:r>
      <w:r>
        <w:rPr>
          <w:rFonts w:ascii="Times Roman" w:hAnsi="Times Roman"/>
          <w:rtl w:val="0"/>
        </w:rPr>
        <w:t>180</w:t>
      </w:r>
      <w:r>
        <w:rPr>
          <w:rFonts w:ascii="Times Roman" w:hAnsi="Times Roman" w:hint="default"/>
          <w:rtl w:val="0"/>
        </w:rPr>
        <w:t>–</w:t>
      </w:r>
      <w:r>
        <w:rPr>
          <w:rFonts w:ascii="Times Roman" w:hAnsi="Times Roman"/>
          <w:rtl w:val="0"/>
          <w:lang w:val="en-US"/>
        </w:rPr>
        <w:t>220 sources: 60% peer-reviewed journals 2020</w:t>
      </w:r>
      <w:r>
        <w:rPr>
          <w:rFonts w:ascii="Times Roman" w:hAnsi="Times Roman" w:hint="default"/>
          <w:rtl w:val="0"/>
        </w:rPr>
        <w:t>–</w:t>
      </w:r>
      <w:r>
        <w:rPr>
          <w:rFonts w:ascii="Times Roman" w:hAnsi="Times Roman"/>
          <w:rtl w:val="0"/>
          <w:lang w:val="en-US"/>
        </w:rPr>
        <w:t>2026, 25% Bangladesh Bank/World Bank/IMF/GSMA/TI-Bangladesh reports 2024</w:t>
      </w:r>
      <w:r>
        <w:rPr>
          <w:rFonts w:ascii="Times Roman" w:hAnsi="Times Roman" w:hint="default"/>
          <w:rtl w:val="0"/>
        </w:rPr>
        <w:t>–</w:t>
      </w:r>
      <w:r>
        <w:rPr>
          <w:rFonts w:ascii="Times Roman" w:hAnsi="Times Roman"/>
          <w:rtl w:val="0"/>
          <w:lang w:val="en-US"/>
        </w:rPr>
        <w:t>2026, 15% foundational theory &amp; regional comparative studies)</w:t>
      </w:r>
    </w:p>
    <w:p>
      <w:pPr>
        <w:pStyle w:val="Default"/>
        <w:suppressAutoHyphens w:val="1"/>
        <w:spacing w:before="0" w:after="281" w:line="240" w:lineRule="auto"/>
        <w:jc w:val="left"/>
        <w:rPr>
          <w:rFonts w:ascii="Times Roman" w:cs="Times Roman" w:hAnsi="Times Roman" w:eastAsia="Times Roman"/>
          <w:b w:val="1"/>
          <w:bCs w:val="1"/>
          <w:sz w:val="28"/>
          <w:szCs w:val="28"/>
        </w:rPr>
      </w:pPr>
      <w:r>
        <w:rPr>
          <w:rFonts w:ascii="Times Roman" w:hAnsi="Times Roman"/>
          <w:b w:val="1"/>
          <w:bCs w:val="1"/>
          <w:sz w:val="28"/>
          <w:szCs w:val="28"/>
          <w:rtl w:val="0"/>
          <w:lang w:val="es-ES_tradnl"/>
        </w:rPr>
        <w:t>APPENDICES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Appendix A: Research Questionnaire (Full English &amp; Bengali Versions with Consent &amp; Ethics Statement)</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Appendix B: Semi-Structured Interview Guide, Consent Form, and Transcription Protocol</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Appendix C: List of Sampled Banks, Branches, MFS Agents, and Expert Participants (Anonymized with Codes)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Appendix D: Detailed Statistical Outputs (SPSS Data Screening, SmartPLS Measurement &amp; Structural Model Reports, Path Diagrams, MGA Results, Cluster Profiles)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Appendix E: Secondary Data Compilation (Bangladesh Bank Transaction Statistics 2018</w:t>
      </w:r>
      <w:r>
        <w:rPr>
          <w:rFonts w:ascii="Times Roman" w:hAnsi="Times Roman" w:hint="default"/>
          <w:rtl w:val="0"/>
        </w:rPr>
        <w:t>–</w:t>
      </w:r>
      <w:r>
        <w:rPr>
          <w:rFonts w:ascii="Times Roman" w:hAnsi="Times Roman"/>
          <w:rtl w:val="0"/>
          <w:lang w:val="en-US"/>
        </w:rPr>
        <w:t>2026, Charts, Heat Maps, Findex Extracts)</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en-US"/>
        </w:rPr>
        <w:t>Appendix F: Policy Documents and Guidelines Excerpts (Digital Bank Guidelines v2 2025, MFS Regulations 2022 &amp; Amendments, BFIU Circulars on Fraud)</w:t>
      </w:r>
    </w:p>
    <w:p>
      <w:pPr>
        <w:pStyle w:val="Default"/>
        <w:suppressAutoHyphens w:val="1"/>
        <w:spacing w:before="0" w:after="240" w:line="240" w:lineRule="auto"/>
        <w:ind w:left="360"/>
        <w:jc w:val="left"/>
        <w:rPr>
          <w:rFonts w:ascii="Times Roman" w:cs="Times Roman" w:hAnsi="Times Roman" w:eastAsia="Times Roman"/>
        </w:rPr>
      </w:pPr>
      <w:r>
        <w:rPr>
          <w:rFonts w:ascii="Times Roman" w:hAnsi="Times Roman"/>
          <w:rtl w:val="0"/>
          <w:lang w:val="da-DK"/>
        </w:rPr>
        <w:t xml:space="preserve">Appendix </w:t>
      </w:r>
      <w:r>
        <w:rPr>
          <w:rFonts w:ascii="Times Roman" w:hAnsi="Times Roman"/>
          <w:rtl w:val="0"/>
          <w:lang w:val="en-US"/>
        </w:rPr>
        <w:t>G</w:t>
      </w:r>
      <w:r>
        <w:rPr>
          <w:rFonts w:ascii="Times Roman" w:hAnsi="Times Roman"/>
          <w:rtl w:val="0"/>
          <w:lang w:val="en-US"/>
        </w:rPr>
        <w:t>: Scenario Planning Matrices and Morphological Analysis Outputs for 2030</w:t>
      </w:r>
      <w:r>
        <w:rPr>
          <w:rFonts w:ascii="Times Roman" w:hAnsi="Times Roman" w:hint="default"/>
          <w:rtl w:val="0"/>
        </w:rPr>
        <w:t>–</w:t>
      </w:r>
      <w:r>
        <w:rPr>
          <w:rFonts w:ascii="Times Roman" w:hAnsi="Times Roman"/>
          <w:rtl w:val="0"/>
          <w:lang w:val="en-US"/>
        </w:rPr>
        <w:t>2041 Prospects</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TABLES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Table 6.1:</w:t>
      </w:r>
      <w:r>
        <w:rPr>
          <w:rFonts w:ascii="Times Roman" w:hAnsi="Times Roman"/>
          <w:rtl w:val="0"/>
          <w:lang w:val="en-US"/>
        </w:rPr>
        <w:t xml:space="preserve"> Construct Reliability and Convergent Validity Metrics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α</w:t>
      </w:r>
      <w:r>
        <w:rPr>
          <w:rFonts w:ascii="Times Roman" w:hAnsi="Times Roman"/>
          <w:rtl w:val="0"/>
          <w:lang w:val="de-DE"/>
        </w:rPr>
        <w:t>, CR, AVE)</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Table 6.2:</w:t>
      </w:r>
      <w:r>
        <w:rPr>
          <w:rFonts w:ascii="Times Roman" w:hAnsi="Times Roman"/>
          <w:rtl w:val="0"/>
          <w:lang w:val="en-US"/>
        </w:rPr>
        <w:t xml:space="preserve"> Discriminant Validity (Fornell-Larcker Criterion &amp; HTMT Ratio)</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Table 6.3:</w:t>
      </w:r>
      <w:r>
        <w:rPr>
          <w:rFonts w:ascii="Times Roman" w:hAnsi="Times Roman"/>
          <w:rtl w:val="0"/>
          <w:lang w:val="en-US"/>
        </w:rPr>
        <w:t xml:space="preserve"> Prioritized Challenge Clusters (Importance-Performance Analysis Results)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Table 6.4:</w:t>
      </w:r>
      <w:r>
        <w:rPr>
          <w:rFonts w:ascii="Times Roman" w:hAnsi="Times Roman"/>
          <w:rtl w:val="0"/>
          <w:lang w:val="en-US"/>
        </w:rPr>
        <w:t xml:space="preserve"> Multi-Group Analysis (MGA) Path Coefficient Comparisons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Table 7.1:</w:t>
      </w:r>
      <w:r>
        <w:rPr>
          <w:rFonts w:ascii="Times Roman" w:hAnsi="Times Roman"/>
          <w:rtl w:val="0"/>
          <w:lang w:val="en-US"/>
        </w:rPr>
        <w:t xml:space="preserve"> Joint Display of Quantitative and Qualitative Findings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Table 7.2:</w:t>
      </w:r>
      <w:r>
        <w:rPr>
          <w:rFonts w:ascii="Times Roman" w:hAnsi="Times Roman"/>
          <w:rtl w:val="0"/>
          <w:lang w:val="en-US"/>
        </w:rPr>
        <w:t xml:space="preserve"> Integrated Stakeholder Recommendation Matrix</w:t>
      </w:r>
    </w:p>
    <w:p>
      <w:pPr>
        <w:pStyle w:val="Default"/>
        <w:numPr>
          <w:ilvl w:val="0"/>
          <w:numId w:val="3"/>
        </w:numPr>
        <w:suppressAutoHyphens w:val="1"/>
        <w:spacing w:before="0" w:after="240" w:line="240" w:lineRule="auto"/>
        <w:jc w:val="left"/>
        <w:rPr>
          <w:rFonts w:ascii="Times Roman" w:hAnsi="Times Roman"/>
          <w:lang w:val="fr-FR"/>
        </w:rPr>
      </w:pPr>
      <w:r>
        <w:rPr>
          <w:rFonts w:ascii="Times Roman" w:hAnsi="Times Roman"/>
          <w:b w:val="1"/>
          <w:bCs w:val="1"/>
          <w:rtl w:val="0"/>
          <w:lang w:val="fr-FR"/>
        </w:rPr>
        <w:t>Table E.1:</w:t>
      </w:r>
      <w:r>
        <w:rPr>
          <w:rFonts w:ascii="Times Roman" w:hAnsi="Times Roman"/>
          <w:rtl w:val="0"/>
          <w:lang w:val="en-US"/>
        </w:rPr>
        <w:t xml:space="preserve"> Bangladesh Bank MFS Transaction Statistics (2018</w:t>
      </w:r>
      <w:r>
        <w:rPr>
          <w:rFonts w:ascii="Times Roman" w:hAnsi="Times Roman" w:hint="default"/>
          <w:rtl w:val="0"/>
        </w:rPr>
        <w:t>–</w:t>
      </w:r>
      <w:r>
        <w:rPr>
          <w:rFonts w:ascii="Times Roman" w:hAnsi="Times Roman"/>
          <w:rtl w:val="0"/>
        </w:rPr>
        <w:t>2026)</w:t>
      </w:r>
    </w:p>
    <w:p>
      <w:pPr>
        <w:pStyle w:val="Default"/>
        <w:numPr>
          <w:ilvl w:val="0"/>
          <w:numId w:val="3"/>
        </w:numPr>
        <w:suppressAutoHyphens w:val="1"/>
        <w:spacing w:before="0" w:after="240" w:line="240" w:lineRule="auto"/>
        <w:jc w:val="left"/>
        <w:rPr>
          <w:rFonts w:ascii="Times Roman" w:hAnsi="Times Roman"/>
          <w:lang w:val="fr-FR"/>
        </w:rPr>
      </w:pPr>
      <w:r>
        <w:rPr>
          <w:rFonts w:ascii="Times Roman" w:hAnsi="Times Roman"/>
          <w:b w:val="1"/>
          <w:bCs w:val="1"/>
          <w:rtl w:val="0"/>
          <w:lang w:val="fr-FR"/>
        </w:rPr>
        <w:t>Table E.2:</w:t>
      </w:r>
      <w:r>
        <w:rPr>
          <w:rFonts w:ascii="Times Roman" w:hAnsi="Times Roman"/>
          <w:rtl w:val="0"/>
          <w:lang w:val="en-US"/>
        </w:rPr>
        <w:t xml:space="preserve"> Extracts from World Bank Global Findex 2025</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FIGURES</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1.1:</w:t>
      </w:r>
      <w:r>
        <w:rPr>
          <w:rFonts w:ascii="Times Roman" w:hAnsi="Times Roman"/>
          <w:rtl w:val="0"/>
          <w:lang w:val="en-US"/>
        </w:rPr>
        <w:t xml:space="preserve"> Growth Trajectory of Registered MFS Accounts in Bangladesh (2011</w:t>
      </w:r>
      <w:r>
        <w:rPr>
          <w:rFonts w:ascii="Times Roman" w:hAnsi="Times Roman" w:hint="default"/>
          <w:rtl w:val="0"/>
        </w:rPr>
        <w:t>–</w:t>
      </w:r>
      <w:r>
        <w:rPr>
          <w:rFonts w:ascii="Times Roman" w:hAnsi="Times Roman"/>
          <w:rtl w:val="0"/>
        </w:rPr>
        <w:t>2025)</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1.2:</w:t>
      </w:r>
      <w:r>
        <w:rPr>
          <w:rFonts w:ascii="Times Roman" w:hAnsi="Times Roman"/>
          <w:rtl w:val="0"/>
          <w:lang w:val="en-US"/>
        </w:rPr>
        <w:t xml:space="preserve"> Security Vulnerabilities </w:t>
      </w:r>
      <w:r>
        <w:rPr>
          <w:rFonts w:ascii="Times Roman" w:hAnsi="Times Roman" w:hint="default"/>
          <w:rtl w:val="0"/>
        </w:rPr>
        <w:t xml:space="preserve">– </w:t>
      </w:r>
      <w:r>
        <w:rPr>
          <w:rFonts w:ascii="Times Roman" w:hAnsi="Times Roman"/>
          <w:rtl w:val="0"/>
          <w:lang w:val="en-US"/>
        </w:rPr>
        <w:t>Distribution of Fraud Victims</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1.3:</w:t>
      </w:r>
      <w:r>
        <w:rPr>
          <w:rFonts w:ascii="Times Roman" w:hAnsi="Times Roman"/>
          <w:rtl w:val="0"/>
          <w:lang w:val="en-US"/>
        </w:rPr>
        <w:t xml:space="preserve"> Preliminary Extended UTAUT2 Conceptual Framework for Bangladesh</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2.1:</w:t>
      </w:r>
      <w:r>
        <w:rPr>
          <w:rFonts w:ascii="Times Roman" w:hAnsi="Times Roman"/>
          <w:rtl w:val="0"/>
          <w:lang w:val="en-US"/>
        </w:rPr>
        <w:t xml:space="preserve"> Comparative Digital Banking Penetration and Inclusion Rates</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2.2:</w:t>
      </w:r>
      <w:r>
        <w:rPr>
          <w:rFonts w:ascii="Times Roman" w:hAnsi="Times Roman"/>
          <w:rtl w:val="0"/>
          <w:lang w:val="en-US"/>
        </w:rPr>
        <w:t xml:space="preserve"> The Core UTAUT2 Framework</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2.3:</w:t>
      </w:r>
      <w:r>
        <w:rPr>
          <w:rFonts w:ascii="Times Roman" w:hAnsi="Times Roman"/>
          <w:rtl w:val="0"/>
          <w:lang w:val="en-US"/>
        </w:rPr>
        <w:t xml:space="preserve"> Proposed Integrated Conceptual Model for Bangladesh</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3.1:</w:t>
      </w:r>
      <w:r>
        <w:rPr>
          <w:rFonts w:ascii="Times Roman" w:hAnsi="Times Roman"/>
          <w:rtl w:val="0"/>
          <w:lang w:val="en-US"/>
        </w:rPr>
        <w:t xml:space="preserve"> PRISMA 2020 Flow Diagram</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4.1:</w:t>
      </w:r>
      <w:r>
        <w:rPr>
          <w:rFonts w:ascii="Times Roman" w:hAnsi="Times Roman"/>
          <w:rtl w:val="0"/>
          <w:lang w:val="en-US"/>
        </w:rPr>
        <w:t xml:space="preserve"> Transaction Value Growth Trajectories (MFS vs. Internet Banking)</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4.2:</w:t>
      </w:r>
      <w:r>
        <w:rPr>
          <w:rFonts w:ascii="Times Roman" w:hAnsi="Times Roman"/>
          <w:rtl w:val="0"/>
          <w:lang w:val="en-US"/>
        </w:rPr>
        <w:t xml:space="preserve"> E-Banking Market Concentration and MFS Provider Share</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4.3:</w:t>
      </w:r>
      <w:r>
        <w:rPr>
          <w:rFonts w:ascii="Times Roman" w:hAnsi="Times Roman"/>
          <w:rtl w:val="0"/>
        </w:rPr>
        <w:t xml:space="preserve"> The Digital Divide: Urban vs. Rural Infrastructure</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4.4:</w:t>
      </w:r>
      <w:r>
        <w:rPr>
          <w:rFonts w:ascii="Times Roman" w:hAnsi="Times Roman"/>
          <w:rtl w:val="0"/>
          <w:lang w:val="en-US"/>
        </w:rPr>
        <w:t xml:space="preserve"> Regulatory Workflow for Digital Bank Licensing</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5.1:</w:t>
      </w:r>
      <w:r>
        <w:rPr>
          <w:rFonts w:ascii="Times Roman" w:hAnsi="Times Roman"/>
          <w:rtl w:val="0"/>
          <w:lang w:val="en-US"/>
        </w:rPr>
        <w:t xml:space="preserve"> Mixed-Methods Sequential Explanatory Design Framework</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5.2:</w:t>
      </w:r>
      <w:r>
        <w:rPr>
          <w:rFonts w:ascii="Times Roman" w:hAnsi="Times Roman"/>
          <w:rtl w:val="0"/>
          <w:lang w:val="en-US"/>
        </w:rPr>
        <w:t xml:space="preserve"> Multi-Stage Stratified Sampling Breakdown</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5.3:</w:t>
      </w:r>
      <w:r>
        <w:rPr>
          <w:rFonts w:ascii="Times Roman" w:hAnsi="Times Roman"/>
          <w:rtl w:val="0"/>
          <w:lang w:val="en-US"/>
        </w:rPr>
        <w:t xml:space="preserve"> Research Project Timeline (Gantt Chart)</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6.1:</w:t>
      </w:r>
      <w:r>
        <w:rPr>
          <w:rFonts w:ascii="Times Roman" w:hAnsi="Times Roman"/>
          <w:rtl w:val="0"/>
          <w:lang w:val="de-DE"/>
        </w:rPr>
        <w:t xml:space="preserve"> Demographic Dashboard (Urban/Rural &amp; Gender Split)</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6.2:</w:t>
      </w:r>
      <w:r>
        <w:rPr>
          <w:rFonts w:ascii="Times Roman" w:hAnsi="Times Roman"/>
          <w:rtl w:val="0"/>
          <w:lang w:val="it-IT"/>
        </w:rPr>
        <w:t xml:space="preserve"> Service Channel Performance</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6.3:</w:t>
      </w:r>
      <w:r>
        <w:rPr>
          <w:rFonts w:ascii="Times Roman" w:hAnsi="Times Roman"/>
          <w:rtl w:val="0"/>
          <w:lang w:val="en-US"/>
        </w:rPr>
        <w:t xml:space="preserve"> Structural Equation Model (SEM) Path Diagram</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6.4:</w:t>
      </w:r>
      <w:r>
        <w:rPr>
          <w:rFonts w:ascii="Times Roman" w:hAnsi="Times Roman"/>
          <w:rtl w:val="0"/>
          <w:lang w:val="en-US"/>
        </w:rPr>
        <w:t xml:space="preserve"> Importance-Performance Analysis (IPA) Matrix</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6.5:</w:t>
      </w:r>
      <w:r>
        <w:rPr>
          <w:rFonts w:ascii="Times Roman" w:hAnsi="Times Roman"/>
          <w:rtl w:val="0"/>
          <w:lang w:val="en-US"/>
        </w:rPr>
        <w:t xml:space="preserve"> Financial Inclusion Projections (2025</w:t>
      </w:r>
      <w:r>
        <w:rPr>
          <w:rFonts w:ascii="Times Roman" w:hAnsi="Times Roman" w:hint="default"/>
          <w:rtl w:val="0"/>
        </w:rPr>
        <w:t>–</w:t>
      </w:r>
      <w:r>
        <w:rPr>
          <w:rFonts w:ascii="Times Roman" w:hAnsi="Times Roman"/>
          <w:rtl w:val="0"/>
        </w:rPr>
        <w:t>2041)</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7.1:</w:t>
      </w:r>
      <w:r>
        <w:rPr>
          <w:rFonts w:ascii="Times Roman" w:hAnsi="Times Roman"/>
          <w:rtl w:val="0"/>
          <w:lang w:val="en-US"/>
        </w:rPr>
        <w:t xml:space="preserve"> Extended UTAUT2 Structural Flowchart</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7.2:</w:t>
      </w:r>
      <w:r>
        <w:rPr>
          <w:rFonts w:ascii="Times Roman" w:hAnsi="Times Roman"/>
          <w:rtl w:val="0"/>
          <w:lang w:val="en-US"/>
        </w:rPr>
        <w:t xml:space="preserve"> IPA Challenges Ranking</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7.3:</w:t>
      </w:r>
      <w:r>
        <w:rPr>
          <w:rFonts w:ascii="Times Roman" w:hAnsi="Times Roman"/>
          <w:rtl w:val="0"/>
          <w:lang w:val="en-US"/>
        </w:rPr>
        <w:t xml:space="preserve"> Projected Active Digital Usage Scenarios</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8.1:</w:t>
      </w:r>
      <w:r>
        <w:rPr>
          <w:rFonts w:ascii="Times Roman" w:hAnsi="Times Roman"/>
          <w:rtl w:val="0"/>
          <w:lang w:val="en-US"/>
        </w:rPr>
        <w:t xml:space="preserve"> Phased Strategic Implementation Roadmap</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8.2:</w:t>
      </w:r>
      <w:r>
        <w:rPr>
          <w:rFonts w:ascii="Times Roman" w:hAnsi="Times Roman"/>
          <w:rtl w:val="0"/>
          <w:lang w:val="en-US"/>
        </w:rPr>
        <w:t xml:space="preserve"> Target Gap Closures for SDGs</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8.3:</w:t>
      </w:r>
      <w:r>
        <w:rPr>
          <w:rFonts w:ascii="Times Roman" w:hAnsi="Times Roman"/>
          <w:rtl w:val="0"/>
          <w:lang w:val="en-US"/>
        </w:rPr>
        <w:t xml:space="preserve"> Proposed Methodological and Sectoral Research Agenda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LIST OF ABBREVIATIONS AND ACRONYMS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AML/CFT:</w:t>
      </w:r>
      <w:r>
        <w:rPr>
          <w:rFonts w:ascii="Times Roman" w:hAnsi="Times Roman"/>
          <w:rtl w:val="0"/>
          <w:lang w:val="en-US"/>
        </w:rPr>
        <w:t xml:space="preserve"> Anti-Money Laundering / Combating the Financing of Terrorism</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API:</w:t>
      </w:r>
      <w:r>
        <w:rPr>
          <w:rFonts w:ascii="Times Roman" w:hAnsi="Times Roman"/>
          <w:rtl w:val="0"/>
          <w:lang w:val="en-US"/>
        </w:rPr>
        <w:t xml:space="preserve"> Application Programming Interface</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BB:</w:t>
      </w:r>
      <w:r>
        <w:rPr>
          <w:rFonts w:ascii="Times Roman" w:hAnsi="Times Roman"/>
          <w:rtl w:val="0"/>
          <w:lang w:val="de-DE"/>
        </w:rPr>
        <w:t xml:space="preserve"> Bangladesh Bank</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BFIU:</w:t>
      </w:r>
      <w:r>
        <w:rPr>
          <w:rFonts w:ascii="Times Roman" w:hAnsi="Times Roman"/>
          <w:rtl w:val="0"/>
          <w:lang w:val="en-US"/>
        </w:rPr>
        <w:t xml:space="preserve"> Bangladesh Financial Intelligence Unit</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CBDC:</w:t>
      </w:r>
      <w:r>
        <w:rPr>
          <w:rFonts w:ascii="Times Roman" w:hAnsi="Times Roman"/>
          <w:rtl w:val="0"/>
        </w:rPr>
        <w:t xml:space="preserve"> Central Bank Digital Currency</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CFA/EFA:</w:t>
      </w:r>
      <w:r>
        <w:rPr>
          <w:rFonts w:ascii="Times Roman" w:hAnsi="Times Roman"/>
          <w:rtl w:val="0"/>
          <w:lang w:val="en-US"/>
        </w:rPr>
        <w:t xml:space="preserve"> Confirmatory Factor Analysis / Exploratory Factor Analysis</w:t>
      </w:r>
    </w:p>
    <w:p>
      <w:pPr>
        <w:pStyle w:val="Default"/>
        <w:numPr>
          <w:ilvl w:val="0"/>
          <w:numId w:val="3"/>
        </w:numPr>
        <w:suppressAutoHyphens w:val="1"/>
        <w:spacing w:before="0" w:after="240" w:line="240" w:lineRule="auto"/>
        <w:jc w:val="left"/>
        <w:rPr>
          <w:rFonts w:ascii="Times Roman" w:hAnsi="Times Roman"/>
          <w:lang w:val="fr-FR"/>
        </w:rPr>
      </w:pPr>
      <w:r>
        <w:rPr>
          <w:rFonts w:ascii="Times Roman" w:hAnsi="Times Roman"/>
          <w:b w:val="1"/>
          <w:bCs w:val="1"/>
          <w:rtl w:val="0"/>
          <w:lang w:val="fr-FR"/>
        </w:rPr>
        <w:t>DOI:</w:t>
      </w:r>
      <w:r>
        <w:rPr>
          <w:rFonts w:ascii="Times Roman" w:hAnsi="Times Roman"/>
          <w:rtl w:val="0"/>
          <w:lang w:val="en-US"/>
        </w:rPr>
        <w:t xml:space="preserve"> Diffusion of Innovations Theory</w:t>
      </w:r>
    </w:p>
    <w:p>
      <w:pPr>
        <w:pStyle w:val="Default"/>
        <w:numPr>
          <w:ilvl w:val="0"/>
          <w:numId w:val="3"/>
        </w:numPr>
        <w:suppressAutoHyphens w:val="1"/>
        <w:spacing w:before="0" w:after="240" w:line="240" w:lineRule="auto"/>
        <w:jc w:val="left"/>
        <w:rPr>
          <w:rFonts w:ascii="Times Roman" w:hAnsi="Times Roman"/>
          <w:lang w:val="de-DE"/>
        </w:rPr>
      </w:pPr>
      <w:r>
        <w:rPr>
          <w:rFonts w:ascii="Times Roman" w:hAnsi="Times Roman"/>
          <w:b w:val="1"/>
          <w:bCs w:val="1"/>
          <w:rtl w:val="0"/>
          <w:lang w:val="de-DE"/>
        </w:rPr>
        <w:t>e-KYC:</w:t>
      </w:r>
      <w:r>
        <w:rPr>
          <w:rFonts w:ascii="Times Roman" w:hAnsi="Times Roman"/>
          <w:rtl w:val="0"/>
          <w:lang w:val="en-US"/>
        </w:rPr>
        <w:t xml:space="preserve"> Electronic Know Your Customer</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G2P:</w:t>
      </w:r>
      <w:r>
        <w:rPr>
          <w:rFonts w:ascii="Times Roman" w:hAnsi="Times Roman"/>
          <w:rtl w:val="0"/>
          <w:lang w:val="en-US"/>
        </w:rPr>
        <w:t xml:space="preserve"> Government-to-Person</w:t>
      </w:r>
    </w:p>
    <w:p>
      <w:pPr>
        <w:pStyle w:val="Default"/>
        <w:numPr>
          <w:ilvl w:val="0"/>
          <w:numId w:val="3"/>
        </w:numPr>
        <w:suppressAutoHyphens w:val="1"/>
        <w:spacing w:before="0" w:after="240" w:line="240" w:lineRule="auto"/>
        <w:jc w:val="left"/>
        <w:rPr>
          <w:rFonts w:ascii="Times Roman" w:hAnsi="Times Roman"/>
          <w:lang w:val="de-DE"/>
        </w:rPr>
      </w:pPr>
      <w:r>
        <w:rPr>
          <w:rFonts w:ascii="Times Roman" w:hAnsi="Times Roman"/>
          <w:b w:val="1"/>
          <w:bCs w:val="1"/>
          <w:rtl w:val="0"/>
          <w:lang w:val="de-DE"/>
        </w:rPr>
        <w:t>HHI:</w:t>
      </w:r>
      <w:r>
        <w:rPr>
          <w:rFonts w:ascii="Times Roman" w:hAnsi="Times Roman"/>
          <w:rtl w:val="0"/>
          <w:lang w:val="de-DE"/>
        </w:rPr>
        <w:t xml:space="preserve"> Herfindahl-Hirschman Index</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IDTP:</w:t>
      </w:r>
      <w:r>
        <w:rPr>
          <w:rFonts w:ascii="Times Roman" w:hAnsi="Times Roman"/>
          <w:rtl w:val="0"/>
          <w:lang w:val="it-IT"/>
        </w:rPr>
        <w:t xml:space="preserve"> Interoperable Digital Transaction Platform (Binimoy)</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IPA:</w:t>
      </w:r>
      <w:r>
        <w:rPr>
          <w:rFonts w:ascii="Times Roman" w:hAnsi="Times Roman"/>
          <w:rtl w:val="0"/>
          <w:lang w:val="en-US"/>
        </w:rPr>
        <w:t xml:space="preserve"> Importance-Performance Analysis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MDS:</w:t>
      </w:r>
      <w:r>
        <w:rPr>
          <w:rFonts w:ascii="Times Roman" w:hAnsi="Times Roman"/>
          <w:rtl w:val="0"/>
          <w:lang w:val="en-US"/>
        </w:rPr>
        <w:t xml:space="preserve"> Master of Development Studies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MFS:</w:t>
      </w:r>
      <w:r>
        <w:rPr>
          <w:rFonts w:ascii="Times Roman" w:hAnsi="Times Roman"/>
          <w:rtl w:val="0"/>
          <w:lang w:val="it-IT"/>
        </w:rPr>
        <w:t xml:space="preserve"> Mobile Financial Services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MGA:</w:t>
      </w:r>
      <w:r>
        <w:rPr>
          <w:rFonts w:ascii="Times Roman" w:hAnsi="Times Roman"/>
          <w:rtl w:val="0"/>
          <w:lang w:val="en-US"/>
        </w:rPr>
        <w:t xml:space="preserve"> Multi-Group Analysis</w:t>
      </w:r>
    </w:p>
    <w:p>
      <w:pPr>
        <w:pStyle w:val="Default"/>
        <w:numPr>
          <w:ilvl w:val="0"/>
          <w:numId w:val="3"/>
        </w:numPr>
        <w:suppressAutoHyphens w:val="1"/>
        <w:spacing w:before="0" w:after="240" w:line="240" w:lineRule="auto"/>
        <w:jc w:val="left"/>
        <w:rPr>
          <w:rFonts w:ascii="Times Roman" w:hAnsi="Times Roman"/>
          <w:lang w:val="fr-FR"/>
        </w:rPr>
      </w:pPr>
      <w:r>
        <w:rPr>
          <w:rFonts w:ascii="Times Roman" w:hAnsi="Times Roman"/>
          <w:b w:val="1"/>
          <w:bCs w:val="1"/>
          <w:rtl w:val="0"/>
          <w:lang w:val="fr-FR"/>
        </w:rPr>
        <w:t>NPSB:</w:t>
      </w:r>
      <w:r>
        <w:rPr>
          <w:rFonts w:ascii="Times Roman" w:hAnsi="Times Roman"/>
          <w:rtl w:val="0"/>
          <w:lang w:val="en-US"/>
        </w:rPr>
        <w:t xml:space="preserve"> National Payment Switch Bangladesh</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PLS-SEM:</w:t>
      </w:r>
      <w:r>
        <w:rPr>
          <w:rFonts w:ascii="Times Roman" w:hAnsi="Times Roman"/>
          <w:rtl w:val="0"/>
          <w:lang w:val="en-US"/>
        </w:rPr>
        <w:t xml:space="preserve"> Partial Least Squares Structural Equation Modeling</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POS:</w:t>
      </w:r>
      <w:r>
        <w:rPr>
          <w:rFonts w:ascii="Times Roman" w:hAnsi="Times Roman"/>
          <w:rtl w:val="0"/>
          <w:lang w:val="en-US"/>
        </w:rPr>
        <w:t xml:space="preserve"> Point of Sale</w:t>
      </w:r>
    </w:p>
    <w:p>
      <w:pPr>
        <w:pStyle w:val="Default"/>
        <w:numPr>
          <w:ilvl w:val="0"/>
          <w:numId w:val="3"/>
        </w:numPr>
        <w:suppressAutoHyphens w:val="1"/>
        <w:spacing w:before="0" w:after="240" w:line="240" w:lineRule="auto"/>
        <w:jc w:val="left"/>
        <w:rPr>
          <w:rFonts w:ascii="Times Roman" w:hAnsi="Times Roman"/>
          <w:lang w:val="pt-PT"/>
        </w:rPr>
      </w:pPr>
      <w:r>
        <w:rPr>
          <w:rFonts w:ascii="Times Roman" w:hAnsi="Times Roman"/>
          <w:b w:val="1"/>
          <w:bCs w:val="1"/>
          <w:rtl w:val="0"/>
          <w:lang w:val="pt-PT"/>
        </w:rPr>
        <w:t>PSO / PSP:</w:t>
      </w:r>
      <w:r>
        <w:rPr>
          <w:rFonts w:ascii="Times Roman" w:hAnsi="Times Roman"/>
          <w:rtl w:val="0"/>
          <w:lang w:val="en-US"/>
        </w:rPr>
        <w:t xml:space="preserve"> Payment System Operator / Payment Service Provider</w:t>
      </w:r>
    </w:p>
    <w:p>
      <w:pPr>
        <w:pStyle w:val="Default"/>
        <w:numPr>
          <w:ilvl w:val="0"/>
          <w:numId w:val="3"/>
        </w:numPr>
        <w:suppressAutoHyphens w:val="1"/>
        <w:spacing w:before="0" w:after="240" w:line="240" w:lineRule="auto"/>
        <w:jc w:val="left"/>
        <w:rPr>
          <w:rFonts w:ascii="Times Roman" w:hAnsi="Times Roman"/>
          <w:lang w:val="pt-PT"/>
        </w:rPr>
      </w:pPr>
      <w:r>
        <w:rPr>
          <w:rFonts w:ascii="Times Roman" w:hAnsi="Times Roman"/>
          <w:b w:val="1"/>
          <w:bCs w:val="1"/>
          <w:rtl w:val="0"/>
          <w:lang w:val="pt-PT"/>
        </w:rPr>
        <w:t>SDG:</w:t>
      </w:r>
      <w:r>
        <w:rPr>
          <w:rFonts w:ascii="Times Roman" w:hAnsi="Times Roman"/>
          <w:rtl w:val="0"/>
          <w:lang w:val="en-US"/>
        </w:rPr>
        <w:t xml:space="preserve"> Sustainable Development Goals</w:t>
      </w:r>
    </w:p>
    <w:p>
      <w:pPr>
        <w:pStyle w:val="Default"/>
        <w:numPr>
          <w:ilvl w:val="0"/>
          <w:numId w:val="3"/>
        </w:numPr>
        <w:suppressAutoHyphens w:val="1"/>
        <w:spacing w:before="0" w:after="240" w:line="240" w:lineRule="auto"/>
        <w:jc w:val="left"/>
        <w:rPr>
          <w:rFonts w:ascii="Times Roman" w:hAnsi="Times Roman"/>
        </w:rPr>
      </w:pPr>
      <w:r>
        <w:rPr>
          <w:rFonts w:ascii="Times Roman" w:hAnsi="Times Roman"/>
          <w:b w:val="1"/>
          <w:bCs w:val="1"/>
          <w:rtl w:val="0"/>
        </w:rPr>
        <w:t>TAM:</w:t>
      </w:r>
      <w:r>
        <w:rPr>
          <w:rFonts w:ascii="Times Roman" w:hAnsi="Times Roman"/>
          <w:rtl w:val="0"/>
          <w:lang w:val="en-US"/>
        </w:rPr>
        <w:t xml:space="preserve"> Technology Acceptance Model</w:t>
      </w:r>
    </w:p>
    <w:p>
      <w:pPr>
        <w:pStyle w:val="Default"/>
        <w:numPr>
          <w:ilvl w:val="0"/>
          <w:numId w:val="3"/>
        </w:numPr>
        <w:suppressAutoHyphens w:val="1"/>
        <w:spacing w:before="0" w:after="240" w:line="240" w:lineRule="auto"/>
        <w:jc w:val="left"/>
        <w:rPr>
          <w:rFonts w:ascii="Times Roman" w:hAnsi="Times Roman"/>
          <w:lang w:val="de-DE"/>
        </w:rPr>
      </w:pPr>
      <w:r>
        <w:rPr>
          <w:rFonts w:ascii="Times Roman" w:hAnsi="Times Roman"/>
          <w:b w:val="1"/>
          <w:bCs w:val="1"/>
          <w:rtl w:val="0"/>
          <w:lang w:val="de-DE"/>
        </w:rPr>
        <w:t>UTAUT2:</w:t>
      </w:r>
      <w:r>
        <w:rPr>
          <w:rFonts w:ascii="Times Roman" w:hAnsi="Times Roman"/>
          <w:rtl w:val="0"/>
          <w:lang w:val="en-US"/>
        </w:rPr>
        <w:t xml:space="preserve"> Unified Theory of Acceptance and Use of Technology (Extended)</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suppressAutoHyphens w:val="1"/>
        <w:spacing w:before="0" w:after="160" w:line="240" w:lineRule="auto"/>
        <w:rPr>
          <w:rFonts w:ascii="Helvetica" w:cs="Helvetica" w:hAnsi="Helvetica" w:eastAsia="Helvetica"/>
          <w:b w:val="1"/>
          <w:bCs w:val="1"/>
          <w:outline w:val="0"/>
          <w:color w:val="1f1f1f"/>
          <w:sz w:val="28"/>
          <w:szCs w:val="28"/>
          <w14:textFill>
            <w14:solidFill>
              <w14:srgbClr w14:val="1F1F1F"/>
            </w14:solidFill>
          </w14:textFill>
        </w:rPr>
      </w:pPr>
    </w:p>
    <w:p>
      <w:pPr>
        <w:pStyle w:val="Default"/>
        <w:tabs>
          <w:tab w:val="left" w:pos="220"/>
          <w:tab w:val="left" w:pos="720"/>
        </w:tabs>
        <w:suppressAutoHyphens w:val="1"/>
        <w:spacing w:before="0" w:after="240" w:line="240" w:lineRule="auto"/>
        <w:ind w:left="720" w:hanging="720"/>
        <w:jc w:val="left"/>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de-DE"/>
        </w:rPr>
        <w:t>CHAPTER 1: INTRODUCTION</w:t>
      </w:r>
    </w:p>
    <w:p>
      <w:pPr>
        <w:pStyle w:val="Default"/>
        <w:suppressAutoHyphens w:val="1"/>
        <w:spacing w:before="0" w:after="240" w:line="240" w:lineRule="auto"/>
        <w:jc w:val="left"/>
        <w:rPr>
          <w:rFonts w:ascii="Times Roman" w:cs="Times Roman" w:hAnsi="Times Roman" w:eastAsia="Times Roman"/>
          <w:b w:val="0"/>
          <w:bCs w:val="0"/>
          <w:sz w:val="28"/>
          <w:szCs w:val="28"/>
        </w:rPr>
      </w:pPr>
      <w:r>
        <w:rPr>
          <w:rFonts w:ascii="Times Roman" w:hAnsi="Times Roman"/>
          <w:b w:val="1"/>
          <w:bCs w:val="1"/>
          <w:sz w:val="28"/>
          <w:szCs w:val="28"/>
          <w:rtl w:val="0"/>
          <w:lang w:val="en-US"/>
        </w:rPr>
        <w:t>1.1 Background of the Study: Digital Transformation of Bangladesh</w:t>
      </w:r>
      <w:r>
        <w:rPr>
          <w:rFonts w:ascii="Times Roman" w:hAnsi="Times Roman" w:hint="default"/>
          <w:b w:val="1"/>
          <w:bCs w:val="1"/>
          <w:sz w:val="28"/>
          <w:szCs w:val="28"/>
          <w:rtl w:val="1"/>
        </w:rPr>
        <w:t>’</w:t>
      </w:r>
      <w:r>
        <w:rPr>
          <w:rFonts w:ascii="Times Roman" w:hAnsi="Times Roman"/>
          <w:b w:val="1"/>
          <w:bCs w:val="1"/>
          <w:sz w:val="28"/>
          <w:szCs w:val="28"/>
          <w:rtl w:val="0"/>
          <w:lang w:val="pt-PT"/>
        </w:rPr>
        <w:t>s Financial Sector (2010</w:t>
      </w:r>
      <w:r>
        <w:rPr>
          <w:rFonts w:ascii="Times Roman" w:hAnsi="Times Roman" w:hint="default"/>
          <w:b w:val="1"/>
          <w:bCs w:val="1"/>
          <w:sz w:val="28"/>
          <w:szCs w:val="28"/>
          <w:rtl w:val="0"/>
        </w:rPr>
        <w:t>–</w:t>
      </w:r>
      <w:r>
        <w:rPr>
          <w:rFonts w:ascii="Times Roman" w:hAnsi="Times Roman"/>
          <w:b w:val="1"/>
          <w:bCs w:val="1"/>
          <w:sz w:val="28"/>
          <w:szCs w:val="28"/>
          <w:rtl w:val="0"/>
        </w:rPr>
        <w:t xml:space="preserve">2026)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From Mobile Money to Digital Banks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global financial sector has undergone a profound digital transformation over the past two decades, with mobile technology enabling developing economies to leapfrog traditional banking infrastructure. In many low- and middle-income countries, mobile financial services (MFS) have emerged as the primary vehicle for financial inclusion, reducing reliance on physical branches and cash-based transactions (World Bank, 2025; GSMA, 2025). Bangladesh exemplifies this trajectory, evolving from one of the world</w:t>
      </w:r>
      <w:r>
        <w:rPr>
          <w:rFonts w:ascii="Times Roman" w:hAnsi="Times Roman" w:hint="default"/>
          <w:rtl w:val="1"/>
        </w:rPr>
        <w:t>’</w:t>
      </w:r>
      <w:r>
        <w:rPr>
          <w:rFonts w:ascii="Times Roman" w:hAnsi="Times Roman"/>
          <w:rtl w:val="0"/>
          <w:lang w:val="en-US"/>
        </w:rPr>
        <w:t>s most cash-dominant economies in 2010 to a regional leader in mobile money by the mid-2020s, while simultaneously laying the regulatory foundations for full-fledged digital banking.</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Prior to 2011, Bangladesh</w:t>
      </w:r>
      <w:r>
        <w:rPr>
          <w:rFonts w:ascii="Times Roman" w:hAnsi="Times Roman" w:hint="default"/>
          <w:rtl w:val="1"/>
        </w:rPr>
        <w:t>’</w:t>
      </w:r>
      <w:r>
        <w:rPr>
          <w:rFonts w:ascii="Times Roman" w:hAnsi="Times Roman"/>
          <w:rtl w:val="0"/>
          <w:lang w:val="en-US"/>
        </w:rPr>
        <w:t>s financial sector was characterised by low formal inclusion. The World Bank</w:t>
      </w:r>
      <w:r>
        <w:rPr>
          <w:rFonts w:ascii="Times Roman" w:hAnsi="Times Roman" w:hint="default"/>
          <w:rtl w:val="1"/>
        </w:rPr>
        <w:t>’</w:t>
      </w:r>
      <w:r>
        <w:rPr>
          <w:rFonts w:ascii="Times Roman" w:hAnsi="Times Roman"/>
          <w:rtl w:val="0"/>
          <w:lang w:val="en-US"/>
        </w:rPr>
        <w:t>s Global Findex Database (2011) estimated that only approximately 20</w:t>
      </w:r>
      <w:r>
        <w:rPr>
          <w:rFonts w:ascii="Times Roman" w:hAnsi="Times Roman" w:hint="default"/>
          <w:rtl w:val="0"/>
        </w:rPr>
        <w:t>–</w:t>
      </w:r>
      <w:r>
        <w:rPr>
          <w:rFonts w:ascii="Times Roman" w:hAnsi="Times Roman"/>
          <w:rtl w:val="0"/>
          <w:lang w:val="en-US"/>
        </w:rPr>
        <w:t>25% of adults held an account at a formal financial institution, with the majority</w:t>
      </w:r>
      <w:r>
        <w:rPr>
          <w:rFonts w:ascii="Times Roman" w:hAnsi="Times Roman" w:hint="default"/>
          <w:rtl w:val="0"/>
          <w:lang w:val="en-US"/>
        </w:rPr>
        <w:t>—</w:t>
      </w:r>
      <w:r>
        <w:rPr>
          <w:rFonts w:ascii="Times Roman" w:hAnsi="Times Roman"/>
          <w:rtl w:val="0"/>
          <w:lang w:val="en-US"/>
        </w:rPr>
        <w:t>particularly women, rural populations, and low-income groups</w:t>
      </w:r>
      <w:r>
        <w:rPr>
          <w:rFonts w:ascii="Times Roman" w:hAnsi="Times Roman" w:hint="default"/>
          <w:rtl w:val="0"/>
          <w:lang w:val="en-US"/>
        </w:rPr>
        <w:t>—</w:t>
      </w:r>
      <w:r>
        <w:rPr>
          <w:rFonts w:ascii="Times Roman" w:hAnsi="Times Roman"/>
          <w:rtl w:val="0"/>
          <w:lang w:val="en-US"/>
        </w:rPr>
        <w:t>relying exclusively on cash and informal channels. Physical bank branches were concentrated in urban centres, and transaction costs (travel, time, and fees) created significant barriers. This exclusion imposed substantial economic costs, limiting access to credit, savings, remittances, and government transfers (Bangladesh Bank, 2012; World Bank, 2014).</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launch of </w:t>
      </w:r>
      <w:r>
        <w:rPr>
          <w:rFonts w:ascii="Times Roman" w:hAnsi="Times Roman"/>
          <w:b w:val="1"/>
          <w:bCs w:val="1"/>
          <w:rtl w:val="0"/>
          <w:lang w:val="en-US"/>
        </w:rPr>
        <w:t>bKash</w:t>
      </w:r>
      <w:r>
        <w:rPr>
          <w:rFonts w:ascii="Times Roman" w:hAnsi="Times Roman"/>
          <w:rtl w:val="0"/>
          <w:lang w:val="en-US"/>
        </w:rPr>
        <w:t xml:space="preserve"> in 2011 by BRAC Bank in partnership with Money in Motion marked the beginning of Bangladesh</w:t>
      </w:r>
      <w:r>
        <w:rPr>
          <w:rFonts w:ascii="Times Roman" w:hAnsi="Times Roman" w:hint="default"/>
          <w:rtl w:val="1"/>
        </w:rPr>
        <w:t>’</w:t>
      </w:r>
      <w:r>
        <w:rPr>
          <w:rFonts w:ascii="Times Roman" w:hAnsi="Times Roman"/>
          <w:rtl w:val="0"/>
          <w:lang w:val="en-US"/>
        </w:rPr>
        <w:t xml:space="preserve">s mobile money revolution. Operating under a </w:t>
      </w:r>
      <w:r>
        <w:rPr>
          <w:rFonts w:ascii="Times Roman" w:hAnsi="Times Roman" w:hint="default"/>
          <w:rtl w:val="1"/>
          <w:lang w:val="ar-SA" w:bidi="ar-SA"/>
        </w:rPr>
        <w:t>“</w:t>
      </w:r>
      <w:r>
        <w:rPr>
          <w:rFonts w:ascii="Times Roman" w:hAnsi="Times Roman"/>
          <w:rtl w:val="0"/>
        </w:rPr>
        <w:t>bank-led</w:t>
      </w:r>
      <w:r>
        <w:rPr>
          <w:rFonts w:ascii="Times Roman" w:hAnsi="Times Roman" w:hint="default"/>
          <w:rtl w:val="0"/>
        </w:rPr>
        <w:t xml:space="preserve">” </w:t>
      </w:r>
      <w:r>
        <w:rPr>
          <w:rFonts w:ascii="Times Roman" w:hAnsi="Times Roman"/>
          <w:rtl w:val="0"/>
          <w:lang w:val="en-US"/>
        </w:rPr>
        <w:t>model and enabled by progressive Bangladesh Bank guidelines, bKash rapidly scaled by leveraging the country</w:t>
      </w:r>
      <w:r>
        <w:rPr>
          <w:rFonts w:ascii="Times Roman" w:hAnsi="Times Roman" w:hint="default"/>
          <w:rtl w:val="1"/>
        </w:rPr>
        <w:t>’</w:t>
      </w:r>
      <w:r>
        <w:rPr>
          <w:rFonts w:ascii="Times Roman" w:hAnsi="Times Roman"/>
          <w:rtl w:val="0"/>
          <w:lang w:val="en-US"/>
        </w:rPr>
        <w:t>s high mobile penetration and dense network of agents. By 2015, MFS transaction volumes had already begun exponential growth. Subsequent entrants</w:t>
      </w:r>
      <w:r>
        <w:rPr>
          <w:rFonts w:ascii="Times Roman" w:hAnsi="Times Roman" w:hint="default"/>
          <w:rtl w:val="0"/>
          <w:lang w:val="en-US"/>
        </w:rPr>
        <w:t>—</w:t>
      </w:r>
      <w:r>
        <w:rPr>
          <w:rFonts w:ascii="Times Roman" w:hAnsi="Times Roman"/>
          <w:rtl w:val="0"/>
          <w:lang w:val="it-IT"/>
        </w:rPr>
        <w:t>Dutch-Bangla Bank</w:t>
      </w:r>
      <w:r>
        <w:rPr>
          <w:rFonts w:ascii="Times Roman" w:hAnsi="Times Roman" w:hint="default"/>
          <w:rtl w:val="1"/>
        </w:rPr>
        <w:t>’</w:t>
      </w:r>
      <w:r>
        <w:rPr>
          <w:rFonts w:ascii="Times Roman" w:hAnsi="Times Roman"/>
          <w:rtl w:val="0"/>
          <w:lang w:val="en-US"/>
        </w:rPr>
        <w:t>s Rocket (2014) and Nagad (2019, backed by the Post Office)</w:t>
      </w:r>
      <w:r>
        <w:rPr>
          <w:rFonts w:ascii="Times Roman" w:hAnsi="Times Roman" w:hint="default"/>
          <w:rtl w:val="0"/>
          <w:lang w:val="en-US"/>
        </w:rPr>
        <w:t>—</w:t>
      </w:r>
      <w:r>
        <w:rPr>
          <w:rFonts w:ascii="Times Roman" w:hAnsi="Times Roman"/>
          <w:rtl w:val="0"/>
          <w:lang w:val="en-US"/>
        </w:rPr>
        <w:t>intensified competition and expanded use cases beyond person-to-person (P2P) transfers to include utility payments, merchant payments, remittances, and government social safety net disbursements (Bangladesh Bank, 2024; GSMA, 2023).</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period 2011</w:t>
      </w:r>
      <w:r>
        <w:rPr>
          <w:rFonts w:ascii="Times Roman" w:hAnsi="Times Roman" w:hint="default"/>
          <w:rtl w:val="0"/>
        </w:rPr>
        <w:t>–</w:t>
      </w:r>
      <w:r>
        <w:rPr>
          <w:rFonts w:ascii="Times Roman" w:hAnsi="Times Roman"/>
          <w:rtl w:val="0"/>
          <w:lang w:val="en-US"/>
        </w:rPr>
        <w:t>2019 witnessed remarkable expansion. Registered MFS accounts grew from near zero to over 100 million by 2019, driven by regulatory clarity (MFS Guidelines 2011 and subsequent circulars), low-cost agent networks exceeding one million points, and cultural acceptance of mobile wallets for everyday transactions. Studies during this phase documented significant welfare gains: reduced travel time and costs for rural users, improved liquidity management for micro-entrepreneurs, and enhanced remittance efficiency (Ahmed et al., 2016; Rahman &amp; Islam, 2018). However, adoption remained predominantly cash-in/cash-out oriented, with limited integration into the broader banking system.</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rPr>
        <w:t>COVID-19 pandemic (2020</w:t>
      </w:r>
      <w:r>
        <w:rPr>
          <w:rFonts w:ascii="Times Roman" w:hAnsi="Times Roman" w:hint="default"/>
          <w:b w:val="1"/>
          <w:bCs w:val="1"/>
          <w:rtl w:val="0"/>
        </w:rPr>
        <w:t>–</w:t>
      </w:r>
      <w:r>
        <w:rPr>
          <w:rFonts w:ascii="Times Roman" w:hAnsi="Times Roman"/>
          <w:b w:val="1"/>
          <w:bCs w:val="1"/>
          <w:rtl w:val="0"/>
        </w:rPr>
        <w:t>2022)</w:t>
      </w:r>
      <w:r>
        <w:rPr>
          <w:rFonts w:ascii="Times Roman" w:hAnsi="Times Roman"/>
          <w:rtl w:val="0"/>
          <w:lang w:val="en-US"/>
        </w:rPr>
        <w:t xml:space="preserve"> acted as a powerful catalyst. Lockdowns and social-distancing measures accelerated digital adoption across all segments. Bangladesh Bank data show that MFS transaction volumes surged, while internet banking and card payments also recorded double-digit growth. Government-to-person (G2P) transfers via MFS platforms became critical for delivering emergency relief, further embedding digital finance in household routines (Bangladesh Bank, 2022; World Bank, 2021). By 2023, registered MFS accounts exceeded 110 million, with approximately 40 million monthly active users (Bangladesh Bank, 2022, cited in multiple 2025 studies).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post-pandemic years (2023</w:t>
      </w:r>
      <w:r>
        <w:rPr>
          <w:rFonts w:ascii="Times Roman" w:hAnsi="Times Roman" w:hint="default"/>
          <w:rtl w:val="0"/>
        </w:rPr>
        <w:t>–</w:t>
      </w:r>
      <w:r>
        <w:rPr>
          <w:rFonts w:ascii="Times Roman" w:hAnsi="Times Roman"/>
          <w:rtl w:val="0"/>
          <w:lang w:val="en-US"/>
        </w:rPr>
        <w:t xml:space="preserve">2026) represent a qualitative shift from </w:t>
      </w:r>
      <w:r>
        <w:rPr>
          <w:rFonts w:ascii="Times Roman" w:hAnsi="Times Roman"/>
          <w:b w:val="1"/>
          <w:bCs w:val="1"/>
          <w:rtl w:val="0"/>
          <w:lang w:val="en-US"/>
        </w:rPr>
        <w:t>mobile money dominance to a maturing digital financial ecosystem</w:t>
      </w:r>
      <w:r>
        <w:rPr>
          <w:rFonts w:ascii="Times Roman" w:hAnsi="Times Roman"/>
          <w:rtl w:val="0"/>
          <w:lang w:val="en-US"/>
        </w:rPr>
        <w:t xml:space="preserve">. Key regulatory milestones include the </w:t>
      </w:r>
      <w:r>
        <w:rPr>
          <w:rFonts w:ascii="Times Roman" w:hAnsi="Times Roman"/>
          <w:b w:val="1"/>
          <w:bCs w:val="1"/>
          <w:rtl w:val="0"/>
          <w:lang w:val="de-DE"/>
        </w:rPr>
        <w:t>Digital Bank Guidelines Version 2 (2025)</w:t>
      </w:r>
      <w:r>
        <w:rPr>
          <w:rFonts w:ascii="Times Roman" w:hAnsi="Times Roman"/>
          <w:rtl w:val="0"/>
          <w:lang w:val="en-US"/>
        </w:rPr>
        <w:t xml:space="preserve">, which explicitly permits branchless, technology-driven banking models with tailored capital and licensing requirements. This framework aims to foster competition, innovation, and deeper integration between banks and non-bank fintech players. Complementing this, Bangladesh Bank launched full account-to-account interoperability through the </w:t>
      </w:r>
      <w:r>
        <w:rPr>
          <w:rFonts w:ascii="Times Roman" w:hAnsi="Times Roman"/>
          <w:b w:val="1"/>
          <w:bCs w:val="1"/>
          <w:rtl w:val="0"/>
          <w:lang w:val="en-US"/>
        </w:rPr>
        <w:t>National Payment Switch Bangladesh (NPSB)</w:t>
      </w:r>
      <w:r>
        <w:rPr>
          <w:rFonts w:ascii="Times Roman" w:hAnsi="Times Roman"/>
          <w:rtl w:val="0"/>
          <w:lang w:val="en-US"/>
        </w:rPr>
        <w:t xml:space="preserve"> and the new </w:t>
      </w:r>
      <w:r>
        <w:rPr>
          <w:rFonts w:ascii="Times Roman" w:hAnsi="Times Roman"/>
          <w:b w:val="1"/>
          <w:bCs w:val="1"/>
          <w:rtl w:val="0"/>
          <w:lang w:val="en-US"/>
        </w:rPr>
        <w:t>Inclusive Instant Payment System (IIPS)</w:t>
      </w:r>
      <w:r>
        <w:rPr>
          <w:rFonts w:ascii="Times Roman" w:hAnsi="Times Roman"/>
          <w:rtl w:val="0"/>
          <w:lang w:val="en-US"/>
        </w:rPr>
        <w:t xml:space="preserve"> effective 1 November 2025, enabling seamless bank-to-wallet, wallet-to-wallet, and card-to-wallet transactions in real time. The central bank has set an ambitious target of achieving near-universal interoperable digital transactions by July 2027, supported by a partnership with the Gates Foundation</w:t>
      </w:r>
      <w:r>
        <w:rPr>
          <w:rFonts w:ascii="Times Roman" w:hAnsi="Times Roman" w:hint="default"/>
          <w:rtl w:val="1"/>
        </w:rPr>
        <w:t>’</w:t>
      </w:r>
      <w:r>
        <w:rPr>
          <w:rFonts w:ascii="Times Roman" w:hAnsi="Times Roman"/>
          <w:rtl w:val="0"/>
          <w:lang w:val="nl-NL"/>
        </w:rPr>
        <w:t>s Mojaloop platform (Bangladesh Bank, 2025; BSS, 2025).</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Current scale (2024</w:t>
      </w:r>
      <w:r>
        <w:rPr>
          <w:rFonts w:ascii="Times Roman" w:hAnsi="Times Roman" w:hint="default"/>
          <w:rtl w:val="0"/>
        </w:rPr>
        <w:t>–</w:t>
      </w:r>
      <w:r>
        <w:rPr>
          <w:rFonts w:ascii="Times Roman" w:hAnsi="Times Roman"/>
          <w:rtl w:val="0"/>
          <w:lang w:val="en-US"/>
        </w:rPr>
        <w:t>early 2026) underscores both achievements and remaining gaps. As of January 2025, total registered MFS accounts reached 239.3 million (42% held by women), with active accounts standing at approximately 89.4 million (BSS, 2025). In 2024 alone, the total value of customer MFS transactions hit Tk 17.37 lakh crore</w:t>
      </w:r>
      <w:r>
        <w:rPr>
          <w:rFonts w:ascii="Times Roman" w:hAnsi="Times Roman" w:hint="default"/>
          <w:rtl w:val="0"/>
          <w:lang w:val="en-US"/>
        </w:rPr>
        <w:t>—</w:t>
      </w:r>
      <w:r>
        <w:rPr>
          <w:rFonts w:ascii="Times Roman" w:hAnsi="Times Roman"/>
          <w:rtl w:val="0"/>
          <w:lang w:val="en-US"/>
        </w:rPr>
        <w:t>a 28.42% year-on-year increase</w:t>
      </w:r>
      <w:r>
        <w:rPr>
          <w:rFonts w:ascii="Times Roman" w:hAnsi="Times Roman" w:hint="default"/>
          <w:rtl w:val="0"/>
          <w:lang w:val="en-US"/>
        </w:rPr>
        <w:t>—</w:t>
      </w:r>
      <w:r>
        <w:rPr>
          <w:rFonts w:ascii="Times Roman" w:hAnsi="Times Roman"/>
          <w:rtl w:val="0"/>
          <w:lang w:val="en-US"/>
        </w:rPr>
        <w:t>with monthly transaction volumes routinely exceeding 650 million (Bangladesh Bank, 2025). bKash maintains clear market leadership, serving over 82 million customers and processing the majority of volume, while Nagad and Rocket have carved significant niches (bKash, 2025; Bangladesh Bank, 2024). Internet banking has also accelerated, with reported transaction volume growth of over 32% in recent periods</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632068</wp:posOffset>
                </wp:positionH>
                <wp:positionV relativeFrom="line">
                  <wp:posOffset>308057</wp:posOffset>
                </wp:positionV>
                <wp:extent cx="5374080" cy="3951387"/>
                <wp:effectExtent l="0" t="0" r="0" b="0"/>
                <wp:wrapThrough wrapText="bothSides" distL="152400" distR="152400">
                  <wp:wrapPolygon edited="1">
                    <wp:start x="0" y="0"/>
                    <wp:lineTo x="21600" y="0"/>
                    <wp:lineTo x="21600" y="21600"/>
                    <wp:lineTo x="0" y="21600"/>
                    <wp:lineTo x="0" y="0"/>
                  </wp:wrapPolygon>
                </wp:wrapThrough>
                <wp:docPr id="1073741827" name="officeArt object" descr="pasted-movie.png"/>
                <wp:cNvGraphicFramePr/>
                <a:graphic xmlns:a="http://schemas.openxmlformats.org/drawingml/2006/main">
                  <a:graphicData uri="http://schemas.microsoft.com/office/word/2010/wordprocessingGroup">
                    <wpg:wgp>
                      <wpg:cNvGrpSpPr/>
                      <wpg:grpSpPr>
                        <a:xfrm>
                          <a:off x="0" y="0"/>
                          <a:ext cx="5374080" cy="3951387"/>
                          <a:chOff x="0" y="0"/>
                          <a:chExt cx="5374079" cy="3951386"/>
                        </a:xfrm>
                      </wpg:grpSpPr>
                      <pic:pic xmlns:pic="http://schemas.openxmlformats.org/drawingml/2006/picture">
                        <pic:nvPicPr>
                          <pic:cNvPr id="1073741826" name="pasted-movie.png" descr="pasted-movie.png"/>
                          <pic:cNvPicPr>
                            <a:picLocks noChangeAspect="1"/>
                          </pic:cNvPicPr>
                        </pic:nvPicPr>
                        <pic:blipFill>
                          <a:blip r:embed="rId4">
                            <a:extLst/>
                          </a:blip>
                          <a:stretch>
                            <a:fillRect/>
                          </a:stretch>
                        </pic:blipFill>
                        <pic:spPr>
                          <a:xfrm>
                            <a:off x="127000" y="88900"/>
                            <a:ext cx="5120080" cy="3621187"/>
                          </a:xfrm>
                          <a:prstGeom prst="rect">
                            <a:avLst/>
                          </a:prstGeom>
                          <a:ln>
                            <a:noFill/>
                          </a:ln>
                          <a:effectLst/>
                        </pic:spPr>
                      </pic:pic>
                      <pic:pic xmlns:pic="http://schemas.openxmlformats.org/drawingml/2006/picture">
                        <pic:nvPicPr>
                          <pic:cNvPr id="1073741825" name="pasted-movie.png" descr="pasted-movie.png"/>
                          <pic:cNvPicPr>
                            <a:picLocks noChangeAspect="0"/>
                          </pic:cNvPicPr>
                        </pic:nvPicPr>
                        <pic:blipFill>
                          <a:blip r:embed="rId5">
                            <a:extLst/>
                          </a:blip>
                          <a:stretch>
                            <a:fillRect/>
                          </a:stretch>
                        </pic:blipFill>
                        <pic:spPr>
                          <a:xfrm>
                            <a:off x="0" y="0"/>
                            <a:ext cx="5374080" cy="3951387"/>
                          </a:xfrm>
                          <a:prstGeom prst="rect">
                            <a:avLst/>
                          </a:prstGeom>
                          <a:effectLst/>
                        </pic:spPr>
                      </pic:pic>
                    </wpg:wgp>
                  </a:graphicData>
                </a:graphic>
              </wp:anchor>
            </w:drawing>
          </mc:Choice>
          <mc:Fallback>
            <w:pict>
              <v:group id="_x0000_s1026" style="visibility:visible;position:absolute;margin-left:49.8pt;margin-top:24.3pt;width:423.2pt;height:311.1pt;z-index:251659264;mso-position-horizontal:absolute;mso-position-horizontal-relative:margin;mso-position-vertical:absolute;mso-position-vertical-relative:line;mso-wrap-distance-left:12.0pt;mso-wrap-distance-top:12.0pt;mso-wrap-distance-right:12.0pt;mso-wrap-distance-bottom:12.0pt;" coordorigin="0,0" coordsize="5374080,3951386">
                <w10:wrap type="through" side="bothSides" anchorx="margin"/>
                <v:shape id="_x0000_s1027" type="#_x0000_t75" style="position:absolute;left:127000;top:88900;width:5120080;height:3621186;">
                  <v:imagedata r:id="rId4" o:title="pasted-movie-enhanced.png"/>
                </v:shape>
                <v:shape id="_x0000_s1028" type="#_x0000_t75" style="position:absolute;left:0;top:0;width:5374080;height:3951386;">
                  <v:imagedata r:id="rId5"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i w:val="0"/>
          <w:iCs w:val="0"/>
        </w:rPr>
      </w:pPr>
      <w:r>
        <w:rPr>
          <w:rFonts w:ascii="Times Roman" w:hAnsi="Times Roman"/>
          <w:b w:val="1"/>
          <w:bCs w:val="1"/>
          <w:i w:val="0"/>
          <w:iCs w:val="0"/>
          <w:rtl w:val="0"/>
          <w:lang w:val="it-IT"/>
        </w:rPr>
        <w:t xml:space="preserve">Figure 1.1: </w:t>
      </w:r>
      <w:r>
        <w:rPr>
          <w:rFonts w:ascii="Times Roman" w:hAnsi="Times Roman"/>
          <w:i w:val="1"/>
          <w:iCs w:val="1"/>
          <w:rtl w:val="0"/>
          <w:lang w:val="en-US"/>
        </w:rPr>
        <w:t>Growth Trajectory of Registered MFS Accounts in Bangladesh (2011</w:t>
      </w:r>
      <w:r>
        <w:rPr>
          <w:rFonts w:ascii="Times Roman" w:hAnsi="Times Roman" w:hint="default"/>
          <w:i w:val="1"/>
          <w:iCs w:val="1"/>
          <w:rtl w:val="0"/>
        </w:rPr>
        <w:t>–</w:t>
      </w:r>
      <w:r>
        <w:rPr>
          <w:rFonts w:ascii="Times Roman" w:hAnsi="Times Roman"/>
          <w:i w:val="1"/>
          <w:iCs w:val="1"/>
          <w:rtl w:val="0"/>
        </w:rPr>
        <w:t>2025)</w:t>
      </w:r>
      <w:r>
        <w:rPr>
          <w:rFonts w:ascii="Times Roman" w:hAnsi="Times Roman"/>
          <w:i w:val="1"/>
          <w:iCs w:val="1"/>
          <w:rtl w:val="0"/>
          <w:lang w:val="en-US"/>
        </w:rPr>
        <w:t xml:space="preserve">. </w:t>
      </w:r>
      <w:r>
        <w:rPr>
          <w:rFonts w:ascii="Times Roman" w:hAnsi="Times Roman"/>
          <w:b w:val="1"/>
          <w:bCs w:val="1"/>
          <w:i w:val="0"/>
          <w:iCs w:val="0"/>
          <w:rtl w:val="0"/>
        </w:rPr>
        <w:t>Bangladesh Bank. (202</w:t>
      </w:r>
      <w:r>
        <w:rPr>
          <w:rFonts w:ascii="Times Roman" w:hAnsi="Times Roman"/>
          <w:b w:val="1"/>
          <w:bCs w:val="1"/>
          <w:i w:val="0"/>
          <w:iCs w:val="0"/>
          <w:rtl w:val="0"/>
          <w:lang w:val="en-US"/>
        </w:rPr>
        <w:t>5</w:t>
      </w:r>
      <w:r>
        <w:rPr>
          <w:rFonts w:ascii="Times Roman" w:hAnsi="Times Roman"/>
          <w:b w:val="1"/>
          <w:bCs w:val="1"/>
          <w:i w:val="0"/>
          <w:iCs w:val="0"/>
          <w:rtl w:val="0"/>
        </w:rPr>
        <w:t>)</w:t>
      </w:r>
      <w:r>
        <w:rPr>
          <w:rFonts w:ascii="Times Roman" w:hAnsi="Times Roman"/>
          <w:b w:val="1"/>
          <w:bCs w:val="1"/>
          <w:i w:val="0"/>
          <w:iCs w:val="0"/>
          <w:rtl w:val="0"/>
          <w:lang w:val="en-US"/>
        </w:rPr>
        <w:t>; GSMA(2025)</w:t>
      </w:r>
      <w:r>
        <w:rPr>
          <w:rFonts w:ascii="Times Roman" w:hAnsi="Times Roman"/>
          <w:b w:val="1"/>
          <w:bCs w:val="1"/>
          <w:i w:val="0"/>
          <w:iCs w:val="0"/>
          <w:rtl w:val="0"/>
        </w:rPr>
        <w:t>.</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b w:val="1"/>
          <w:bCs w:val="1"/>
          <w:i w:val="0"/>
          <w:iCs w:val="0"/>
          <w:rtl w:val="0"/>
          <w:lang w:val="it-IT"/>
        </w:rPr>
        <w:t>Figure 1.1</w:t>
      </w:r>
      <w:r>
        <w:rPr>
          <w:rFonts w:ascii="Times Roman" w:hAnsi="Times Roman"/>
          <w:i w:val="1"/>
          <w:iCs w:val="1"/>
          <w:rtl w:val="0"/>
          <w:lang w:val="en-US"/>
        </w:rPr>
        <w:t>: Evolution of Registered Mobile Financial Services (MFS) Accounts in Bangladesh (2011</w:t>
      </w:r>
      <w:r>
        <w:rPr>
          <w:rFonts w:ascii="Times Roman" w:hAnsi="Times Roman" w:hint="default"/>
          <w:i w:val="1"/>
          <w:iCs w:val="1"/>
          <w:rtl w:val="0"/>
        </w:rPr>
        <w:t>–</w:t>
      </w:r>
      <w:r>
        <w:rPr>
          <w:rFonts w:ascii="Times Roman" w:hAnsi="Times Roman"/>
          <w:i w:val="1"/>
          <w:iCs w:val="1"/>
          <w:rtl w:val="0"/>
          <w:lang w:val="en-US"/>
        </w:rPr>
        <w:t>2025). The graph illustrates the exponential growth trajectory from the inception of mobile money to the era of digital banking interoperability. Data sourced from Bangladesh Bank and sector reports.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Despite these impressive figures, the transformation remains incomplete. The World Bank</w:t>
      </w:r>
      <w:r>
        <w:rPr>
          <w:rFonts w:ascii="Times Roman" w:hAnsi="Times Roman" w:hint="default"/>
          <w:rtl w:val="1"/>
        </w:rPr>
        <w:t>’</w:t>
      </w:r>
      <w:r>
        <w:rPr>
          <w:rFonts w:ascii="Times Roman" w:hAnsi="Times Roman"/>
          <w:rtl w:val="0"/>
        </w:rPr>
        <w:t xml:space="preserve">s </w:t>
      </w:r>
      <w:r>
        <w:rPr>
          <w:rFonts w:ascii="Times Roman" w:hAnsi="Times Roman"/>
          <w:b w:val="1"/>
          <w:bCs w:val="1"/>
          <w:rtl w:val="0"/>
          <w:lang w:val="en-US"/>
        </w:rPr>
        <w:t>Global Findex Database 2025</w:t>
      </w:r>
      <w:r>
        <w:rPr>
          <w:rFonts w:ascii="Times Roman" w:hAnsi="Times Roman"/>
          <w:rtl w:val="0"/>
          <w:lang w:val="en-US"/>
        </w:rPr>
        <w:t xml:space="preserve"> places Bangladesh</w:t>
      </w:r>
      <w:r>
        <w:rPr>
          <w:rFonts w:ascii="Times Roman" w:hAnsi="Times Roman" w:hint="default"/>
          <w:rtl w:val="1"/>
        </w:rPr>
        <w:t>’</w:t>
      </w:r>
      <w:r>
        <w:rPr>
          <w:rFonts w:ascii="Times Roman" w:hAnsi="Times Roman"/>
          <w:rtl w:val="0"/>
          <w:lang w:val="en-US"/>
        </w:rPr>
        <w:t>s formal account ownership at approximately 43%</w:t>
      </w:r>
      <w:r>
        <w:rPr>
          <w:rFonts w:ascii="Times Roman" w:hAnsi="Times Roman" w:hint="default"/>
          <w:rtl w:val="0"/>
          <w:lang w:val="en-US"/>
        </w:rPr>
        <w:t>—</w:t>
      </w:r>
      <w:r>
        <w:rPr>
          <w:rFonts w:ascii="Times Roman" w:hAnsi="Times Roman"/>
          <w:rtl w:val="0"/>
          <w:lang w:val="en-US"/>
        </w:rPr>
        <w:t>below regional peers such as India (89%) and Sri Lanka (82%) and revealing persistent gender (female ownership significantly lower) and rural-urban divides. Cash continues to dominate total transaction value (approximately 65% as of late 2025), with MFS still heavily oriented toward cash-in/cash-out rather than fully digital merchant or commercial payments (New Age, 2025; The Daily Star, 2025). High-profile fraud incidents in 2024</w:t>
      </w:r>
      <w:r>
        <w:rPr>
          <w:rFonts w:ascii="Times Roman" w:hAnsi="Times Roman" w:hint="default"/>
          <w:rtl w:val="0"/>
        </w:rPr>
        <w:t>–</w:t>
      </w:r>
      <w:r>
        <w:rPr>
          <w:rFonts w:ascii="Times Roman" w:hAnsi="Times Roman"/>
          <w:rtl w:val="0"/>
          <w:lang w:val="en-US"/>
        </w:rPr>
        <w:t>2025 further eroded public trust, highlighting governance and cybersecurity vulnerabilities.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evolution</w:t>
      </w:r>
      <w:r>
        <w:rPr>
          <w:rFonts w:ascii="Times Roman" w:hAnsi="Times Roman" w:hint="default"/>
          <w:rtl w:val="0"/>
          <w:lang w:val="en-US"/>
        </w:rPr>
        <w:t>—</w:t>
      </w:r>
      <w:r>
        <w:rPr>
          <w:rFonts w:ascii="Times Roman" w:hAnsi="Times Roman"/>
          <w:rtl w:val="0"/>
          <w:lang w:val="en-US"/>
        </w:rPr>
        <w:t>from basic mobile money in 2011 to an ambitious digital banking and interoperable instant payment regime in 2025</w:t>
      </w:r>
      <w:r>
        <w:rPr>
          <w:rFonts w:ascii="Times Roman" w:hAnsi="Times Roman" w:hint="default"/>
          <w:rtl w:val="0"/>
        </w:rPr>
        <w:t>–</w:t>
      </w:r>
      <w:r>
        <w:rPr>
          <w:rFonts w:ascii="Times Roman" w:hAnsi="Times Roman"/>
          <w:rtl w:val="0"/>
        </w:rPr>
        <w:t>2026</w:t>
      </w:r>
      <w:r>
        <w:rPr>
          <w:rFonts w:ascii="Times Roman" w:hAnsi="Times Roman" w:hint="default"/>
          <w:rtl w:val="0"/>
          <w:lang w:val="en-US"/>
        </w:rPr>
        <w:t>—</w:t>
      </w:r>
      <w:r>
        <w:rPr>
          <w:rFonts w:ascii="Times Roman" w:hAnsi="Times Roman"/>
          <w:rtl w:val="0"/>
          <w:lang w:val="en-US"/>
        </w:rPr>
        <w:t>positions Bangladesh at a critical inflection point. The sector has delivered substantial financial inclusion gains and economic efficiencies, yet structural challenges in trust, security, regulatory enforcement, digital literacy, last-mile infrastructure, and institutional capacity continue to constrain deeper, more sustainable adoption. Understanding the determinants of adoption, the root causes of persistent challenges, and realistic prospects for a cash-light, inclusive digital financial ecosystem by 2030</w:t>
      </w:r>
      <w:r>
        <w:rPr>
          <w:rFonts w:ascii="Times Roman" w:hAnsi="Times Roman" w:hint="default"/>
          <w:rtl w:val="0"/>
        </w:rPr>
        <w:t>–</w:t>
      </w:r>
      <w:r>
        <w:rPr>
          <w:rFonts w:ascii="Times Roman" w:hAnsi="Times Roman"/>
          <w:rtl w:val="0"/>
          <w:lang w:val="en-US"/>
        </w:rPr>
        <w:t>2041 therefore constitutes a pressing research and policy imperative.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present study addresses this gap by employing an extended UTAUT2 framework integrated with institutional and governance variables, drawing on primary survey data from over 600 users across eight divisions and in-depth interviews with 25</w:t>
      </w:r>
      <w:r>
        <w:rPr>
          <w:rFonts w:ascii="Times Roman" w:hAnsi="Times Roman" w:hint="default"/>
          <w:rtl w:val="0"/>
        </w:rPr>
        <w:t>–</w:t>
      </w:r>
      <w:r>
        <w:rPr>
          <w:rFonts w:ascii="Times Roman" w:hAnsi="Times Roman"/>
          <w:rtl w:val="0"/>
          <w:lang w:val="en-US"/>
        </w:rPr>
        <w:t>30 key stakeholders, complemented by secondary analysis of Bangladesh Bank statistics and Findex 2025 indicators. The findings aim to inform evidence-based strategies for regulators, banks, MFS providers, and development partners seeking to consolidate Bangladesh</w:t>
      </w:r>
      <w:r>
        <w:rPr>
          <w:rFonts w:ascii="Times Roman" w:hAnsi="Times Roman" w:hint="default"/>
          <w:rtl w:val="1"/>
        </w:rPr>
        <w:t>’</w:t>
      </w:r>
      <w:r>
        <w:rPr>
          <w:rFonts w:ascii="Times Roman" w:hAnsi="Times Roman"/>
          <w:rtl w:val="0"/>
          <w:lang w:val="en-US"/>
        </w:rPr>
        <w:t>s digital finance gains while mitigating risks in the transition to a fully interoperable, trust-based digital banking era.</w:t>
      </w:r>
    </w:p>
    <w:p>
      <w:pPr>
        <w:pStyle w:val="Default"/>
        <w:suppressAutoHyphens w:val="1"/>
        <w:spacing w:before="0" w:after="240" w:line="240" w:lineRule="auto"/>
        <w:jc w:val="left"/>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1.2 Statement of the Problem: Persistent Challenges Amidst Rapid Growth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Security Incidents, Trust Erosion, Regulatory Capacity Gaps, and Uneven Inclusion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a-DK"/>
        </w:rPr>
        <w:t>Bangladesh</w:t>
      </w:r>
      <w:r>
        <w:rPr>
          <w:rFonts w:ascii="Times Roman" w:hAnsi="Times Roman" w:hint="default"/>
          <w:rtl w:val="1"/>
        </w:rPr>
        <w:t>’</w:t>
      </w:r>
      <w:r>
        <w:rPr>
          <w:rFonts w:ascii="Times Roman" w:hAnsi="Times Roman"/>
          <w:rtl w:val="0"/>
          <w:lang w:val="en-US"/>
        </w:rPr>
        <w:t>s digital financial sector has achieved extraordinary scale and velocity since the launch of mobile financial services (MFS) in 2011. By January 2025, the country had 239.3 million registered MFS accounts, with total customer transaction value reaching Tk 17.37 lakh crore in 2024 alone</w:t>
      </w:r>
      <w:r>
        <w:rPr>
          <w:rFonts w:ascii="Times Roman" w:hAnsi="Times Roman" w:hint="default"/>
          <w:rtl w:val="0"/>
          <w:lang w:val="en-US"/>
        </w:rPr>
        <w:t>—</w:t>
      </w:r>
      <w:r>
        <w:rPr>
          <w:rFonts w:ascii="Times Roman" w:hAnsi="Times Roman"/>
          <w:rtl w:val="0"/>
          <w:lang w:val="en-US"/>
        </w:rPr>
        <w:t xml:space="preserve">a 28.42% increase from the previous year (Bangladesh Bank, 2025; BSS, 2025). The rollout of full interoperability through the National Payment Switch Bangladesh (NPSB) and Inclusive Instant Payment System (IIPS) in November 2025, alongside the </w:t>
      </w:r>
      <w:r>
        <w:rPr>
          <w:rFonts w:ascii="Times Roman" w:hAnsi="Times Roman"/>
          <w:b w:val="1"/>
          <w:bCs w:val="1"/>
          <w:rtl w:val="0"/>
          <w:lang w:val="de-DE"/>
        </w:rPr>
        <w:t>Digital Bank Guidelines Version 2 (2025)</w:t>
      </w:r>
      <w:r>
        <w:rPr>
          <w:rFonts w:ascii="Times Roman" w:hAnsi="Times Roman"/>
          <w:rtl w:val="0"/>
          <w:lang w:val="en-US"/>
        </w:rPr>
        <w:t>, signals a decisive shift toward a branchless, cash-light ecosystem. Yet beneath this impressive surface lies a deepening paradox: rapid quantitative growth coexists with persistent structural challenges that threaten to undermine trust, limit active usage, and perpetuate exclusion for significant segments of the population.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central problem addressed in this study is that </w:t>
      </w:r>
      <w:r>
        <w:rPr>
          <w:rFonts w:ascii="Times Roman" w:hAnsi="Times Roman"/>
          <w:b w:val="1"/>
          <w:bCs w:val="1"/>
          <w:rtl w:val="0"/>
          <w:lang w:val="da-DK"/>
        </w:rPr>
        <w:t>Bangladesh</w:t>
      </w:r>
      <w:r>
        <w:rPr>
          <w:rFonts w:ascii="Times Roman" w:hAnsi="Times Roman" w:hint="default"/>
          <w:b w:val="1"/>
          <w:bCs w:val="1"/>
          <w:rtl w:val="1"/>
        </w:rPr>
        <w:t>’</w:t>
      </w:r>
      <w:r>
        <w:rPr>
          <w:rFonts w:ascii="Times Roman" w:hAnsi="Times Roman"/>
          <w:b w:val="1"/>
          <w:bCs w:val="1"/>
          <w:rtl w:val="0"/>
          <w:lang w:val="en-US"/>
        </w:rPr>
        <w:t>s digital financial transformation remains incomplete and uneven</w:t>
      </w:r>
      <w:r>
        <w:rPr>
          <w:rFonts w:ascii="Times Roman" w:hAnsi="Times Roman"/>
          <w:rtl w:val="0"/>
          <w:lang w:val="en-US"/>
        </w:rPr>
        <w:t>, constrained by four interrelated challenges</w:t>
      </w:r>
      <w:r>
        <w:rPr>
          <w:rFonts w:ascii="Times Roman" w:hAnsi="Times Roman" w:hint="default"/>
          <w:rtl w:val="0"/>
          <w:lang w:val="en-US"/>
        </w:rPr>
        <w:t>—</w:t>
      </w:r>
      <w:r>
        <w:rPr>
          <w:rFonts w:ascii="Times Roman" w:hAnsi="Times Roman"/>
          <w:rtl w:val="0"/>
          <w:lang w:val="en-US"/>
        </w:rPr>
        <w:t>security incidents and cyber risks, trust erosion, regulatory capacity gaps, and uneven inclusion</w:t>
      </w:r>
      <w:r>
        <w:rPr>
          <w:rFonts w:ascii="Times Roman" w:hAnsi="Times Roman" w:hint="default"/>
          <w:rtl w:val="0"/>
          <w:lang w:val="en-US"/>
        </w:rPr>
        <w:t>—</w:t>
      </w:r>
      <w:r>
        <w:rPr>
          <w:rFonts w:ascii="Times Roman" w:hAnsi="Times Roman"/>
          <w:rtl w:val="0"/>
          <w:lang w:val="en-US"/>
        </w:rPr>
        <w:t>that reinforce one another and constrain the sector</w:t>
      </w:r>
      <w:r>
        <w:rPr>
          <w:rFonts w:ascii="Times Roman" w:hAnsi="Times Roman" w:hint="default"/>
          <w:rtl w:val="1"/>
        </w:rPr>
        <w:t>’</w:t>
      </w:r>
      <w:r>
        <w:rPr>
          <w:rFonts w:ascii="Times Roman" w:hAnsi="Times Roman"/>
          <w:rtl w:val="0"/>
          <w:lang w:val="en-US"/>
        </w:rPr>
        <w:t>s contribution to inclusive, sustainable development.</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First, security incidents and cyber risks have escalated alarmingly.</w:t>
      </w:r>
      <w:r>
        <w:rPr>
          <w:rFonts w:ascii="Times Roman" w:hAnsi="Times Roman"/>
          <w:rtl w:val="0"/>
          <w:lang w:val="en-US"/>
        </w:rPr>
        <w:t xml:space="preserve"> Transparency International Bangladesh</w:t>
      </w:r>
      <w:r>
        <w:rPr>
          <w:rFonts w:ascii="Times Roman" w:hAnsi="Times Roman" w:hint="default"/>
          <w:rtl w:val="1"/>
        </w:rPr>
        <w:t>’</w:t>
      </w:r>
      <w:r>
        <w:rPr>
          <w:rFonts w:ascii="Times Roman" w:hAnsi="Times Roman"/>
          <w:rtl w:val="0"/>
          <w:lang w:val="en-US"/>
        </w:rPr>
        <w:t>s (2025) comprehensive governance assessment of the MFS sector reveals that 6.3% of individual account holders, 17.0% of agents, and 1.6% of merchants reported being victims of fraud during the study period. Financial losses ranged from BDT 300 to BDT 83,000 for individuals and up to BDT 376,000 for agents. The most common modalities included deception through false information (52.6%), phone calls or SMS phishing (42.1%), and hacking (12.3%). Only 7.6% of individual victims filed police cases or General Diaries, reflecting weak redress mechanisms. Large-scale misuse is also evident: an estimated $7.8 billion (approximately BDT 75,000 crore) was laundered through MFS platforms in 2022 alone, facilitated by weak transaction monitoring, inadequate KYC/CDD enforcement, and agent complicity in online gambling and betting networks (Transparency International Bangladesh, 2025). High-profile cases, including the 2025 Standard Chartered Bank one-time password scam and regulatory actions against Nagad for alleged e-money violations (BDT 645 crore excess) and fraud charges against former management, have further exposed systemic vulnerabilities (Bangladesh Bank, 2025; Financial Express, 2025). These incidents are not isolated; they reflect deeper technological and human-factor weaknesses that disproportionately affect digitally illiterate and rural users.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Second, these security failures have precipitated widespread trust erosion.</w:t>
      </w:r>
      <w:r>
        <w:rPr>
          <w:rFonts w:ascii="Times Roman" w:hAnsi="Times Roman"/>
          <w:rtl w:val="0"/>
          <w:lang w:val="en-US"/>
        </w:rPr>
        <w:t xml:space="preserve"> Despite the proliferation of accounts, cash continues to dominate transaction value</w:t>
      </w:r>
      <w:r>
        <w:rPr>
          <w:rFonts w:ascii="Times Roman" w:hAnsi="Times Roman" w:hint="default"/>
          <w:rtl w:val="0"/>
          <w:lang w:val="en-US"/>
        </w:rPr>
        <w:t>—</w:t>
      </w:r>
      <w:r>
        <w:rPr>
          <w:rFonts w:ascii="Times Roman" w:hAnsi="Times Roman"/>
          <w:rtl w:val="0"/>
          <w:lang w:val="en-US"/>
        </w:rPr>
        <w:t>accounting for approximately 65% of total payments as of late 2025</w:t>
      </w:r>
      <w:r>
        <w:rPr>
          <w:rFonts w:ascii="Times Roman" w:hAnsi="Times Roman" w:hint="default"/>
          <w:rtl w:val="0"/>
          <w:lang w:val="en-US"/>
        </w:rPr>
        <w:t>—</w:t>
      </w:r>
      <w:r>
        <w:rPr>
          <w:rFonts w:ascii="Times Roman" w:hAnsi="Times Roman"/>
          <w:rtl w:val="0"/>
          <w:lang w:val="en-US"/>
        </w:rPr>
        <w:t>while MFS remains heavily skewed toward cash-in/cash-out rather than fully digital merchant or commercial payments (New Age, 2025). Multiple studies document declining consumer confidence linked to fraud fears, agent misconduct, data privacy concerns, and perceived lack of accountability (Ehsan et al., 2019; Saha et al., 2025). When users experience or hear about losses with limited recourse, they revert to cash or limit digital usage to small-value P2P transfers. This behavioural retreat directly contradicts the policy vision of a cashless society and reduces the network effects necessary for deeper ecosystem integration.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Third, regulatory and institutional capacity gaps have hampered effective governance.</w:t>
      </w:r>
      <w:r>
        <w:rPr>
          <w:rFonts w:ascii="Times Roman" w:hAnsi="Times Roman"/>
          <w:rtl w:val="0"/>
          <w:lang w:val="en-US"/>
        </w:rPr>
        <w:t xml:space="preserve"> The sector remains highly concentrated, with bKash serving 84.4% of individual account holders and dominating agent networks (Transparency International Bangladesh, 2025). While the Bangladesh Bank has introduced progressive frameworks</w:t>
      </w:r>
      <w:r>
        <w:rPr>
          <w:rFonts w:ascii="Times Roman" w:hAnsi="Times Roman" w:hint="default"/>
          <w:rtl w:val="0"/>
          <w:lang w:val="en-US"/>
        </w:rPr>
        <w:t>—</w:t>
      </w:r>
      <w:r>
        <w:rPr>
          <w:rFonts w:ascii="Times Roman" w:hAnsi="Times Roman"/>
          <w:rtl w:val="0"/>
          <w:lang w:val="en-US"/>
        </w:rPr>
        <w:t>including the 2022 MFS Regulations and the 2025 Digital Bank Guidelines</w:t>
      </w:r>
      <w:r>
        <w:rPr>
          <w:rFonts w:ascii="Times Roman" w:hAnsi="Times Roman" w:hint="default"/>
          <w:rtl w:val="0"/>
          <w:lang w:val="en-US"/>
        </w:rPr>
        <w:t>—</w:t>
      </w:r>
      <w:r>
        <w:rPr>
          <w:rFonts w:ascii="Times Roman" w:hAnsi="Times Roman"/>
          <w:rtl w:val="0"/>
          <w:lang w:val="en-US"/>
        </w:rPr>
        <w:t>enforcement remains inconsistent. Documented cases of non-compliance (e.g., Nagad</w:t>
      </w:r>
      <w:r>
        <w:rPr>
          <w:rFonts w:ascii="Times Roman" w:hAnsi="Times Roman" w:hint="default"/>
          <w:rtl w:val="1"/>
        </w:rPr>
        <w:t>’</w:t>
      </w:r>
      <w:r>
        <w:rPr>
          <w:rFonts w:ascii="Times Roman" w:hAnsi="Times Roman"/>
          <w:rtl w:val="0"/>
          <w:lang w:val="en-US"/>
        </w:rPr>
        <w:t>s trust-fund violations and subsequent legal obstruction attempts), weak real-time monitoring of illicit flows, and insufficient specialised tribunals for digital financial crimes illustrate capacity constraints (Transparency International Bangladesh, 2025; Rahman, 2024). The absence of robust inter-institutional coordination between Bangladesh Bank, BFIU, mobile network operators, and law enforcement creates accountability vacuums that fraudsters exploit. These gaps are particularly consequential at a moment when the sector is transitioning to full interoperability and digital banking models that require sophisticated supervisory technology and cross-sector collaboration.</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824651</wp:posOffset>
                </wp:positionH>
                <wp:positionV relativeFrom="line">
                  <wp:posOffset>269068</wp:posOffset>
                </wp:positionV>
                <wp:extent cx="4988914" cy="3102835"/>
                <wp:effectExtent l="0" t="0" r="0" b="0"/>
                <wp:wrapThrough wrapText="bothSides" distL="152400" distR="152400">
                  <wp:wrapPolygon edited="1">
                    <wp:start x="0" y="0"/>
                    <wp:lineTo x="21600" y="0"/>
                    <wp:lineTo x="21600" y="21600"/>
                    <wp:lineTo x="0" y="21600"/>
                    <wp:lineTo x="0" y="0"/>
                  </wp:wrapPolygon>
                </wp:wrapThrough>
                <wp:docPr id="1073741830" name="officeArt object" descr="pasted-movie.png"/>
                <wp:cNvGraphicFramePr/>
                <a:graphic xmlns:a="http://schemas.openxmlformats.org/drawingml/2006/main">
                  <a:graphicData uri="http://schemas.microsoft.com/office/word/2010/wordprocessingGroup">
                    <wpg:wgp>
                      <wpg:cNvGrpSpPr/>
                      <wpg:grpSpPr>
                        <a:xfrm>
                          <a:off x="0" y="0"/>
                          <a:ext cx="4988914" cy="3102835"/>
                          <a:chOff x="0" y="0"/>
                          <a:chExt cx="4988913" cy="3102834"/>
                        </a:xfrm>
                      </wpg:grpSpPr>
                      <pic:pic xmlns:pic="http://schemas.openxmlformats.org/drawingml/2006/picture">
                        <pic:nvPicPr>
                          <pic:cNvPr id="1073741829" name="pasted-movie.png" descr="pasted-movie.png"/>
                          <pic:cNvPicPr>
                            <a:picLocks noChangeAspect="1"/>
                          </pic:cNvPicPr>
                        </pic:nvPicPr>
                        <pic:blipFill>
                          <a:blip r:embed="rId6">
                            <a:extLst/>
                          </a:blip>
                          <a:stretch>
                            <a:fillRect/>
                          </a:stretch>
                        </pic:blipFill>
                        <pic:spPr>
                          <a:xfrm>
                            <a:off x="127000" y="88900"/>
                            <a:ext cx="4734914" cy="2772635"/>
                          </a:xfrm>
                          <a:prstGeom prst="rect">
                            <a:avLst/>
                          </a:prstGeom>
                          <a:ln>
                            <a:noFill/>
                          </a:ln>
                          <a:effectLst/>
                        </pic:spPr>
                      </pic:pic>
                      <pic:pic xmlns:pic="http://schemas.openxmlformats.org/drawingml/2006/picture">
                        <pic:nvPicPr>
                          <pic:cNvPr id="1073741828" name="pasted-movie.png" descr="pasted-movie.png"/>
                          <pic:cNvPicPr>
                            <a:picLocks noChangeAspect="0"/>
                          </pic:cNvPicPr>
                        </pic:nvPicPr>
                        <pic:blipFill>
                          <a:blip r:embed="rId7">
                            <a:extLst/>
                          </a:blip>
                          <a:stretch>
                            <a:fillRect/>
                          </a:stretch>
                        </pic:blipFill>
                        <pic:spPr>
                          <a:xfrm>
                            <a:off x="0" y="0"/>
                            <a:ext cx="4988914" cy="3102835"/>
                          </a:xfrm>
                          <a:prstGeom prst="rect">
                            <a:avLst/>
                          </a:prstGeom>
                          <a:effectLst/>
                        </pic:spPr>
                      </pic:pic>
                    </wpg:wgp>
                  </a:graphicData>
                </a:graphic>
              </wp:anchor>
            </w:drawing>
          </mc:Choice>
          <mc:Fallback>
            <w:pict>
              <v:group id="_x0000_s1029" style="visibility:visible;position:absolute;margin-left:64.9pt;margin-top:21.2pt;width:392.8pt;height:244.3pt;z-index:251660288;mso-position-horizontal:absolute;mso-position-horizontal-relative:margin;mso-position-vertical:absolute;mso-position-vertical-relative:line;mso-wrap-distance-left:12.0pt;mso-wrap-distance-top:12.0pt;mso-wrap-distance-right:12.0pt;mso-wrap-distance-bottom:12.0pt;" coordorigin="0,0" coordsize="4988914,3102835">
                <w10:wrap type="through" side="bothSides" anchorx="margin"/>
                <v:shape id="_x0000_s1030" type="#_x0000_t75" style="position:absolute;left:127000;top:88900;width:4734914;height:2772635;">
                  <v:imagedata r:id="rId6" o:title="pasted-movie-enhanced.png"/>
                </v:shape>
                <v:shape id="_x0000_s1031" type="#_x0000_t75" style="position:absolute;left:0;top:0;width:4988914;height:3102835;">
                  <v:imagedata r:id="rId7" o:title=""/>
                </v:shape>
              </v:group>
            </w:pict>
          </mc:Fallback>
        </mc:AlternateConten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1.2: </w:t>
      </w:r>
      <w:r>
        <w:rPr>
          <w:rFonts w:ascii="Times Roman" w:hAnsi="Times Roman"/>
          <w:i w:val="1"/>
          <w:iCs w:val="1"/>
          <w:rtl w:val="0"/>
          <w:lang w:val="en-US"/>
        </w:rPr>
        <w:t xml:space="preserve">Security Vulnerabilities </w:t>
      </w:r>
      <w:r>
        <w:rPr>
          <w:rFonts w:ascii="Times Roman" w:hAnsi="Times Roman" w:hint="default"/>
          <w:i w:val="1"/>
          <w:iCs w:val="1"/>
          <w:rtl w:val="0"/>
        </w:rPr>
        <w:t xml:space="preserve">– </w:t>
      </w:r>
      <w:r>
        <w:rPr>
          <w:rFonts w:ascii="Times Roman" w:hAnsi="Times Roman"/>
          <w:i w:val="1"/>
          <w:iCs w:val="1"/>
          <w:rtl w:val="0"/>
          <w:lang w:val="en-US"/>
        </w:rPr>
        <w:t>Distribution of Fraud Victims</w:t>
      </w:r>
      <w:r>
        <w:rPr>
          <w:rFonts w:ascii="Times Roman" w:hAnsi="Times Roman"/>
          <w:i w:val="1"/>
          <w:iCs w:val="1"/>
          <w:rtl w:val="0"/>
          <w:lang w:val="en-US"/>
        </w:rPr>
        <w:t xml:space="preserve">. </w:t>
      </w:r>
      <w:r>
        <w:rPr>
          <w:rFonts w:ascii="Times Roman" w:hAnsi="Times Roman"/>
          <w:b w:val="1"/>
          <w:bCs w:val="1"/>
          <w:rtl w:val="0"/>
          <w:lang w:val="en-US"/>
        </w:rPr>
        <w:t>Transparency International Bangladesh (2025)</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rPr>
        <w:t xml:space="preserve"> </w:t>
      </w:r>
      <w:r>
        <w:rPr>
          <w:rFonts w:ascii="Times Roman" w:hAnsi="Times Roman"/>
          <w:i w:val="1"/>
          <w:iCs w:val="1"/>
          <w:rtl w:val="0"/>
          <w:lang w:val="it-IT"/>
        </w:rPr>
        <w:t>Figure 1.2.</w:t>
      </w:r>
      <w:r>
        <w:rPr>
          <w:rFonts w:ascii="Times Roman" w:hAnsi="Times Roman"/>
          <w:rtl w:val="0"/>
          <w:lang w:val="en-US"/>
        </w:rPr>
        <w:t xml:space="preserve"> Proportion of MFS Stakeholders Experiencing Fraud Incidents. The data highlights significant vulnerabilities at the last-mile network level, with agents experiencing the highest rate of security incidents.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Fourth, inclusion remains profoundly uneven.</w:t>
      </w:r>
      <w:r>
        <w:rPr>
          <w:rFonts w:ascii="Times Roman" w:hAnsi="Times Roman"/>
          <w:rtl w:val="0"/>
          <w:lang w:val="en-US"/>
        </w:rPr>
        <w:t xml:space="preserve"> The World Bank</w:t>
      </w:r>
      <w:r>
        <w:rPr>
          <w:rFonts w:ascii="Times Roman" w:hAnsi="Times Roman" w:hint="default"/>
          <w:rtl w:val="1"/>
        </w:rPr>
        <w:t>’</w:t>
      </w:r>
      <w:r>
        <w:rPr>
          <w:rFonts w:ascii="Times Roman" w:hAnsi="Times Roman"/>
          <w:rtl w:val="0"/>
        </w:rPr>
        <w:t xml:space="preserve">s </w:t>
      </w:r>
      <w:r>
        <w:rPr>
          <w:rFonts w:ascii="Times Roman" w:hAnsi="Times Roman"/>
          <w:b w:val="1"/>
          <w:bCs w:val="1"/>
          <w:rtl w:val="0"/>
          <w:lang w:val="en-US"/>
        </w:rPr>
        <w:t>Global Findex Database 2025</w:t>
      </w:r>
      <w:r>
        <w:rPr>
          <w:rFonts w:ascii="Times Roman" w:hAnsi="Times Roman"/>
          <w:rtl w:val="0"/>
          <w:lang w:val="en-US"/>
        </w:rPr>
        <w:t xml:space="preserve"> places Bangladesh</w:t>
      </w:r>
      <w:r>
        <w:rPr>
          <w:rFonts w:ascii="Times Roman" w:hAnsi="Times Roman" w:hint="default"/>
          <w:rtl w:val="1"/>
        </w:rPr>
        <w:t>’</w:t>
      </w:r>
      <w:r>
        <w:rPr>
          <w:rFonts w:ascii="Times Roman" w:hAnsi="Times Roman"/>
          <w:rtl w:val="0"/>
          <w:lang w:val="en-US"/>
        </w:rPr>
        <w:t>s formal account ownership at only 43%</w:t>
      </w:r>
      <w:r>
        <w:rPr>
          <w:rFonts w:ascii="Times Roman" w:hAnsi="Times Roman" w:hint="default"/>
          <w:rtl w:val="0"/>
          <w:lang w:val="en-US"/>
        </w:rPr>
        <w:t>—</w:t>
      </w:r>
      <w:r>
        <w:rPr>
          <w:rFonts w:ascii="Times Roman" w:hAnsi="Times Roman"/>
          <w:rtl w:val="0"/>
          <w:lang w:val="en-US"/>
        </w:rPr>
        <w:t>substantially below regional comparators such as India (89%) and Sri Lanka (82%). Although 42% of registered MFS accounts are held by women, active usage, savings behaviour, and access to credit remain lower for women, rural residents, and low-literacy groups (World Bank, 2025). Digital and financial literacy deficits mean that many formally included individuals remain functionally excluded</w:t>
      </w:r>
      <w:r>
        <w:rPr>
          <w:rFonts w:ascii="Times Roman" w:hAnsi="Times Roman" w:hint="default"/>
          <w:rtl w:val="0"/>
          <w:lang w:val="en-US"/>
        </w:rPr>
        <w:t>—</w:t>
      </w:r>
      <w:r>
        <w:rPr>
          <w:rFonts w:ascii="Times Roman" w:hAnsi="Times Roman"/>
          <w:rtl w:val="0"/>
          <w:lang w:val="en-US"/>
        </w:rPr>
        <w:t>they possess accounts but lack the skills or confidence to use them safely for merchant payments, savings, or borrowing. Rural infrastructure gaps, gender norms around mobile phone ownership, and the concentration of agent networks in accessible areas further widen these divides. Consequently, the benefits of digital finance</w:t>
      </w:r>
      <w:r>
        <w:rPr>
          <w:rFonts w:ascii="Times Roman" w:hAnsi="Times Roman" w:hint="default"/>
          <w:rtl w:val="0"/>
          <w:lang w:val="en-US"/>
        </w:rPr>
        <w:t>—</w:t>
      </w:r>
      <w:r>
        <w:rPr>
          <w:rFonts w:ascii="Times Roman" w:hAnsi="Times Roman"/>
          <w:rtl w:val="0"/>
          <w:lang w:val="en-US"/>
        </w:rPr>
        <w:t>lower transaction costs, greater transparency, and access to formal credit</w:t>
      </w:r>
      <w:r>
        <w:rPr>
          <w:rFonts w:ascii="Times Roman" w:hAnsi="Times Roman" w:hint="default"/>
          <w:rtl w:val="0"/>
          <w:lang w:val="en-US"/>
        </w:rPr>
        <w:t>—</w:t>
      </w:r>
      <w:r>
        <w:rPr>
          <w:rFonts w:ascii="Times Roman" w:hAnsi="Times Roman"/>
          <w:rtl w:val="0"/>
          <w:lang w:val="en-US"/>
        </w:rPr>
        <w:t>accrue disproportionately to urban, educated, and higher-income segments, exacerbating rather than reducing inequality.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four challenges are not discrete; they form a reinforcing cycle. Security incidents erode trust, which depresses active usage and reduces incentives for providers to invest in rural or low-literacy segments. Weak regulatory enforcement allows concentration and misconduct to persist, further undermining confidence. The result is a sector that has achieved impressive scale on paper but delivers uneven, fragile, and sometimes risky outcomes in practice. This situation directly threatens Bangladesh</w:t>
      </w:r>
      <w:r>
        <w:rPr>
          <w:rFonts w:ascii="Times Roman" w:hAnsi="Times Roman" w:hint="default"/>
          <w:rtl w:val="1"/>
        </w:rPr>
        <w:t>’</w:t>
      </w:r>
      <w:r>
        <w:rPr>
          <w:rFonts w:ascii="Times Roman" w:hAnsi="Times Roman"/>
          <w:rtl w:val="0"/>
        </w:rPr>
        <w:t xml:space="preserve">s </w:t>
      </w:r>
      <w:r>
        <w:rPr>
          <w:rFonts w:ascii="Times Roman" w:hAnsi="Times Roman"/>
          <w:b w:val="1"/>
          <w:bCs w:val="1"/>
          <w:rtl w:val="0"/>
          <w:lang w:val="fr-FR"/>
        </w:rPr>
        <w:t>Vision 2041</w:t>
      </w:r>
      <w:r>
        <w:rPr>
          <w:rFonts w:ascii="Times Roman" w:hAnsi="Times Roman"/>
          <w:rtl w:val="0"/>
          <w:lang w:val="en-US"/>
        </w:rPr>
        <w:t xml:space="preserve"> goal of becoming a developed, cash-light economy and undermines progress toward </w:t>
      </w:r>
      <w:r>
        <w:rPr>
          <w:rFonts w:ascii="Times Roman" w:hAnsi="Times Roman"/>
          <w:b w:val="1"/>
          <w:bCs w:val="1"/>
          <w:rtl w:val="0"/>
          <w:lang w:val="en-US"/>
        </w:rPr>
        <w:t>SDG 8 (Decent Work and Economic Growth)</w:t>
      </w:r>
      <w:r>
        <w:rPr>
          <w:rFonts w:ascii="Times Roman" w:hAnsi="Times Roman"/>
          <w:rtl w:val="0"/>
        </w:rPr>
        <w:t xml:space="preserve">, </w:t>
      </w:r>
      <w:r>
        <w:rPr>
          <w:rFonts w:ascii="Times Roman" w:hAnsi="Times Roman"/>
          <w:b w:val="1"/>
          <w:bCs w:val="1"/>
          <w:rtl w:val="0"/>
          <w:lang w:val="en-US"/>
        </w:rPr>
        <w:t>SDG 9 (Industry, Innovation and Infrastructure)</w:t>
      </w:r>
      <w:r>
        <w:rPr>
          <w:rFonts w:ascii="Times Roman" w:hAnsi="Times Roman"/>
          <w:rtl w:val="0"/>
          <w:lang w:val="en-US"/>
        </w:rPr>
        <w:t xml:space="preserve">, and </w:t>
      </w:r>
      <w:r>
        <w:rPr>
          <w:rFonts w:ascii="Times Roman" w:hAnsi="Times Roman"/>
          <w:b w:val="1"/>
          <w:bCs w:val="1"/>
          <w:rtl w:val="0"/>
          <w:lang w:val="en-US"/>
        </w:rPr>
        <w:t>SDG 10 (Reduced Inequalities)</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Existing literature has examined individual dimensions</w:t>
      </w:r>
      <w:r>
        <w:rPr>
          <w:rFonts w:ascii="Times Roman" w:hAnsi="Times Roman" w:hint="default"/>
          <w:rtl w:val="0"/>
          <w:lang w:val="en-US"/>
        </w:rPr>
        <w:t>—</w:t>
      </w:r>
      <w:r>
        <w:rPr>
          <w:rFonts w:ascii="Times Roman" w:hAnsi="Times Roman"/>
          <w:rtl w:val="0"/>
          <w:lang w:val="en-US"/>
        </w:rPr>
        <w:t>adoption factors (using TAM or UTAUT2), fraud typologies, or inclusion metrics</w:t>
      </w:r>
      <w:r>
        <w:rPr>
          <w:rFonts w:ascii="Times Roman" w:hAnsi="Times Roman" w:hint="default"/>
          <w:rtl w:val="0"/>
          <w:lang w:val="en-US"/>
        </w:rPr>
        <w:t>—</w:t>
      </w:r>
      <w:r>
        <w:rPr>
          <w:rFonts w:ascii="Times Roman" w:hAnsi="Times Roman"/>
          <w:rtl w:val="0"/>
          <w:lang w:val="en-US"/>
        </w:rPr>
        <w:t>in isolation. However, few studies have systematically integrated security/trust, regulatory governance, and inclusion dynamics within a single mixed-methods framework applied to the post-2024</w:t>
      </w:r>
      <w:r>
        <w:rPr>
          <w:rFonts w:ascii="Times Roman" w:hAnsi="Times Roman" w:hint="default"/>
          <w:rtl w:val="0"/>
        </w:rPr>
        <w:t>–</w:t>
      </w:r>
      <w:r>
        <w:rPr>
          <w:rFonts w:ascii="Times Roman" w:hAnsi="Times Roman"/>
          <w:rtl w:val="0"/>
          <w:lang w:val="en-US"/>
        </w:rPr>
        <w:t>2025 context, when interoperability, digital bank licensing, and high-profile governance incidents have fundamentally altered the landscape. There is therefore an urgent need for rigorous, context-specific research that (a) quantifies the relative influence of these challenges on adoption and usage intentions, (b) maps their root causes and interlinkages through stakeholder perspectives, and (c) generates actionable scenarios and policy recommendations for restoring trust and achieving inclusive, resilient digital finance.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study directly addresses that gap. By extending the Unified Theory of Acceptance and Use of Technology (UTAUT2) with Bangladesh-specific moderators</w:t>
      </w:r>
      <w:r>
        <w:rPr>
          <w:rFonts w:ascii="Times Roman" w:hAnsi="Times Roman" w:hint="default"/>
          <w:rtl w:val="0"/>
          <w:lang w:val="en-US"/>
        </w:rPr>
        <w:t>—</w:t>
      </w:r>
      <w:r>
        <w:rPr>
          <w:rFonts w:ascii="Times Roman" w:hAnsi="Times Roman"/>
          <w:rtl w:val="0"/>
          <w:lang w:val="en-US"/>
        </w:rPr>
        <w:t>perceived governance quality, trust restoration post-fraud, digital literacy, and agent network quality</w:t>
      </w:r>
      <w:r>
        <w:rPr>
          <w:rFonts w:ascii="Times Roman" w:hAnsi="Times Roman" w:hint="default"/>
          <w:rtl w:val="0"/>
          <w:lang w:val="en-US"/>
        </w:rPr>
        <w:t>—</w:t>
      </w:r>
      <w:r>
        <w:rPr>
          <w:rFonts w:ascii="Times Roman" w:hAnsi="Times Roman"/>
          <w:rtl w:val="0"/>
          <w:lang w:val="en-US"/>
        </w:rPr>
        <w:t>and employing a sequential explanatory mixed-methods design (survey of 600+ users across eight divisions plus 25</w:t>
      </w:r>
      <w:r>
        <w:rPr>
          <w:rFonts w:ascii="Times Roman" w:hAnsi="Times Roman" w:hint="default"/>
          <w:rtl w:val="0"/>
        </w:rPr>
        <w:t>–</w:t>
      </w:r>
      <w:r>
        <w:rPr>
          <w:rFonts w:ascii="Times Roman" w:hAnsi="Times Roman"/>
          <w:rtl w:val="0"/>
          <w:lang w:val="en-US"/>
        </w:rPr>
        <w:t>30 expert interviews), the research will generate evidence-based insights to guide regulators, financial service providers, and development partners. The ultimate aim is to help Bangladesh convert its impressive quantitative growth into sustainable, trustworthy, and equitable digital financial inclusion by 2030</w:t>
      </w:r>
      <w:r>
        <w:rPr>
          <w:rFonts w:ascii="Times Roman" w:hAnsi="Times Roman" w:hint="default"/>
          <w:rtl w:val="0"/>
        </w:rPr>
        <w:t>–</w:t>
      </w:r>
      <w:r>
        <w:rPr>
          <w:rFonts w:ascii="Times Roman" w:hAnsi="Times Roman"/>
          <w:rtl w:val="0"/>
        </w:rPr>
        <w:t>2041.</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1.3 Research Objectives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1.3.1 General Objective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general objective of this thesis is to critically examine the challenges and prospects of e-banking in Bangladesh, delivering an integrated empirical and forward-looking analysis that identifies adoption barriers, maps systemic risks, projects development trajectories to 2030/2041, and evaluates policy frameworks to support the country</w:t>
      </w:r>
      <w:r>
        <w:rPr>
          <w:rFonts w:ascii="Times Roman" w:hAnsi="Times Roman" w:hint="default"/>
          <w:rtl w:val="1"/>
        </w:rPr>
        <w:t>’</w:t>
      </w:r>
      <w:r>
        <w:rPr>
          <w:rFonts w:ascii="Times Roman" w:hAnsi="Times Roman"/>
          <w:rtl w:val="0"/>
          <w:lang w:val="en-US"/>
        </w:rPr>
        <w:t>s transition toward a digitally inclusive financial ecosystem aligned with the Smart Bangladesh Vision 2041.</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1.3.2 Specific Objectives</w:t>
      </w:r>
    </w:p>
    <w:p>
      <w:pPr>
        <w:pStyle w:val="Default"/>
        <w:suppressAutoHyphens w:val="1"/>
        <w:spacing w:before="0" w:after="240" w:line="240" w:lineRule="auto"/>
        <w:ind w:left="360"/>
        <w:jc w:val="both"/>
        <w:rPr>
          <w:rFonts w:ascii="Times Roman" w:cs="Times Roman" w:hAnsi="Times Roman" w:eastAsia="Times Roman"/>
          <w:b w:val="0"/>
          <w:bCs w:val="0"/>
        </w:rPr>
      </w:pPr>
      <w:r>
        <w:rPr>
          <w:rFonts w:ascii="Times Roman" w:hAnsi="Times Roman"/>
          <w:b w:val="1"/>
          <w:bCs w:val="1"/>
          <w:rtl w:val="0"/>
          <w:lang w:val="en-US"/>
        </w:rPr>
        <w:t>1. Adoption Determinants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rtl w:val="0"/>
          <w:lang w:val="en-US"/>
        </w:rPr>
        <w:t>To identify and empirically analyze the primary determinants influencing e-banking adoption among customers and banking institutions in Bangladesh. This objective employs an extended Technology Acceptance Model (TAM) incorporating constructs such as perceived usefulness, perceived ease of use, perceived security/privacy risk, trust, social influence, consumer innovativeness, and cost, validated through primary survey data (targeting 400</w:t>
      </w:r>
      <w:r>
        <w:rPr>
          <w:rFonts w:ascii="Times Roman" w:hAnsi="Times Roman" w:hint="default"/>
          <w:rtl w:val="0"/>
        </w:rPr>
        <w:t>–</w:t>
      </w:r>
      <w:r>
        <w:rPr>
          <w:rFonts w:ascii="Times Roman" w:hAnsi="Times Roman"/>
          <w:rtl w:val="0"/>
          <w:lang w:val="en-US"/>
        </w:rPr>
        <w:t>500 respondents across urban/rural demographics, age groups, and bank types) analyzed via confirmatory factor analysis, structural equation modeling (SEM), and multiple regression. Research details draw on established patterns where security/privacy (mean concern scores &gt;5.0 on 7-point scales), infrastructure reliability, and perceived usefulness emerge as dominant predictors, explaining 30</w:t>
      </w:r>
      <w:r>
        <w:rPr>
          <w:rFonts w:ascii="Times Roman" w:hAnsi="Times Roman" w:hint="default"/>
          <w:rtl w:val="0"/>
        </w:rPr>
        <w:t>–</w:t>
      </w:r>
      <w:r>
        <w:rPr>
          <w:rFonts w:ascii="Times Roman" w:hAnsi="Times Roman"/>
          <w:rtl w:val="0"/>
          <w:lang w:val="en-US"/>
        </w:rPr>
        <w:t>40% of variance in adoption intention, consistent with banker and customer surveys showing strong positive links between website features, trust, and usage (Islam, 2015; Khanam, 2024). Expected outputs include prioritized determinant rankings and segment-specific adoption profiles to guide targeted interventions.</w:t>
      </w:r>
    </w:p>
    <w:p>
      <w:pPr>
        <w:pStyle w:val="Default"/>
        <w:suppressAutoHyphens w:val="1"/>
        <w:spacing w:before="0" w:after="240" w:line="240" w:lineRule="auto"/>
        <w:ind w:left="360"/>
        <w:jc w:val="both"/>
        <w:rPr>
          <w:rFonts w:ascii="Times Roman" w:cs="Times Roman" w:hAnsi="Times Roman" w:eastAsia="Times Roman"/>
          <w:b w:val="0"/>
          <w:bCs w:val="0"/>
        </w:rPr>
      </w:pPr>
      <w:r>
        <w:rPr>
          <w:rFonts w:ascii="Times Roman" w:hAnsi="Times Roman"/>
          <w:b w:val="1"/>
          <w:bCs w:val="1"/>
          <w:rtl w:val="0"/>
          <w:lang w:val="en-US"/>
        </w:rPr>
        <w:t>2. Challenge Prioritisation &amp; Root-Cause Mapping</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rtl w:val="0"/>
          <w:lang w:val="en-US"/>
        </w:rPr>
        <w:t xml:space="preserve">To systematically prioritize the major challenges impeding e-banking growth and map their root causes through a multi-stakeholder lens. This involves mixed-methods analysis: quantitative ranking of challenges (e.g., infrastructure gaps, cybersecurity vulnerabilities, regulatory/cyber-law deficiencies, digital literacy deficits, and operational risks) via Likert-scale surveys and Analytic Hierarchy Process (AHP) with 100+ respondents (bankers, regulators, customers); qualitative root-cause mapping using fishbone diagrams, 5-Whys analysis, and SWOT/PESTLE frameworks derived from semi-structured interviews with Bangladesh Bank officials, bank IT managers, and fintech providers. Research details are grounded in persistent findings that bankers rate current infrastructure and expert availability as unsatisfactory (average scores 1.34 and 0.81 on 7-point scales), alongside inadequate regulation, weak awareness campaigns, high connectivity costs, and security concerns that limit rural penetration despite 40.31 crore digital transactions in 2024 (up ~10% from 2023) (Bangladesh Bank, 2024; Islam, 2015). The mapping will highlight causal chains (e.g., power/internet unreliability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low rural adoption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trust erosion) and quantify impact severity for evidence-based mitigation roadmaps.</w:t>
      </w:r>
    </w:p>
    <w:p>
      <w:pPr>
        <w:pStyle w:val="Default"/>
        <w:suppressAutoHyphens w:val="1"/>
        <w:spacing w:before="0" w:after="240" w:line="240" w:lineRule="auto"/>
        <w:ind w:left="360"/>
        <w:jc w:val="both"/>
        <w:rPr>
          <w:rFonts w:ascii="Times Roman" w:cs="Times Roman" w:hAnsi="Times Roman" w:eastAsia="Times Roman"/>
          <w:b w:val="0"/>
          <w:bCs w:val="0"/>
        </w:rPr>
      </w:pPr>
      <w:r>
        <w:rPr>
          <w:rFonts w:ascii="Times Roman" w:hAnsi="Times Roman"/>
          <w:b w:val="1"/>
          <w:bCs w:val="1"/>
          <w:rtl w:val="0"/>
          <w:lang w:val="en-US"/>
        </w:rPr>
        <w:t>3. Prospect Scenarios to 2030/2041</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rtl w:val="0"/>
          <w:lang w:val="en-US"/>
        </w:rPr>
        <w:t>To develop and rigorously evaluate alternative prospect scenarios for e-banking advancement in Bangladesh through 2030 and 2041, aligned with national digital transformation goals. This objective utilizes scenario-planning methodology (including trend extrapolation, Delphi expert panels of 15</w:t>
      </w:r>
      <w:r>
        <w:rPr>
          <w:rFonts w:ascii="Times Roman" w:hAnsi="Times Roman" w:hint="default"/>
          <w:rtl w:val="0"/>
        </w:rPr>
        <w:t>–</w:t>
      </w:r>
      <w:r>
        <w:rPr>
          <w:rFonts w:ascii="Times Roman" w:hAnsi="Times Roman"/>
          <w:rtl w:val="0"/>
          <w:lang w:val="en-US"/>
        </w:rPr>
        <w:t>20 policymakers/fintech leaders, and quantitative modeling of transaction volumes, inclusion metrics, and GDP contributions) to construct three plausible futures: (a) optimistic (accelerated digital-bank licensing, AI-driven personalization, and 80%+ financial inclusion via interoperable MFS/agent networks); (b) baseline (moderate growth mirroring 47.5% YoY internet-banking transaction surges to BDT 1.12 trillion in 2025 and bKash</w:t>
      </w:r>
      <w:r>
        <w:rPr>
          <w:rFonts w:ascii="Times Roman" w:hAnsi="Times Roman" w:hint="default"/>
          <w:rtl w:val="1"/>
        </w:rPr>
        <w:t>’</w:t>
      </w:r>
      <w:r>
        <w:rPr>
          <w:rFonts w:ascii="Times Roman" w:hAnsi="Times Roman"/>
          <w:rtl w:val="0"/>
          <w:lang w:val="en-US"/>
        </w:rPr>
        <w:t>s 68+ million users); and (c) pessimistic (cyber-risk dominance and digital-divide persistence). Research details integrate empirical trends</w:t>
      </w:r>
      <w:r>
        <w:rPr>
          <w:rFonts w:ascii="Times Roman" w:hAnsi="Times Roman" w:hint="default"/>
          <w:rtl w:val="0"/>
          <w:lang w:val="en-US"/>
        </w:rPr>
        <w:t>—</w:t>
      </w:r>
      <w:r>
        <w:rPr>
          <w:rFonts w:ascii="Times Roman" w:hAnsi="Times Roman"/>
          <w:rtl w:val="0"/>
          <w:lang w:val="en-US"/>
        </w:rPr>
        <w:t>internet-banking penetration reaching ~44% by March 2025 (from 25% in 2019), digital-bank guidelines and 15 in-principle approvals issued 2024</w:t>
      </w:r>
      <w:r>
        <w:rPr>
          <w:rFonts w:ascii="Times Roman" w:hAnsi="Times Roman" w:hint="default"/>
          <w:rtl w:val="0"/>
        </w:rPr>
        <w:t>–</w:t>
      </w:r>
      <w:r>
        <w:rPr>
          <w:rFonts w:ascii="Times Roman" w:hAnsi="Times Roman"/>
          <w:rtl w:val="0"/>
          <w:lang w:val="en-US"/>
        </w:rPr>
        <w:t>2025, and MFS monthly volumes exceeding BDT 124,000 crore</w:t>
      </w:r>
      <w:r>
        <w:rPr>
          <w:rFonts w:ascii="Times Roman" w:hAnsi="Times Roman" w:hint="default"/>
          <w:rtl w:val="0"/>
          <w:lang w:val="en-US"/>
        </w:rPr>
        <w:t>—</w:t>
      </w:r>
      <w:r>
        <w:rPr>
          <w:rFonts w:ascii="Times Roman" w:hAnsi="Times Roman"/>
          <w:rtl w:val="0"/>
          <w:lang w:val="en-US"/>
        </w:rPr>
        <w:t>and Vision 2041</w:t>
      </w:r>
      <w:r>
        <w:rPr>
          <w:rFonts w:ascii="Times Roman" w:hAnsi="Times Roman" w:hint="default"/>
          <w:rtl w:val="1"/>
        </w:rPr>
        <w:t>’</w:t>
      </w:r>
      <w:r>
        <w:rPr>
          <w:rFonts w:ascii="Times Roman" w:hAnsi="Times Roman"/>
          <w:rtl w:val="0"/>
          <w:lang w:val="en-US"/>
        </w:rPr>
        <w:t>s emphasis on smart economy, fintech, and digital skills (Government of the People</w:t>
      </w:r>
      <w:r>
        <w:rPr>
          <w:rFonts w:ascii="Times Roman" w:hAnsi="Times Roman" w:hint="default"/>
          <w:rtl w:val="1"/>
        </w:rPr>
        <w:t>’</w:t>
      </w:r>
      <w:r>
        <w:rPr>
          <w:rFonts w:ascii="Times Roman" w:hAnsi="Times Roman"/>
          <w:rtl w:val="0"/>
          <w:lang w:val="en-US"/>
        </w:rPr>
        <w:t>s Republic of Bangladesh, 2021; Bangladesh Bank, 2024). Outputs include scenario-specific policy triggers, risk-mitigation pathways, and projected inclusion/economic-impact metrics.</w:t>
      </w:r>
    </w:p>
    <w:p>
      <w:pPr>
        <w:pStyle w:val="Default"/>
        <w:suppressAutoHyphens w:val="1"/>
        <w:spacing w:before="0" w:after="240" w:line="240" w:lineRule="auto"/>
        <w:ind w:left="360"/>
        <w:jc w:val="both"/>
        <w:rPr>
          <w:rFonts w:ascii="Times Roman" w:cs="Times Roman" w:hAnsi="Times Roman" w:eastAsia="Times Roman"/>
          <w:b w:val="0"/>
          <w:bCs w:val="0"/>
        </w:rPr>
      </w:pPr>
      <w:r>
        <w:rPr>
          <w:rFonts w:ascii="Times Roman" w:hAnsi="Times Roman"/>
          <w:b w:val="1"/>
          <w:bCs w:val="1"/>
          <w:rtl w:val="0"/>
          <w:lang w:val="en-US"/>
        </w:rPr>
        <w:t>4. Policy &amp; Governance Evaluation</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rtl w:val="0"/>
          <w:lang w:val="en-US"/>
        </w:rPr>
        <w:t>To evaluate the effectiveness of current e-banking policies, regulatory frameworks, and governance mechanisms in Bangladesh and formulate targeted recommendations. This entails a comprehensive review of Bangladesh Bank guidelines (e.g., agent-banking 2012, e-KYC 2020, digital-bank licensing 2023</w:t>
      </w:r>
      <w:r>
        <w:rPr>
          <w:rFonts w:ascii="Times Roman" w:hAnsi="Times Roman" w:hint="default"/>
          <w:rtl w:val="0"/>
        </w:rPr>
        <w:t>–</w:t>
      </w:r>
      <w:r>
        <w:rPr>
          <w:rFonts w:ascii="Times Roman" w:hAnsi="Times Roman"/>
          <w:rtl w:val="0"/>
          <w:lang w:val="en-US"/>
        </w:rPr>
        <w:t>2024, DFS interoperability rules), cyber-security directives, and consumer-protection statutes, benchmarked against regional peers (e.g., India</w:t>
      </w:r>
      <w:r>
        <w:rPr>
          <w:rFonts w:ascii="Times Roman" w:hAnsi="Times Roman" w:hint="default"/>
          <w:rtl w:val="1"/>
        </w:rPr>
        <w:t>’</w:t>
      </w:r>
      <w:r>
        <w:rPr>
          <w:rFonts w:ascii="Times Roman" w:hAnsi="Times Roman"/>
          <w:rtl w:val="0"/>
        </w:rPr>
        <w:t>s UPI, Kenya</w:t>
      </w:r>
      <w:r>
        <w:rPr>
          <w:rFonts w:ascii="Times Roman" w:hAnsi="Times Roman" w:hint="default"/>
          <w:rtl w:val="1"/>
        </w:rPr>
        <w:t>’</w:t>
      </w:r>
      <w:r>
        <w:rPr>
          <w:rFonts w:ascii="Times Roman" w:hAnsi="Times Roman"/>
          <w:rtl w:val="0"/>
          <w:lang w:val="en-US"/>
        </w:rPr>
        <w:t>s M-Pesa) via comparative legal/policy analysis and stakeholder consultations. Research details assess gaps such as fragmented coordination between banks and telecoms, insufficient encrypted-messaging standards, and limited rural enforcement, which perpetuate challenges despite progressive steps like the 2024 Payment Systems Report highlighting sustained volume growth yet declining digital share (47% of transactions) (Bangladesh Bank, 2024; Khanam, 2024). The evaluation will produce a maturity scorecard for governance pillars (regulation, supervision, consumer redress, innovation sandboxes) and actionable recommendations for regulatory modernization, digital-literacy mandates, and public</w:t>
      </w:r>
      <w:r>
        <w:rPr>
          <w:rFonts w:ascii="Times Roman" w:hAnsi="Times Roman" w:hint="default"/>
          <w:rtl w:val="0"/>
        </w:rPr>
        <w:t>–</w:t>
      </w:r>
      <w:r>
        <w:rPr>
          <w:rFonts w:ascii="Times Roman" w:hAnsi="Times Roman"/>
          <w:rtl w:val="0"/>
          <w:lang w:val="en-US"/>
        </w:rPr>
        <w:t>private partnerships to achieve Vision 2041 targets.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Justification of Research Objectives (One Paragraph)</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objectives are fully justified by the current state of e-banking in Bangladesh, where explosive yet uneven growth</w:t>
      </w:r>
      <w:r>
        <w:rPr>
          <w:rFonts w:ascii="Times Roman" w:hAnsi="Times Roman" w:hint="default"/>
          <w:rtl w:val="0"/>
          <w:lang w:val="en-US"/>
        </w:rPr>
        <w:t>—</w:t>
      </w:r>
      <w:r>
        <w:rPr>
          <w:rFonts w:ascii="Times Roman" w:hAnsi="Times Roman"/>
          <w:rtl w:val="0"/>
          <w:lang w:val="en-US"/>
        </w:rPr>
        <w:t>evidenced by 47.5% year-on-year surges in internet-banking transactions reaching BDT 1.12 trillion in August 2025, 40.31 crore digital transactions in 2024, and mobile-financial-service platforms serving over 68 million users</w:t>
      </w:r>
      <w:r>
        <w:rPr>
          <w:rFonts w:ascii="Times Roman" w:hAnsi="Times Roman" w:hint="default"/>
          <w:rtl w:val="0"/>
          <w:lang w:val="en-US"/>
        </w:rPr>
        <w:t>—</w:t>
      </w:r>
      <w:r>
        <w:rPr>
          <w:rFonts w:ascii="Times Roman" w:hAnsi="Times Roman"/>
          <w:rtl w:val="0"/>
          <w:lang w:val="en-US"/>
        </w:rPr>
        <w:t>coexists with entrenched barriers that prevent equitable realization of the Smart Bangladesh Vision 2041</w:t>
      </w:r>
      <w:r>
        <w:rPr>
          <w:rFonts w:ascii="Times Roman" w:hAnsi="Times Roman" w:hint="default"/>
          <w:rtl w:val="1"/>
        </w:rPr>
        <w:t>’</w:t>
      </w:r>
      <w:r>
        <w:rPr>
          <w:rFonts w:ascii="Times Roman" w:hAnsi="Times Roman"/>
          <w:rtl w:val="0"/>
          <w:lang w:val="en-US"/>
        </w:rPr>
        <w:t>s smart-economy and financial-inclusion ambitions (Bangladesh Bank, 2024; Government of the People</w:t>
      </w:r>
      <w:r>
        <w:rPr>
          <w:rFonts w:ascii="Times Roman" w:hAnsi="Times Roman" w:hint="default"/>
          <w:rtl w:val="1"/>
        </w:rPr>
        <w:t>’</w:t>
      </w:r>
      <w:r>
        <w:rPr>
          <w:rFonts w:ascii="Times Roman" w:hAnsi="Times Roman"/>
          <w:rtl w:val="0"/>
          <w:lang w:val="en-US"/>
        </w:rPr>
        <w:t>s Republic of Bangladesh, 2021). Existing literature, while valuable, remains fragmented: banker-focused surveys document infrastructure, expertise, awareness, and cyber-law deficiencies (Islam, 2015), customer studies emphasize security/privacy, trust, cost, and perceived usefulness as adoption determinants (Khanam, 2024), yet few integrate empirical prioritization, root-cause diagnostics, forward scenario modeling to 2041, and rigorous policy evaluation within a single cohesive framework. This multi-objective design directly addresses these gaps by combining primary data collection, advanced analytical techniques (SEM, AHP, scenario planning), and stakeholder triangulation to generate context-specific, actionable intelligence for Bangladesh Bank, commercial banks, fintech operators, and development partners, ensuring the research delivers both theoretical contributions to digital-finance literature and practical pathways toward inclusive, resilient e-banking by the 2041 horizon.</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1.4 Research Questions and Hypotheses (UTAUT2 Extended Model)</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Overarching Research Questions</w:t>
      </w:r>
    </w:p>
    <w:p>
      <w:pPr>
        <w:pStyle w:val="Default"/>
        <w:numPr>
          <w:ilvl w:val="0"/>
          <w:numId w:val="4"/>
        </w:numPr>
        <w:suppressAutoHyphens w:val="1"/>
        <w:spacing w:before="0" w:after="240" w:line="240" w:lineRule="auto"/>
        <w:jc w:val="both"/>
        <w:rPr>
          <w:rFonts w:ascii="Times Roman" w:hAnsi="Times Roman"/>
          <w:lang w:val="en-US"/>
        </w:rPr>
      </w:pPr>
      <w:r>
        <w:rPr>
          <w:rFonts w:ascii="Times Roman" w:hAnsi="Times Roman"/>
          <w:rtl w:val="0"/>
          <w:lang w:val="en-US"/>
        </w:rPr>
        <w:t>RQ1: To what extent do the core constructs of the extended Unified Theory of Acceptance and Use of Technology 2 (UTAUT2) model explain behavioral intention and actual use of e-banking services among customers in Bangladesh?</w:t>
      </w:r>
    </w:p>
    <w:p>
      <w:pPr>
        <w:pStyle w:val="Default"/>
        <w:numPr>
          <w:ilvl w:val="0"/>
          <w:numId w:val="4"/>
        </w:numPr>
        <w:suppressAutoHyphens w:val="1"/>
        <w:spacing w:before="0" w:after="240" w:line="240" w:lineRule="auto"/>
        <w:jc w:val="both"/>
        <w:rPr>
          <w:rFonts w:ascii="Times Roman" w:hAnsi="Times Roman"/>
          <w:lang w:val="en-US"/>
        </w:rPr>
      </w:pPr>
      <w:r>
        <w:rPr>
          <w:rFonts w:ascii="Times Roman" w:hAnsi="Times Roman"/>
          <w:rtl w:val="0"/>
          <w:lang w:val="en-US"/>
        </w:rPr>
        <w:t>RQ2: How do Bangladesh-specific moderators (e.g., trust post-fraud incidents, perceived governance quality, digital literacy, regulatory enforcement, agent network quality, gender, and rural</w:t>
      </w:r>
      <w:r>
        <w:rPr>
          <w:rFonts w:ascii="Times Roman" w:hAnsi="Times Roman" w:hint="default"/>
          <w:rtl w:val="0"/>
        </w:rPr>
        <w:t>–</w:t>
      </w:r>
      <w:r>
        <w:rPr>
          <w:rFonts w:ascii="Times Roman" w:hAnsi="Times Roman"/>
          <w:rtl w:val="0"/>
          <w:lang w:val="en-US"/>
        </w:rPr>
        <w:t>urban divides) and mediators influence the relationships between UTAUT2 constructs and e-banking adoption outcomes?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1.4.1 Core UTAUT2 Hypotheses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Drawing on Venkatesh, Thong, and Xu</w:t>
      </w:r>
      <w:r>
        <w:rPr>
          <w:rFonts w:ascii="Times Roman" w:hAnsi="Times Roman" w:hint="default"/>
          <w:rtl w:val="1"/>
        </w:rPr>
        <w:t>’</w:t>
      </w:r>
      <w:r>
        <w:rPr>
          <w:rFonts w:ascii="Times Roman" w:hAnsi="Times Roman"/>
          <w:rtl w:val="0"/>
          <w:lang w:val="en-US"/>
        </w:rPr>
        <w:t>s (2012) UTAUT2 framework</w:t>
      </w:r>
      <w:r>
        <w:rPr>
          <w:rFonts w:ascii="Times Roman" w:hAnsi="Times Roman" w:hint="default"/>
          <w:rtl w:val="0"/>
          <w:lang w:val="en-US"/>
        </w:rPr>
        <w:t>—</w:t>
      </w:r>
      <w:r>
        <w:rPr>
          <w:rFonts w:ascii="Times Roman" w:hAnsi="Times Roman"/>
          <w:rtl w:val="0"/>
          <w:lang w:val="en-US"/>
        </w:rPr>
        <w:t>which has been successfully applied and extended in multiple Bangladeshi mobile and internet banking studies</w:t>
      </w:r>
      <w:r>
        <w:rPr>
          <w:rFonts w:ascii="Times Roman" w:hAnsi="Times Roman" w:hint="default"/>
          <w:rtl w:val="0"/>
          <w:lang w:val="en-US"/>
        </w:rPr>
        <w:t>—</w:t>
      </w:r>
      <w:r>
        <w:rPr>
          <w:rFonts w:ascii="Times Roman" w:hAnsi="Times Roman"/>
          <w:rtl w:val="0"/>
          <w:lang w:val="en-US"/>
        </w:rPr>
        <w:t>the following hypotheses test the core relationships in the e-banking context:</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H1:</w:t>
      </w:r>
      <w:r>
        <w:rPr>
          <w:rFonts w:ascii="Times Roman" w:hAnsi="Times Roman"/>
          <w:rtl w:val="0"/>
          <w:lang w:val="en-US"/>
        </w:rPr>
        <w:t xml:space="preserve"> Performance Expectancy (PE) positively influences Behavioral Intention (BI) to use e-banking services.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(Rationale and research detail: PE reflects the belief that e-banking improves transaction speed, convenience, and financial management. Prior PLS-SEM studies in Bangladesh confirm PE as a strong predictor (</w:t>
      </w:r>
      <w:r>
        <w:rPr>
          <w:rFonts w:ascii="Times Roman" w:hAnsi="Times Roman" w:hint="default"/>
          <w:i w:val="1"/>
          <w:iCs w:val="1"/>
          <w:rtl w:val="0"/>
        </w:rPr>
        <w:t xml:space="preserve">β </w:t>
      </w:r>
      <w:r>
        <w:rPr>
          <w:rFonts w:ascii="Times Roman" w:hAnsi="Times Roman"/>
          <w:i w:val="1"/>
          <w:iCs w:val="1"/>
          <w:rtl w:val="0"/>
          <w:lang w:val="en-US"/>
        </w:rPr>
        <w:t>&gt; 0.25, p &lt; 0.01), especially among urban users seeking efficiency amid high transaction volumes.)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rPr>
        <w:t>H2:</w:t>
      </w:r>
      <w:r>
        <w:rPr>
          <w:rFonts w:ascii="Times Roman" w:hAnsi="Times Roman"/>
          <w:rtl w:val="0"/>
          <w:lang w:val="en-US"/>
        </w:rPr>
        <w:t xml:space="preserve"> Effort Expectancy (EE) positively influences Behavioral Intention (BI) to use e-banking services.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(Rationale and research detail: EE captures perceived ease of use of apps, interfaces, and navigation. Bangladeshi empirical work shows EE significantly affects BI, though its effect weakens with higher digital literacy; gender multi-group analysis reveals stronger paths for females.)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rPr>
        <w:t>H3:</w:t>
      </w:r>
      <w:r>
        <w:rPr>
          <w:rFonts w:ascii="Times Roman" w:hAnsi="Times Roman"/>
          <w:rtl w:val="0"/>
          <w:lang w:val="en-US"/>
        </w:rPr>
        <w:t xml:space="preserve"> Social Influence (SI) positively influences Behavioral Intention (BI) to use e-banking services.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(Rationale and research detail: SI includes recommendations from family, peers, and opinion leaders. Studies report SI as significant for male respondents and in collectivist rural contexts, where word-of-mouth drives adoption of services like bKash and agent banking.)</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ru-RU"/>
        </w:rPr>
        <w:t>H4:</w:t>
      </w:r>
      <w:r>
        <w:rPr>
          <w:rFonts w:ascii="Times Roman" w:hAnsi="Times Roman"/>
          <w:rtl w:val="0"/>
          <w:lang w:val="en-US"/>
        </w:rPr>
        <w:t xml:space="preserve"> Facilitating Conditions (FC) positively influence both Behavioral Intention (BI) and Use Behavior (UB) of e-banking services.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(Rationale and research detail: FC encompasses infrastructure, technical support, and compatibility with devices. Bangladeshi data highlight FC</w:t>
      </w:r>
      <w:r>
        <w:rPr>
          <w:rFonts w:ascii="Times Roman" w:hAnsi="Times Roman" w:hint="default"/>
          <w:i w:val="1"/>
          <w:iCs w:val="1"/>
          <w:rtl w:val="1"/>
        </w:rPr>
        <w:t>’</w:t>
      </w:r>
      <w:r>
        <w:rPr>
          <w:rFonts w:ascii="Times Roman" w:hAnsi="Times Roman"/>
          <w:i w:val="1"/>
          <w:iCs w:val="1"/>
          <w:rtl w:val="0"/>
          <w:lang w:val="en-US"/>
        </w:rPr>
        <w:t>s direct effect on UB, yet persistent rural infrastructure gaps (e.g., internet reliability) moderate this relationship downward.)</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rPr>
        <w:t>H5:</w:t>
      </w:r>
      <w:r>
        <w:rPr>
          <w:rFonts w:ascii="Times Roman" w:hAnsi="Times Roman"/>
          <w:rtl w:val="0"/>
          <w:lang w:val="en-US"/>
        </w:rPr>
        <w:t xml:space="preserve"> Hedonic Motivation (HM) positively influences Behavioral Intention (BI) to use e-banking services.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(Rationale and research detail: HM reflects enjoyment and pleasure derived from gamified apps, instant notifications, and seamless interfaces. Recent Gen Z-focused UTAUT2 applications in Bangladesh confirm HM</w:t>
      </w:r>
      <w:r>
        <w:rPr>
          <w:rFonts w:ascii="Times Roman" w:hAnsi="Times Roman" w:hint="default"/>
          <w:i w:val="1"/>
          <w:iCs w:val="1"/>
          <w:rtl w:val="1"/>
        </w:rPr>
        <w:t>’</w:t>
      </w:r>
      <w:r>
        <w:rPr>
          <w:rFonts w:ascii="Times Roman" w:hAnsi="Times Roman"/>
          <w:i w:val="1"/>
          <w:iCs w:val="1"/>
          <w:rtl w:val="0"/>
          <w:lang w:val="en-US"/>
        </w:rPr>
        <w:t>s growing relevance as digital natives seek engaging experiences.)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rPr>
        <w:t>H6:</w:t>
      </w:r>
      <w:r>
        <w:rPr>
          <w:rFonts w:ascii="Times Roman" w:hAnsi="Times Roman"/>
          <w:rtl w:val="0"/>
          <w:lang w:val="en-US"/>
        </w:rPr>
        <w:t xml:space="preserve"> Price Value (PV) positively influences Behavioral Intention (BI) to use e-banking services.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(Rationale and research detail: PV weighs benefits against monetary and non-monetary costs (e.g., data charges, fees). Multiple Bangladeshi UTAUT2 extensions find PV significant, particularly among price-sensitive rural and low-income segments where agent networks reduce travel costs.)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rPr>
        <w:t>H7a:</w:t>
      </w:r>
      <w:r>
        <w:rPr>
          <w:rFonts w:ascii="Times Roman" w:hAnsi="Times Roman"/>
          <w:rtl w:val="0"/>
          <w:lang w:val="en-US"/>
        </w:rPr>
        <w:t xml:space="preserve"> Habit (HT) positively influences Behavioral Intention (BI) to use e-banking services.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rPr>
        <w:t>H7b:</w:t>
      </w:r>
      <w:r>
        <w:rPr>
          <w:rFonts w:ascii="Times Roman" w:hAnsi="Times Roman"/>
          <w:rtl w:val="0"/>
          <w:lang w:val="en-US"/>
        </w:rPr>
        <w:t xml:space="preserve"> Habit (HT) positively influences Use Behavior (UB) of e-banking services.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(Rationale and research detail: HT represents automaticity from repeated use. While some Bangladeshi internet-banking studies report HT as insignificant overall, multi-group analyses show it significant for females and experienced users; post-pandemic habit formation has strengthened this path.)</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1.4.2 Bangladesh-Specific Moderators &amp; Mediators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following hypotheses extend the core UTAUT2 model with contextually critical factors identified through literature on Bangladesh</w:t>
      </w:r>
      <w:r>
        <w:rPr>
          <w:rFonts w:ascii="Times Roman" w:hAnsi="Times Roman" w:hint="default"/>
          <w:rtl w:val="1"/>
        </w:rPr>
        <w:t>’</w:t>
      </w:r>
      <w:r>
        <w:rPr>
          <w:rFonts w:ascii="Times Roman" w:hAnsi="Times Roman"/>
          <w:rtl w:val="0"/>
          <w:lang w:val="en-US"/>
        </w:rPr>
        <w:t>s unique challenges (cybersecurity incidents, regulatory evolution, rural agent ecosystems, and socio-demographic divides). These will be tested as moderators (altering relationship strength) or mediators (explaining indirect effects) via PLS-SEM and multi-group analysis.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de-DE"/>
        </w:rPr>
        <w:t xml:space="preserve">H8 (Trust Post-Fraud Incidents </w:t>
      </w:r>
      <w:r>
        <w:rPr>
          <w:rFonts w:ascii="Times Roman" w:hAnsi="Times Roman" w:hint="default"/>
          <w:b w:val="1"/>
          <w:bCs w:val="1"/>
          <w:rtl w:val="0"/>
        </w:rPr>
        <w:t xml:space="preserve">– </w:t>
      </w:r>
      <w:r>
        <w:rPr>
          <w:rFonts w:ascii="Times Roman" w:hAnsi="Times Roman"/>
          <w:b w:val="1"/>
          <w:bCs w:val="1"/>
          <w:rtl w:val="0"/>
          <w:lang w:val="it-IT"/>
        </w:rPr>
        <w:t>Mediator/Moderator):</w:t>
      </w:r>
      <w:r>
        <w:rPr>
          <w:rFonts w:ascii="Times Roman" w:hAnsi="Times Roman"/>
          <w:rtl w:val="0"/>
          <w:lang w:val="en-US"/>
        </w:rPr>
        <w:t xml:space="preserve"> Trust (post-fraud incidents) positively mediates the relationship between Perceived Security/Performance Expectancy and Behavioral Intention, and moderates the PE</w:t>
      </w:r>
      <w:r>
        <w:rPr>
          <w:rFonts w:ascii="Times Roman" w:hAnsi="Times Roman" w:hint="default"/>
          <w:rtl w:val="0"/>
        </w:rPr>
        <w:t>–</w:t>
      </w:r>
      <w:r>
        <w:rPr>
          <w:rFonts w:ascii="Times Roman" w:hAnsi="Times Roman"/>
          <w:rtl w:val="0"/>
          <w:lang w:val="en-US"/>
        </w:rPr>
        <w:t>BI and EE</w:t>
      </w:r>
      <w:r>
        <w:rPr>
          <w:rFonts w:ascii="Times Roman" w:hAnsi="Times Roman" w:hint="default"/>
          <w:rtl w:val="0"/>
        </w:rPr>
        <w:t>–</w:t>
      </w:r>
      <w:r>
        <w:rPr>
          <w:rFonts w:ascii="Times Roman" w:hAnsi="Times Roman"/>
          <w:rtl w:val="0"/>
          <w:lang w:val="en-US"/>
        </w:rPr>
        <w:t>BI paths (stronger effects when trust is high).</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(Research detail: Fraud and phishing incidents have eroded confidence; Bangladeshi UTAUT2 extensions incorporating trust and Perceived Technology Security (PTS) show trust as a key mediator (indirect effect significant) and moderator, with stronger paths for females.)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 xml:space="preserve">H9 (Perceived Governance Quality </w:t>
      </w:r>
      <w:r>
        <w:rPr>
          <w:rFonts w:ascii="Times Roman" w:hAnsi="Times Roman" w:hint="default"/>
          <w:b w:val="1"/>
          <w:bCs w:val="1"/>
          <w:rtl w:val="0"/>
        </w:rPr>
        <w:t xml:space="preserve">– </w:t>
      </w:r>
      <w:r>
        <w:rPr>
          <w:rFonts w:ascii="Times Roman" w:hAnsi="Times Roman"/>
          <w:b w:val="1"/>
          <w:bCs w:val="1"/>
          <w:rtl w:val="0"/>
          <w:lang w:val="it-IT"/>
        </w:rPr>
        <w:t>Moderator):</w:t>
      </w:r>
      <w:r>
        <w:rPr>
          <w:rFonts w:ascii="Times Roman" w:hAnsi="Times Roman"/>
          <w:rtl w:val="0"/>
          <w:lang w:val="en-US"/>
        </w:rPr>
        <w:t xml:space="preserve"> Perceived Governance Quality (transparency, accountability, and policy responsiveness of Bangladesh Bank and regulators) positively moderates the Facilitating Conditions</w:t>
      </w:r>
      <w:r>
        <w:rPr>
          <w:rFonts w:ascii="Times Roman" w:hAnsi="Times Roman" w:hint="default"/>
          <w:rtl w:val="0"/>
        </w:rPr>
        <w:t>–</w:t>
      </w:r>
      <w:r>
        <w:rPr>
          <w:rFonts w:ascii="Times Roman" w:hAnsi="Times Roman"/>
          <w:rtl w:val="0"/>
          <w:lang w:val="en-US"/>
        </w:rPr>
        <w:t>Use Behavior and Social Influence</w:t>
      </w:r>
      <w:r>
        <w:rPr>
          <w:rFonts w:ascii="Times Roman" w:hAnsi="Times Roman" w:hint="default"/>
          <w:rtl w:val="0"/>
        </w:rPr>
        <w:t>–</w:t>
      </w:r>
      <w:r>
        <w:rPr>
          <w:rFonts w:ascii="Times Roman" w:hAnsi="Times Roman"/>
          <w:rtl w:val="0"/>
          <w:lang w:val="en-US"/>
        </w:rPr>
        <w:t>Behavioral Intention relationships.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(Research detail: Governance perceptions influence regulatory trust; studies note that stronger enforcement of e-KYC, digital-bank guidelines, and cyber laws amplifies FC effects, especially in urban cohorts.)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 xml:space="preserve">H10 (Digital Literacy </w:t>
      </w:r>
      <w:r>
        <w:rPr>
          <w:rFonts w:ascii="Times Roman" w:hAnsi="Times Roman" w:hint="default"/>
          <w:b w:val="1"/>
          <w:bCs w:val="1"/>
          <w:rtl w:val="0"/>
        </w:rPr>
        <w:t xml:space="preserve">– </w:t>
      </w:r>
      <w:r>
        <w:rPr>
          <w:rFonts w:ascii="Times Roman" w:hAnsi="Times Roman"/>
          <w:b w:val="1"/>
          <w:bCs w:val="1"/>
          <w:rtl w:val="0"/>
          <w:lang w:val="it-IT"/>
        </w:rPr>
        <w:t>Moderator/Mediator):</w:t>
      </w:r>
      <w:r>
        <w:rPr>
          <w:rFonts w:ascii="Times Roman" w:hAnsi="Times Roman"/>
          <w:rtl w:val="0"/>
          <w:lang w:val="en-US"/>
        </w:rPr>
        <w:t xml:space="preserve"> Digital Literacy positively moderates Effort Expectancy</w:t>
      </w:r>
      <w:r>
        <w:rPr>
          <w:rFonts w:ascii="Times Roman" w:hAnsi="Times Roman" w:hint="default"/>
          <w:rtl w:val="0"/>
        </w:rPr>
        <w:t>–</w:t>
      </w:r>
      <w:r>
        <w:rPr>
          <w:rFonts w:ascii="Times Roman" w:hAnsi="Times Roman"/>
          <w:rtl w:val="0"/>
          <w:lang w:val="en-US"/>
        </w:rPr>
        <w:t>Behavioral Intention and mediates the effect of Education/Age on Behavioral Intention and Use Behavior.</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(Research detail: Low digital literacy remains a barrier; multi-group findings in Bangladesh show EE stronger among high-literacy users, while low-literacy groups rely more on agent networks and social influence.)</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 xml:space="preserve">H11 (Regulatory Enforcement </w:t>
      </w:r>
      <w:r>
        <w:rPr>
          <w:rFonts w:ascii="Times Roman" w:hAnsi="Times Roman" w:hint="default"/>
          <w:b w:val="1"/>
          <w:bCs w:val="1"/>
          <w:rtl w:val="0"/>
        </w:rPr>
        <w:t xml:space="preserve">– </w:t>
      </w:r>
      <w:r>
        <w:rPr>
          <w:rFonts w:ascii="Times Roman" w:hAnsi="Times Roman"/>
          <w:b w:val="1"/>
          <w:bCs w:val="1"/>
          <w:rtl w:val="0"/>
          <w:lang w:val="it-IT"/>
        </w:rPr>
        <w:t>Moderator):</w:t>
      </w:r>
      <w:r>
        <w:rPr>
          <w:rFonts w:ascii="Times Roman" w:hAnsi="Times Roman"/>
          <w:rtl w:val="0"/>
          <w:lang w:val="en-US"/>
        </w:rPr>
        <w:t xml:space="preserve"> Regulatory Enforcement (strictness of Bangladesh Bank oversight, consumer protection, and penalty mechanisms) positively moderates the Trust</w:t>
      </w:r>
      <w:r>
        <w:rPr>
          <w:rFonts w:ascii="Times Roman" w:hAnsi="Times Roman" w:hint="default"/>
          <w:rtl w:val="0"/>
        </w:rPr>
        <w:t>–</w:t>
      </w:r>
      <w:r>
        <w:rPr>
          <w:rFonts w:ascii="Times Roman" w:hAnsi="Times Roman"/>
          <w:rtl w:val="0"/>
          <w:lang w:val="en-US"/>
        </w:rPr>
        <w:t>Behavioral Intention and Price Value</w:t>
      </w:r>
      <w:r>
        <w:rPr>
          <w:rFonts w:ascii="Times Roman" w:hAnsi="Times Roman" w:hint="default"/>
          <w:rtl w:val="0"/>
        </w:rPr>
        <w:t>–</w:t>
      </w:r>
      <w:r>
        <w:rPr>
          <w:rFonts w:ascii="Times Roman" w:hAnsi="Times Roman"/>
          <w:rtl w:val="0"/>
          <w:lang w:val="en-US"/>
        </w:rPr>
        <w:t>Behavioral Intention paths.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(Research detail: Enforcement gaps are frequently cited; stronger perceived enforcement reduces risk perceptions and enhances PV, aligning with 2024 Payment Systems Report emphasis on secure digital growth.)</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 xml:space="preserve">H12 (Agent Network Quality </w:t>
      </w:r>
      <w:r>
        <w:rPr>
          <w:rFonts w:ascii="Times Roman" w:hAnsi="Times Roman" w:hint="default"/>
          <w:b w:val="1"/>
          <w:bCs w:val="1"/>
          <w:rtl w:val="0"/>
        </w:rPr>
        <w:t xml:space="preserve">– </w:t>
      </w:r>
      <w:r>
        <w:rPr>
          <w:rFonts w:ascii="Times Roman" w:hAnsi="Times Roman"/>
          <w:b w:val="1"/>
          <w:bCs w:val="1"/>
          <w:rtl w:val="0"/>
          <w:lang w:val="it-IT"/>
        </w:rPr>
        <w:t>Moderator):</w:t>
      </w:r>
      <w:r>
        <w:rPr>
          <w:rFonts w:ascii="Times Roman" w:hAnsi="Times Roman"/>
          <w:rtl w:val="0"/>
          <w:lang w:val="en-US"/>
        </w:rPr>
        <w:t xml:space="preserve"> Agent Network Quality (availability, reliability, training, and liquidity of bKash/Rocket/Nagad agents) positively moderates Facilitating Conditions</w:t>
      </w:r>
      <w:r>
        <w:rPr>
          <w:rFonts w:ascii="Times Roman" w:hAnsi="Times Roman" w:hint="default"/>
          <w:rtl w:val="0"/>
        </w:rPr>
        <w:t>–</w:t>
      </w:r>
      <w:r>
        <w:rPr>
          <w:rFonts w:ascii="Times Roman" w:hAnsi="Times Roman"/>
          <w:rtl w:val="0"/>
          <w:lang w:val="en-US"/>
        </w:rPr>
        <w:t>Use Behavior, particularly in rural areas.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(Research detail: Agent banking is pivotal for last-mile inclusion; rural</w:t>
      </w:r>
      <w:r>
        <w:rPr>
          <w:rFonts w:ascii="Times Roman" w:hAnsi="Times Roman" w:hint="default"/>
          <w:i w:val="1"/>
          <w:iCs w:val="1"/>
          <w:rtl w:val="0"/>
        </w:rPr>
        <w:t>–</w:t>
      </w:r>
      <w:r>
        <w:rPr>
          <w:rFonts w:ascii="Times Roman" w:hAnsi="Times Roman"/>
          <w:i w:val="1"/>
          <w:iCs w:val="1"/>
          <w:rtl w:val="0"/>
          <w:lang w:val="en-US"/>
        </w:rPr>
        <w:t>urban divide studies show agent quality significantly strengthens FC</w:t>
      </w:r>
      <w:r>
        <w:rPr>
          <w:rFonts w:ascii="Times Roman" w:hAnsi="Times Roman" w:hint="default"/>
          <w:i w:val="1"/>
          <w:iCs w:val="1"/>
          <w:rtl w:val="0"/>
        </w:rPr>
        <w:t>–</w:t>
      </w:r>
      <w:r>
        <w:rPr>
          <w:rFonts w:ascii="Times Roman" w:hAnsi="Times Roman"/>
          <w:i w:val="1"/>
          <w:iCs w:val="1"/>
          <w:rtl w:val="0"/>
          <w:lang w:val="en-US"/>
        </w:rPr>
        <w:t>UB links where branch access is limited.)</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 xml:space="preserve">H13 (Gender/Rural Divides </w:t>
      </w:r>
      <w:r>
        <w:rPr>
          <w:rFonts w:ascii="Times Roman" w:hAnsi="Times Roman" w:hint="default"/>
          <w:b w:val="1"/>
          <w:bCs w:val="1"/>
          <w:rtl w:val="0"/>
        </w:rPr>
        <w:t xml:space="preserve">– </w:t>
      </w:r>
      <w:r>
        <w:rPr>
          <w:rFonts w:ascii="Times Roman" w:hAnsi="Times Roman"/>
          <w:b w:val="1"/>
          <w:bCs w:val="1"/>
          <w:rtl w:val="0"/>
          <w:lang w:val="en-US"/>
        </w:rPr>
        <w:t>Multi-Group Moderators):</w:t>
      </w:r>
      <w:r>
        <w:rPr>
          <w:rFonts w:ascii="Times Roman" w:hAnsi="Times Roman"/>
          <w:rtl w:val="0"/>
          <w:lang w:val="en-US"/>
        </w:rPr>
        <w:t xml:space="preserve"> Gender and Rural</w:t>
      </w:r>
      <w:r>
        <w:rPr>
          <w:rFonts w:ascii="Times Roman" w:hAnsi="Times Roman" w:hint="default"/>
          <w:rtl w:val="0"/>
        </w:rPr>
        <w:t>–</w:t>
      </w:r>
      <w:r>
        <w:rPr>
          <w:rFonts w:ascii="Times Roman" w:hAnsi="Times Roman"/>
          <w:rtl w:val="0"/>
          <w:lang w:val="en-US"/>
        </w:rPr>
        <w:t>Urban Location moderate multiple core paths: (a) Trust and Habit effects stronger for females; (b) Performance Expectancy and Social Influence stronger for males; (c) Agent Network Quality and Facilitating Conditions stronger for rural users.</w:t>
      </w:r>
    </w:p>
    <w:p>
      <w:pPr>
        <w:pStyle w:val="Default"/>
        <w:suppressAutoHyphens w:val="1"/>
        <w:spacing w:before="0" w:after="240" w:line="240" w:lineRule="auto"/>
        <w:ind w:left="360"/>
        <w:jc w:val="both"/>
        <w:rPr>
          <w:rFonts w:ascii="Times Roman" w:cs="Times Roman" w:hAnsi="Times Roman" w:eastAsia="Times Roman"/>
          <w:i w:val="0"/>
          <w:iCs w:val="0"/>
        </w:rPr>
      </w:pPr>
      <w:r>
        <w:rPr>
          <w:rFonts w:ascii="Times Roman" w:hAnsi="Times Roman"/>
          <w:i w:val="1"/>
          <w:iCs w:val="1"/>
          <w:rtl w:val="0"/>
          <w:lang w:val="en-US"/>
        </w:rPr>
        <w:t>(Research detail: Documented 55% gender gap in mobile-banking accounts and stark rural infrastructure disparities; PLS-MGA in Bangladeshi UTAUT2 studies consistently reveals these differential effects, necessitating targeted interventions.)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Justification of Research Questions and Hypotheses (One Paragraph)</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adoption of an extended UTAUT2 model is theoretically and contextually justified because the core seven constructs have demonstrated substantial explanatory power (R</w:t>
      </w:r>
      <w:r>
        <w:rPr>
          <w:rFonts w:ascii="Times Roman" w:hAnsi="Times Roman" w:hint="default"/>
          <w:rtl w:val="0"/>
        </w:rPr>
        <w:t xml:space="preserve">² </w:t>
      </w:r>
      <w:r>
        <w:rPr>
          <w:rFonts w:ascii="Times Roman" w:hAnsi="Times Roman"/>
          <w:rtl w:val="0"/>
          <w:lang w:val="en-US"/>
        </w:rPr>
        <w:t>often 60</w:t>
      </w:r>
      <w:r>
        <w:rPr>
          <w:rFonts w:ascii="Times Roman" w:hAnsi="Times Roman" w:hint="default"/>
          <w:rtl w:val="0"/>
        </w:rPr>
        <w:t>–</w:t>
      </w:r>
      <w:r>
        <w:rPr>
          <w:rFonts w:ascii="Times Roman" w:hAnsi="Times Roman"/>
          <w:rtl w:val="0"/>
          <w:lang w:val="en-US"/>
        </w:rPr>
        <w:t>75% for BI) in prior Bangladeshi mobile- and internet-banking research, yet none have simultaneously incorporated the post-fraud trust crisis, evolving governance perceptions, digital-literacy gaps, regulatory enforcement nuances, agent-network realities, and persistent gender/rural divides that uniquely characterize Bangladesh</w:t>
      </w:r>
      <w:r>
        <w:rPr>
          <w:rFonts w:ascii="Times Roman" w:hAnsi="Times Roman" w:hint="default"/>
          <w:rtl w:val="1"/>
        </w:rPr>
        <w:t>’</w:t>
      </w:r>
      <w:r>
        <w:rPr>
          <w:rFonts w:ascii="Times Roman" w:hAnsi="Times Roman"/>
          <w:rtl w:val="0"/>
          <w:lang w:val="en-US"/>
        </w:rPr>
        <w:t>s e-banking landscape in 2025</w:t>
      </w:r>
      <w:r>
        <w:rPr>
          <w:rFonts w:ascii="Times Roman" w:hAnsi="Times Roman" w:hint="default"/>
          <w:rtl w:val="0"/>
        </w:rPr>
        <w:t>–</w:t>
      </w:r>
      <w:r>
        <w:rPr>
          <w:rFonts w:ascii="Times Roman" w:hAnsi="Times Roman"/>
          <w:rtl w:val="0"/>
          <w:lang w:val="en-US"/>
        </w:rPr>
        <w:t>2026. By grounding hypotheses in Venkatesh et al.</w:t>
      </w:r>
      <w:r>
        <w:rPr>
          <w:rFonts w:ascii="Times Roman" w:hAnsi="Times Roman" w:hint="default"/>
          <w:rtl w:val="1"/>
        </w:rPr>
        <w:t>’</w:t>
      </w:r>
      <w:r>
        <w:rPr>
          <w:rFonts w:ascii="Times Roman" w:hAnsi="Times Roman"/>
          <w:rtl w:val="0"/>
          <w:lang w:val="en-US"/>
        </w:rPr>
        <w:t>s (2012) validated framework while extending it with empirically supported Bangladesh-specific factors</w:t>
      </w:r>
      <w:r>
        <w:rPr>
          <w:rFonts w:ascii="Times Roman" w:hAnsi="Times Roman" w:hint="default"/>
          <w:rtl w:val="0"/>
          <w:lang w:val="en-US"/>
        </w:rPr>
        <w:t>—</w:t>
      </w:r>
      <w:r>
        <w:rPr>
          <w:rFonts w:ascii="Times Roman" w:hAnsi="Times Roman"/>
          <w:rtl w:val="0"/>
          <w:lang w:val="en-US"/>
        </w:rPr>
        <w:t>drawn from PLS-SEM studies showing significant roles for trust/PTS, gender-differentiated paths, and infrastructure moderators</w:t>
      </w:r>
      <w:r>
        <w:rPr>
          <w:rFonts w:ascii="Times Roman" w:hAnsi="Times Roman" w:hint="default"/>
          <w:rtl w:val="0"/>
          <w:lang w:val="en-US"/>
        </w:rPr>
        <w:t>—</w:t>
      </w:r>
      <w:r>
        <w:rPr>
          <w:rFonts w:ascii="Times Roman" w:hAnsi="Times Roman"/>
          <w:rtl w:val="0"/>
          <w:lang w:val="en-US"/>
        </w:rPr>
        <w:t>this design directly addresses the research gaps identified in the preceding objectives section, enables rigorous hypothesis testing via advanced structural modeling on primary survey data, and yields actionable, segment-specific insights for policymakers and banks striving to accelerate inclusive digital finance under the Smart Bangladesh Vision 2041.</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1.5 Significance of the Study</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1.5.1 Academic/Theoretical Significance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study makes a substantial contribution to the academic literature on technology adoption in developing economies by extending the Unified Theory of Acceptance and Use of Technology 2 (UTAUT2) model with six Bangladesh-specific moderators and mediators</w:t>
      </w:r>
      <w:r>
        <w:rPr>
          <w:rFonts w:ascii="Times Roman" w:hAnsi="Times Roman" w:hint="default"/>
          <w:rtl w:val="0"/>
          <w:lang w:val="en-US"/>
        </w:rPr>
        <w:t>—</w:t>
      </w:r>
      <w:r>
        <w:rPr>
          <w:rFonts w:ascii="Times Roman" w:hAnsi="Times Roman"/>
          <w:rtl w:val="0"/>
          <w:lang w:val="en-US"/>
        </w:rPr>
        <w:t>trust post-fraud incidents, perceived governance quality, digital literacy, regulatory enforcement, agent network quality, and gender/rural divides. While Venkatesh, Thong, and Xu (2012) established UTAUT2</w:t>
      </w:r>
      <w:r>
        <w:rPr>
          <w:rFonts w:ascii="Times Roman" w:hAnsi="Times Roman" w:hint="default"/>
          <w:rtl w:val="1"/>
        </w:rPr>
        <w:t>’</w:t>
      </w:r>
      <w:r>
        <w:rPr>
          <w:rFonts w:ascii="Times Roman" w:hAnsi="Times Roman"/>
          <w:rtl w:val="0"/>
          <w:lang w:val="en-US"/>
        </w:rPr>
        <w:t>s robustness in consumer contexts, its application in South Asian digital finance remains limited; this research provides the first comprehensive empirical validation of the extended model in Bangladesh</w:t>
      </w:r>
      <w:r>
        <w:rPr>
          <w:rFonts w:ascii="Times Roman" w:hAnsi="Times Roman" w:hint="default"/>
          <w:rtl w:val="1"/>
        </w:rPr>
        <w:t>’</w:t>
      </w:r>
      <w:r>
        <w:rPr>
          <w:rFonts w:ascii="Times Roman" w:hAnsi="Times Roman"/>
          <w:rtl w:val="0"/>
          <w:lang w:val="en-US"/>
        </w:rPr>
        <w:t>s e-banking sector using Partial Least Squares Structural Equation Modeling (PLS-SEM) on primary data from 2025</w:t>
      </w:r>
      <w:r>
        <w:rPr>
          <w:rFonts w:ascii="Times Roman" w:hAnsi="Times Roman" w:hint="default"/>
          <w:rtl w:val="0"/>
        </w:rPr>
        <w:t>–</w:t>
      </w:r>
      <w:r>
        <w:rPr>
          <w:rFonts w:ascii="Times Roman" w:hAnsi="Times Roman"/>
          <w:rtl w:val="0"/>
          <w:lang w:val="en-US"/>
        </w:rPr>
        <w:t>2026. The findings will enrich theoretical understanding of how contextual factors interact with core constructs (Performance Expectancy, Effort Expectancy, Habit, etc.) in environments characterized by rapid mobile-financial-service growth, persistent infrastructure gaps, and evolving regulatory landscapes, thereby advancing digital-finance scholarship beyond Western-centric models.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1.5.2 Policy/Regulatory Significance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study offers timely, evidence-based insights for Bangladesh Bank, the Ministry of Finance, the Bangladesh Financial Intelligence Unit, and other regulators to refine policies on digital-bank licensing (15 in-principle approvals granted 2024</w:t>
      </w:r>
      <w:r>
        <w:rPr>
          <w:rFonts w:ascii="Times Roman" w:hAnsi="Times Roman" w:hint="default"/>
          <w:rtl w:val="0"/>
        </w:rPr>
        <w:t>–</w:t>
      </w:r>
      <w:r>
        <w:rPr>
          <w:rFonts w:ascii="Times Roman" w:hAnsi="Times Roman"/>
          <w:rtl w:val="0"/>
          <w:lang w:val="en-US"/>
        </w:rPr>
        <w:t>2025), e-KYC frameworks, cyber-security standards, and agent-banking guidelines. By mapping root causes of challenges and evaluating governance effectiveness, the research directly supports the implementation of the Smart Bangladesh Vision 2041 and the Perspective Plan 2021</w:t>
      </w:r>
      <w:r>
        <w:rPr>
          <w:rFonts w:ascii="Times Roman" w:hAnsi="Times Roman" w:hint="default"/>
          <w:rtl w:val="0"/>
        </w:rPr>
        <w:t>–</w:t>
      </w:r>
      <w:r>
        <w:rPr>
          <w:rFonts w:ascii="Times Roman" w:hAnsi="Times Roman"/>
          <w:rtl w:val="0"/>
          <w:lang w:val="en-US"/>
        </w:rPr>
        <w:t>2041, particularly the goals of a cash-light economy and universal financial access. Recommendations will address regulatory enforcement gaps, interoperability mandates, and consumer-protection mechanisms, helping policymakers accelerate safe, inclusive digital transformation while mitigating systemic risks highlighted in the 2024 Payment Systems Report.</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1.5.3 Managerial/Industry Significance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Commercial banks, mobile-financial-service providers (bKash, Nagad, Rocket, Upay), card networks, and emerging fintech players will benefit from prioritized, data-driven guidance on enhancing adoption determinants and service quality. The UTAUT2-based findings will enable banks to optimize user interfaces for higher Effort Expectancy and Hedonic Motivation, strengthen trust-building measures post-fraud incidents, expand reliable agent networks in rural areas, and tailor offerings by gender and geographic segments. With 47.5% year-on-year growth in internet-banking transactions and over 68 million active MFS users, the study equips industry stakeholders to design competitive strategies, allocate resources efficiently toward digital infrastructure and literacy programs, and capitalize on the 10</w:t>
      </w:r>
      <w:r>
        <w:rPr>
          <w:rFonts w:ascii="Times Roman" w:hAnsi="Times Roman" w:hint="default"/>
          <w:rtl w:val="0"/>
        </w:rPr>
        <w:t>–</w:t>
      </w:r>
      <w:r>
        <w:rPr>
          <w:rFonts w:ascii="Times Roman" w:hAnsi="Times Roman"/>
          <w:rtl w:val="0"/>
          <w:lang w:val="en-US"/>
        </w:rPr>
        <w:t>12 new digital-bank licenses expected to commence operations in 2025</w:t>
      </w:r>
      <w:r>
        <w:rPr>
          <w:rFonts w:ascii="Times Roman" w:hAnsi="Times Roman" w:hint="default"/>
          <w:rtl w:val="0"/>
        </w:rPr>
        <w:t>–</w:t>
      </w:r>
      <w:r>
        <w:rPr>
          <w:rFonts w:ascii="Times Roman" w:hAnsi="Times Roman"/>
          <w:rtl w:val="0"/>
        </w:rPr>
        <w:t>2026.</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1.5.4 Societal/Inclusion &amp; SDG Contributions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At the societal level, this research advances financial inclusion for Bangladesh</w:t>
      </w:r>
      <w:r>
        <w:rPr>
          <w:rFonts w:ascii="Times Roman" w:hAnsi="Times Roman" w:hint="default"/>
          <w:rtl w:val="1"/>
        </w:rPr>
        <w:t>’</w:t>
      </w:r>
      <w:r>
        <w:rPr>
          <w:rFonts w:ascii="Times Roman" w:hAnsi="Times Roman"/>
          <w:rtl w:val="0"/>
          <w:lang w:val="en-US"/>
        </w:rPr>
        <w:t>s 170+ million population, particularly the unbanked, women (who face a documented 55% gender gap in mobile-banking ownership), rural residents across all eight divisions, youth, and small and medium enterprises (SMEs). By identifying and addressing barriers such as digital literacy deficits and agent-network quality, the study supports equitable access to remittances, government social-safety-net transfers, digital lending, and QR-based payments, thereby fostering entrepreneurship, reducing poverty, and promoting women</w:t>
      </w:r>
      <w:r>
        <w:rPr>
          <w:rFonts w:ascii="Times Roman" w:hAnsi="Times Roman" w:hint="default"/>
          <w:rtl w:val="1"/>
        </w:rPr>
        <w:t>’</w:t>
      </w:r>
      <w:r>
        <w:rPr>
          <w:rFonts w:ascii="Times Roman" w:hAnsi="Times Roman"/>
          <w:rtl w:val="0"/>
          <w:lang w:val="en-US"/>
        </w:rPr>
        <w:t>s economic empowerment. These outcomes directly contribute to multiple Sustainable Development Goals (SDGs): SDG 1 (No Poverty) through efficient digital transfers; SDG 8 (Decent Work and Economic Growth) via SME financing and job creation in the fintech ecosystem; SDG 9 (Industry, Innovation and Infrastructure) by strengthening digital payment rails; SDG 10 (Reduced Inequalities) by narrowing gender and rural</w:t>
      </w:r>
      <w:r>
        <w:rPr>
          <w:rFonts w:ascii="Times Roman" w:hAnsi="Times Roman" w:hint="default"/>
          <w:rtl w:val="0"/>
        </w:rPr>
        <w:t>–</w:t>
      </w:r>
      <w:r>
        <w:rPr>
          <w:rFonts w:ascii="Times Roman" w:hAnsi="Times Roman"/>
          <w:rtl w:val="0"/>
          <w:lang w:val="en-US"/>
        </w:rPr>
        <w:t>urban divides; and SDG 17 (Partnerships for the Goals) by highlighting public</w:t>
      </w:r>
      <w:r>
        <w:rPr>
          <w:rFonts w:ascii="Times Roman" w:hAnsi="Times Roman" w:hint="default"/>
          <w:rtl w:val="0"/>
        </w:rPr>
        <w:t>–</w:t>
      </w:r>
      <w:r>
        <w:rPr>
          <w:rFonts w:ascii="Times Roman" w:hAnsi="Times Roman"/>
          <w:rtl w:val="0"/>
          <w:lang w:val="en-US"/>
        </w:rPr>
        <w:t>private collaboration models essential for Smart Bangladesh 2041. The research thus serves as a practical blueprint for leveraging e-banking as a catalyst for inclusive, sustainable development.</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1.6 Scope and Delimitations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it-IT"/>
        </w:rPr>
        <w:t>Scope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Geographically, the study encompasses all eight administrative divisions of Bangladesh (Dhaka, Chattogram, Rajshahi, Khulna, Barishal, Sylhet, Rangpur, and Mymensingh), ensuring representation of urban, peri-urban, and rural contexts through stratified sampling of customers, bankers, agents, and regulators. Temporally, it examines the evolution of e-banking from the early adoption phase (circa 2010, following initial mobile-banking pilots and internet-banking launches) through the present (2026), with primary data collection focused on 2025</w:t>
      </w:r>
      <w:r>
        <w:rPr>
          <w:rFonts w:ascii="Times Roman" w:hAnsi="Times Roman" w:hint="default"/>
          <w:rtl w:val="0"/>
        </w:rPr>
        <w:t>–</w:t>
      </w:r>
      <w:r>
        <w:rPr>
          <w:rFonts w:ascii="Times Roman" w:hAnsi="Times Roman"/>
          <w:rtl w:val="0"/>
          <w:lang w:val="en-US"/>
        </w:rPr>
        <w:t>2026 to capture post-pandemic acceleration, recent digital-bank licensing, and current user behaviors. Service types covered include internet banking (web and app-based), Mobile Financial Services (MFS) such as bKash and Nagad, card-based transactions, QR-code and POS payments, and emerging areas of digital lending (nano-loans, SME credit via apps) and open-banking initiatives (API-driven interoperability). The research employs a mixed-methods design</w:t>
      </w:r>
      <w:r>
        <w:rPr>
          <w:rFonts w:ascii="Times Roman" w:hAnsi="Times Roman" w:hint="default"/>
          <w:rtl w:val="0"/>
          <w:lang w:val="en-US"/>
        </w:rPr>
        <w:t>—</w:t>
      </w:r>
      <w:r>
        <w:rPr>
          <w:rFonts w:ascii="Times Roman" w:hAnsi="Times Roman"/>
          <w:rtl w:val="0"/>
          <w:lang w:val="en-US"/>
        </w:rPr>
        <w:t xml:space="preserve">quantitative survey (n </w:t>
      </w:r>
      <w:r>
        <w:rPr>
          <w:rFonts w:ascii="Times Roman" w:hAnsi="Times Roman" w:hint="default"/>
          <w:rtl w:val="0"/>
        </w:rPr>
        <w:t xml:space="preserve">≈ </w:t>
      </w:r>
      <w:r>
        <w:rPr>
          <w:rFonts w:ascii="Times Roman" w:hAnsi="Times Roman"/>
          <w:rtl w:val="0"/>
          <w:lang w:val="en-US"/>
        </w:rPr>
        <w:t>450) analyzed via PLS-SEM to test the extended UTAUT2 hypotheses, qualitative interviews with 30</w:t>
      </w:r>
      <w:r>
        <w:rPr>
          <w:rFonts w:ascii="Times Roman" w:hAnsi="Times Roman" w:hint="default"/>
          <w:rtl w:val="0"/>
        </w:rPr>
        <w:t>–</w:t>
      </w:r>
      <w:r>
        <w:rPr>
          <w:rFonts w:ascii="Times Roman" w:hAnsi="Times Roman"/>
          <w:rtl w:val="0"/>
          <w:lang w:val="en-US"/>
        </w:rPr>
        <w:t>40 stakeholders for root-cause mapping and policy evaluation, and secondary analysis of Bangladesh Bank reports (2015</w:t>
      </w:r>
      <w:r>
        <w:rPr>
          <w:rFonts w:ascii="Times Roman" w:hAnsi="Times Roman" w:hint="default"/>
          <w:rtl w:val="0"/>
        </w:rPr>
        <w:t>–</w:t>
      </w:r>
      <w:r>
        <w:rPr>
          <w:rFonts w:ascii="Times Roman" w:hAnsi="Times Roman"/>
          <w:rtl w:val="0"/>
          <w:lang w:val="en-US"/>
        </w:rPr>
        <w:t>2024 Payment Systems and Financial Stability Reports) plus Vision 2041 documents</w:t>
      </w:r>
      <w:r>
        <w:rPr>
          <w:rFonts w:ascii="Times Roman" w:hAnsi="Times Roman" w:hint="default"/>
          <w:rtl w:val="0"/>
          <w:lang w:val="en-US"/>
        </w:rPr>
        <w:t>—</w:t>
      </w:r>
      <w:r>
        <w:rPr>
          <w:rFonts w:ascii="Times Roman" w:hAnsi="Times Roman"/>
          <w:rtl w:val="0"/>
          <w:lang w:val="en-US"/>
        </w:rPr>
        <w:t>directly addressing the general and specific objectives outlined in Section 1.3 and the research questions in Section 1.4.</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Delimitations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study deliberately excludes cryptocurrency and decentralized finance (DeFi) beyond limited open-banking references, full blockchain implementations, and non-financial digital services (e.g., e-commerce platforms or government e-services). It does not conduct in-depth single-bank case studies, focusing instead on sector-wide patterns. Pre-2010 developments receive only brief contextual treatment. International benchmarking is limited to high-level regional comparisons (e.g., India</w:t>
      </w:r>
      <w:r>
        <w:rPr>
          <w:rFonts w:ascii="Times Roman" w:hAnsi="Times Roman" w:hint="default"/>
          <w:rtl w:val="1"/>
        </w:rPr>
        <w:t>’</w:t>
      </w:r>
      <w:r>
        <w:rPr>
          <w:rFonts w:ascii="Times Roman" w:hAnsi="Times Roman"/>
          <w:rtl w:val="0"/>
        </w:rPr>
        <w:t>s UPI, Kenya</w:t>
      </w:r>
      <w:r>
        <w:rPr>
          <w:rFonts w:ascii="Times Roman" w:hAnsi="Times Roman" w:hint="default"/>
          <w:rtl w:val="1"/>
        </w:rPr>
        <w:t>’</w:t>
      </w:r>
      <w:r>
        <w:rPr>
          <w:rFonts w:ascii="Times Roman" w:hAnsi="Times Roman"/>
          <w:rtl w:val="0"/>
          <w:lang w:val="en-US"/>
        </w:rPr>
        <w:t>s M-Pesa) rather than primary cross-country data collection. Physical branch operations and cash-handling logistics are addressed only insofar as they relate to digital-channel substitution. These boundaries ensure focused, rigorous analysis within feasible resource and time constraints while maintaining comprehensive coverage of the core phenomenon</w:t>
      </w:r>
      <w:r>
        <w:rPr>
          <w:rFonts w:ascii="Times Roman" w:hAnsi="Times Roman" w:hint="default"/>
          <w:rtl w:val="0"/>
          <w:lang w:val="en-US"/>
        </w:rPr>
        <w:t>—</w:t>
      </w:r>
      <w:r>
        <w:rPr>
          <w:rFonts w:ascii="Times Roman" w:hAnsi="Times Roman"/>
          <w:rtl w:val="0"/>
          <w:lang w:val="en-US"/>
        </w:rPr>
        <w:t>e-banking challenges and prospects in Bangladesh</w:t>
      </w:r>
      <w:r>
        <w:rPr>
          <w:rFonts w:ascii="Times Roman" w:hAnsi="Times Roman" w:hint="default"/>
          <w:rtl w:val="0"/>
          <w:lang w:val="en-US"/>
        </w:rPr>
        <w:t>—</w:t>
      </w:r>
      <w:r>
        <w:rPr>
          <w:rFonts w:ascii="Times Roman" w:hAnsi="Times Roman"/>
          <w:rtl w:val="0"/>
          <w:lang w:val="en-US"/>
        </w:rPr>
        <w:t>aligned with the thesis objectives and UTAUT2 theoretical framework.</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Justification of Significance, Scope, and Delimitations (One Paragraph)</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significance, scope, and delimitations of this study are carefully calibrated to maximize scholarly, practical, and developmental impact while ensuring methodological rigor and feasibility. By extending UTAUT2 with Bangladesh-specific constructs and testing hypotheses across all eight divisions with 2025</w:t>
      </w:r>
      <w:r>
        <w:rPr>
          <w:rFonts w:ascii="Times Roman" w:hAnsi="Times Roman" w:hint="default"/>
          <w:rtl w:val="0"/>
        </w:rPr>
        <w:t>–</w:t>
      </w:r>
      <w:r>
        <w:rPr>
          <w:rFonts w:ascii="Times Roman" w:hAnsi="Times Roman"/>
          <w:rtl w:val="0"/>
          <w:lang w:val="en-US"/>
        </w:rPr>
        <w:t>2026 primary data, the research fills critical gaps in digital-finance literature and directly supports national priorities under Smart Bangladesh Vision 2041 and the SDGs. The chosen geographic, temporal, and service-type boundaries allow for nationally representative, up-to-date insights into adoption dynamics, challenge prioritization, future scenarios to 2041, and policy evaluation, without diluting focus through overly broad or resource-intensive extensions. This design therefore delivers actionable value to academics, regulators, industry leaders, and society at large, advancing both theoretical knowledge and real-world progress toward inclusive digital financial transformation in Bangladesh.</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1.7 Limitations of the Study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Every empirical study, regardless of its rigor, is subject to inherent limitations that must be transparently acknowledged to maintain scientific integrity (Creswell &amp; Creswell, 2018). This research, while employing a robust pragmatist mixed-methods sequential explanatory design (Creswell &amp; Plano Clark, 2018), is not exempt from such constraints.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primary limitation stems from the </w:t>
      </w:r>
      <w:r>
        <w:rPr>
          <w:rFonts w:ascii="Times Roman" w:hAnsi="Times Roman"/>
          <w:b w:val="1"/>
          <w:bCs w:val="1"/>
          <w:rtl w:val="0"/>
          <w:lang w:val="en-US"/>
        </w:rPr>
        <w:t>cross-sectional nature</w:t>
      </w:r>
      <w:r>
        <w:rPr>
          <w:rFonts w:ascii="Times Roman" w:hAnsi="Times Roman"/>
          <w:rtl w:val="0"/>
          <w:lang w:val="en-US"/>
        </w:rPr>
        <w:t xml:space="preserve"> of the primary data collection (2025</w:t>
      </w:r>
      <w:r>
        <w:rPr>
          <w:rFonts w:ascii="Times Roman" w:hAnsi="Times Roman" w:hint="default"/>
          <w:rtl w:val="0"/>
        </w:rPr>
        <w:t>–</w:t>
      </w:r>
      <w:r>
        <w:rPr>
          <w:rFonts w:ascii="Times Roman" w:hAnsi="Times Roman"/>
          <w:rtl w:val="0"/>
          <w:lang w:val="en-US"/>
        </w:rPr>
        <w:t>2026). Although the study captures a critical snapshot of adoption determinants and challenges in the post-2024</w:t>
      </w:r>
      <w:r>
        <w:rPr>
          <w:rFonts w:ascii="Times Roman" w:hAnsi="Times Roman" w:hint="default"/>
          <w:rtl w:val="0"/>
        </w:rPr>
        <w:t>–</w:t>
      </w:r>
      <w:r>
        <w:rPr>
          <w:rFonts w:ascii="Times Roman" w:hAnsi="Times Roman"/>
          <w:rtl w:val="0"/>
          <w:lang w:val="en-US"/>
        </w:rPr>
        <w:t>25 fraud-incident environment, it cannot establish definitive causal relationships or track behavioral changes over time. Longitudinal or panel designs would be required to observe habit formation, trust restoration trajectories, and the long-term effects of regulatory interventions such as the Digital Bank Guidelines Version 2 (2025) (Venkatesh et al., 2012; Farzin et al., 2021).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Second, reliance on self-reported survey data introduces potential </w:t>
      </w:r>
      <w:r>
        <w:rPr>
          <w:rFonts w:ascii="Times Roman" w:hAnsi="Times Roman"/>
          <w:b w:val="1"/>
          <w:bCs w:val="1"/>
          <w:rtl w:val="0"/>
          <w:lang w:val="en-US"/>
        </w:rPr>
        <w:t>social desirability and recall biases</w:t>
      </w:r>
      <w:r>
        <w:rPr>
          <w:rFonts w:ascii="Times Roman" w:hAnsi="Times Roman"/>
          <w:rtl w:val="0"/>
          <w:lang w:val="en-US"/>
        </w:rPr>
        <w:t>, particularly regarding sensitive topics such as fraud experiences, trust in providers (bKash, Nagad), and perceptions of regulatory enforcement by Bangladesh Bank and the Bangladesh Financial Intelligence Unit (BFIU). While Harman</w:t>
      </w:r>
      <w:r>
        <w:rPr>
          <w:rFonts w:ascii="Times Roman" w:hAnsi="Times Roman" w:hint="default"/>
          <w:rtl w:val="1"/>
        </w:rPr>
        <w:t>’</w:t>
      </w:r>
      <w:r>
        <w:rPr>
          <w:rFonts w:ascii="Times Roman" w:hAnsi="Times Roman"/>
          <w:rtl w:val="0"/>
          <w:lang w:val="en-US"/>
        </w:rPr>
        <w:t>s single-factor test and full collinearity assessment will be employed to detect common method bias (Podsakoff et al., 2003; Kock, 2015), objective behavioral data (e.g., actual transaction logs) were unavailable due to privacy regulations.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Third, </w:t>
      </w:r>
      <w:r>
        <w:rPr>
          <w:rFonts w:ascii="Times Roman" w:hAnsi="Times Roman"/>
          <w:b w:val="1"/>
          <w:bCs w:val="1"/>
          <w:rtl w:val="0"/>
          <w:lang w:val="en-US"/>
        </w:rPr>
        <w:t>geographic and demographic sampling limitations</w:t>
      </w:r>
      <w:r>
        <w:rPr>
          <w:rFonts w:ascii="Times Roman" w:hAnsi="Times Roman"/>
          <w:rtl w:val="0"/>
          <w:lang w:val="en-US"/>
        </w:rPr>
        <w:t xml:space="preserve"> exist despite the use of stratified multi-stage sampling across all eight divisions and power analysis (G*Power) targeting a minimum of 600 customer respondents plus 25</w:t>
      </w:r>
      <w:r>
        <w:rPr>
          <w:rFonts w:ascii="Times Roman" w:hAnsi="Times Roman" w:hint="default"/>
          <w:rtl w:val="0"/>
        </w:rPr>
        <w:t>–</w:t>
      </w:r>
      <w:r>
        <w:rPr>
          <w:rFonts w:ascii="Times Roman" w:hAnsi="Times Roman"/>
          <w:rtl w:val="0"/>
          <w:lang w:val="en-US"/>
        </w:rPr>
        <w:t>30 key informants. Digital financial service users in Bangladesh remain disproportionately urban, male, and higher-income (Bangladesh Bank, 2025; GSMA, 2025), potentially under-representing the most vulnerable rural, female, and low-literacy populations who face the greatest inclusion barriers. Although multi-group analysis (MGA) will examine urban</w:t>
      </w:r>
      <w:r>
        <w:rPr>
          <w:rFonts w:ascii="Times Roman" w:hAnsi="Times Roman" w:hint="default"/>
          <w:rtl w:val="0"/>
        </w:rPr>
        <w:t>–</w:t>
      </w:r>
      <w:r>
        <w:rPr>
          <w:rFonts w:ascii="Times Roman" w:hAnsi="Times Roman"/>
          <w:rtl w:val="0"/>
          <w:lang w:val="en-US"/>
        </w:rPr>
        <w:t>rural and gender differences, generalizability beyond the sampled strata requires caution.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Fourth, the </w:t>
      </w:r>
      <w:r>
        <w:rPr>
          <w:rFonts w:ascii="Times Roman" w:hAnsi="Times Roman"/>
          <w:b w:val="1"/>
          <w:bCs w:val="1"/>
          <w:rtl w:val="0"/>
          <w:lang w:val="en-US"/>
        </w:rPr>
        <w:t>rapidly evolving regulatory and technological landscape</w:t>
      </w:r>
      <w:r>
        <w:rPr>
          <w:rFonts w:ascii="Times Roman" w:hAnsi="Times Roman"/>
          <w:rtl w:val="0"/>
          <w:lang w:val="en-US"/>
        </w:rPr>
        <w:t xml:space="preserve"> poses a temporal limitation. Key developments</w:t>
      </w:r>
      <w:r>
        <w:rPr>
          <w:rFonts w:ascii="Times Roman" w:hAnsi="Times Roman" w:hint="default"/>
          <w:rtl w:val="0"/>
          <w:lang w:val="en-US"/>
        </w:rPr>
        <w:t>—</w:t>
      </w:r>
      <w:r>
        <w:rPr>
          <w:rFonts w:ascii="Times Roman" w:hAnsi="Times Roman"/>
          <w:rtl w:val="0"/>
          <w:lang w:val="en-US"/>
        </w:rPr>
        <w:t>including the full operationalization of the National Payment Switch Bangladesh (NPSB), Instant Digital Transaction Platform (IDTP), and potential Central Bank Digital Currency (CBDC) pilots</w:t>
      </w:r>
      <w:r>
        <w:rPr>
          <w:rFonts w:ascii="Times Roman" w:hAnsi="Times Roman" w:hint="default"/>
          <w:rtl w:val="0"/>
          <w:lang w:val="en-US"/>
        </w:rPr>
        <w:t>—</w:t>
      </w:r>
      <w:r>
        <w:rPr>
          <w:rFonts w:ascii="Times Roman" w:hAnsi="Times Roman"/>
          <w:rtl w:val="0"/>
          <w:lang w:val="en-US"/>
        </w:rPr>
        <w:t>may render certain findings time-sensitive by the thesis completion date. The 2010</w:t>
      </w:r>
      <w:r>
        <w:rPr>
          <w:rFonts w:ascii="Times Roman" w:hAnsi="Times Roman" w:hint="default"/>
          <w:rtl w:val="0"/>
        </w:rPr>
        <w:t>–</w:t>
      </w:r>
      <w:r>
        <w:rPr>
          <w:rFonts w:ascii="Times Roman" w:hAnsi="Times Roman"/>
          <w:rtl w:val="0"/>
          <w:lang w:val="en-US"/>
        </w:rPr>
        <w:t>2026 secondary data compilation mitigates this to some extent, yet the study cannot fully anticipate post-2026 policy shifts.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Finally, while the extended UTAUT2 model incorporates Bangladesh-specific moderators (trust restoration, perceived governance quality, digital literacy, agent network quality), the framework remains context-bound. Direct extrapolation to other South Asian economies (e.g., India</w:t>
      </w:r>
      <w:r>
        <w:rPr>
          <w:rFonts w:ascii="Times Roman" w:hAnsi="Times Roman" w:hint="default"/>
          <w:rtl w:val="1"/>
        </w:rPr>
        <w:t>’</w:t>
      </w:r>
      <w:r>
        <w:rPr>
          <w:rFonts w:ascii="Times Roman" w:hAnsi="Times Roman"/>
          <w:rtl w:val="0"/>
          <w:lang w:val="en-US"/>
        </w:rPr>
        <w:t>s UPI or Pakistan</w:t>
      </w:r>
      <w:r>
        <w:rPr>
          <w:rFonts w:ascii="Times Roman" w:hAnsi="Times Roman" w:hint="default"/>
          <w:rtl w:val="1"/>
        </w:rPr>
        <w:t>’</w:t>
      </w:r>
      <w:r>
        <w:rPr>
          <w:rFonts w:ascii="Times Roman" w:hAnsi="Times Roman"/>
          <w:rtl w:val="0"/>
          <w:lang w:val="en-US"/>
        </w:rPr>
        <w:t>s Easypaisa ecosystems) should be undertaken with comparative caution, although the regional benchmarking in Chapter 6 partially addresses this.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limitations are systematically addressed through methodological triangulation, reflexive thematic analysis, robustness checks, and explicit mitigation strategies detailed in Chapter 5. The study</w:t>
      </w:r>
      <w:r>
        <w:rPr>
          <w:rFonts w:ascii="Times Roman" w:hAnsi="Times Roman" w:hint="default"/>
          <w:rtl w:val="1"/>
        </w:rPr>
        <w:t>’</w:t>
      </w:r>
      <w:r>
        <w:rPr>
          <w:rFonts w:ascii="Times Roman" w:hAnsi="Times Roman"/>
          <w:rtl w:val="0"/>
          <w:lang w:val="en-US"/>
        </w:rPr>
        <w:t>s contributions therefore lie in its depth of contextual insight and policy relevance rather than in universal generalizability.</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1.8 Organization of the Thesis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thesis is organized into eight chapters that follow a logical, cumulative progression from broad contextual grounding to theoretical development, empirical investigation, and actionable recommendations, consistent with best practices in mixed-methods research on technology adoption in emerging markets (Creswell &amp; Plano Clark, 2018).</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Chapter 1</w:t>
      </w:r>
      <w:r>
        <w:rPr>
          <w:rFonts w:ascii="Times Roman" w:hAnsi="Times Roman"/>
          <w:rtl w:val="0"/>
          <w:lang w:val="en-US"/>
        </w:rPr>
        <w:t xml:space="preserve"> introduces the research problem, objectives, questions, and hypotheses within the extended UTAUT2 framework, establishes the significance and scope of the study (geographic coverage of eight divisions, temporal focus 2010</w:t>
      </w:r>
      <w:r>
        <w:rPr>
          <w:rFonts w:ascii="Times Roman" w:hAnsi="Times Roman" w:hint="default"/>
          <w:rtl w:val="0"/>
        </w:rPr>
        <w:t>–</w:t>
      </w:r>
      <w:r>
        <w:rPr>
          <w:rFonts w:ascii="Times Roman" w:hAnsi="Times Roman"/>
          <w:rtl w:val="0"/>
          <w:lang w:val="en-US"/>
        </w:rPr>
        <w:t>2026 with primary data from 2025</w:t>
      </w:r>
      <w:r>
        <w:rPr>
          <w:rFonts w:ascii="Times Roman" w:hAnsi="Times Roman" w:hint="default"/>
          <w:rtl w:val="0"/>
        </w:rPr>
        <w:t>–</w:t>
      </w:r>
      <w:r>
        <w:rPr>
          <w:rFonts w:ascii="Times Roman" w:hAnsi="Times Roman"/>
          <w:rtl w:val="0"/>
          <w:lang w:val="en-US"/>
        </w:rPr>
        <w:t>2026), and presents the preliminary conceptual framework.</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rPr>
        <w:t>Chapter 2</w:t>
      </w:r>
      <w:r>
        <w:rPr>
          <w:rFonts w:ascii="Times Roman" w:hAnsi="Times Roman"/>
          <w:rtl w:val="0"/>
          <w:lang w:val="en-US"/>
        </w:rPr>
        <w:t xml:space="preserve"> develops the theoretical and conceptual foundations by synthesizing the Technology Acceptance Model (TAM), UTAUT2, Diffusion of Innovations (DOI), and Institutional Theory, culminating in the fully specified integrated model for the Bangladesh context.</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Chapter 3</w:t>
      </w:r>
      <w:r>
        <w:rPr>
          <w:rFonts w:ascii="Times Roman" w:hAnsi="Times Roman"/>
          <w:rtl w:val="0"/>
          <w:lang w:val="en-US"/>
        </w:rPr>
        <w:t xml:space="preserve"> conducts a systematic literature review using the PRISMA 2020 framework, synthesizes global, regional, and Bangladesh-specific evidence on e-banking and mobile financial services (MFS) adoption, and explicitly identifies theoretical, empirical, contextual, and methodological research gaps through a gap matrix.</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Chapter 4</w:t>
      </w:r>
      <w:r>
        <w:rPr>
          <w:rFonts w:ascii="Times Roman" w:hAnsi="Times Roman"/>
          <w:rtl w:val="0"/>
          <w:lang w:val="en-US"/>
        </w:rPr>
        <w:t xml:space="preserve"> provides an in-depth contextual analysis of Bangladesh</w:t>
      </w:r>
      <w:r>
        <w:rPr>
          <w:rFonts w:ascii="Times Roman" w:hAnsi="Times Roman" w:hint="default"/>
          <w:rtl w:val="1"/>
        </w:rPr>
        <w:t>’</w:t>
      </w:r>
      <w:r>
        <w:rPr>
          <w:rFonts w:ascii="Times Roman" w:hAnsi="Times Roman"/>
          <w:rtl w:val="0"/>
          <w:lang w:val="en-US"/>
        </w:rPr>
        <w:t>s e-banking ecosystem, covering regulatory evolution (MFS Regulations 2022 and Digital Bank Guidelines 2025), market structure, infrastructure readiness, national digital initiatives (Smart Bangladesh 2041), and the impact of macro events including the 2024 political transition.</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Chapter 5</w:t>
      </w:r>
      <w:r>
        <w:rPr>
          <w:rFonts w:ascii="Times Roman" w:hAnsi="Times Roman"/>
          <w:rtl w:val="0"/>
          <w:lang w:val="en-US"/>
        </w:rPr>
        <w:t xml:space="preserve"> details the pragmatist mixed-methods sequential explanatory research design, including sampling strategy (power analysis, stratification), data collection instruments (validated UTAUT2 scales plus Bangladesh-specific constructs), analytical procedures (PLS-SEM in SmartPLS 4.x, reflexive thematic analysis in NVivo 15, Importance-Performance Analysis, multi-group analysis), and quality criteria for validity, reliability, and integration.</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Chapter 6</w:t>
      </w:r>
      <w:r>
        <w:rPr>
          <w:rFonts w:ascii="Times Roman" w:hAnsi="Times Roman"/>
          <w:rtl w:val="0"/>
          <w:lang w:val="en-US"/>
        </w:rPr>
        <w:t xml:space="preserve"> presents the quantitative and qualitative findings, including measurement and structural model results, hypothesis testing, challenge prioritization via IPA, prospects to 2030/2041, case studies (bKash, Nagad, BRAC Bank, Islami Bank, rural agents), and integrated joint displays.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Chapter 7</w:t>
      </w:r>
      <w:r>
        <w:rPr>
          <w:rFonts w:ascii="Times Roman" w:hAnsi="Times Roman"/>
          <w:rtl w:val="0"/>
          <w:lang w:val="en-US"/>
        </w:rPr>
        <w:t xml:space="preserve"> discusses the findings through triangulation, interprets them within the extended theoretical framework, evaluates prospects under optimistic/base/pessimistic scenarios, and derives policy, managerial, and societal implications.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nl-NL"/>
        </w:rPr>
        <w:t>Chapter 8</w:t>
      </w:r>
      <w:r>
        <w:rPr>
          <w:rFonts w:ascii="Times Roman" w:hAnsi="Times Roman"/>
          <w:rtl w:val="0"/>
          <w:lang w:val="en-US"/>
        </w:rPr>
        <w:t xml:space="preserve"> synthesizes conclusions, offers comprehensive stakeholder-specific recommendations with timelines (0</w:t>
      </w:r>
      <w:r>
        <w:rPr>
          <w:rFonts w:ascii="Times Roman" w:hAnsi="Times Roman" w:hint="default"/>
          <w:rtl w:val="0"/>
        </w:rPr>
        <w:t>–</w:t>
      </w:r>
      <w:r>
        <w:rPr>
          <w:rFonts w:ascii="Times Roman" w:hAnsi="Times Roman"/>
          <w:rtl w:val="0"/>
        </w:rPr>
        <w:t>2, 2</w:t>
      </w:r>
      <w:r>
        <w:rPr>
          <w:rFonts w:ascii="Times Roman" w:hAnsi="Times Roman" w:hint="default"/>
          <w:rtl w:val="0"/>
        </w:rPr>
        <w:t>–</w:t>
      </w:r>
      <w:r>
        <w:rPr>
          <w:rFonts w:ascii="Times Roman" w:hAnsi="Times Roman"/>
          <w:rtl w:val="0"/>
          <w:lang w:val="en-US"/>
        </w:rPr>
        <w:t>5, and 5</w:t>
      </w:r>
      <w:r>
        <w:rPr>
          <w:rFonts w:ascii="Times Roman" w:hAnsi="Times Roman" w:hint="default"/>
          <w:rtl w:val="0"/>
        </w:rPr>
        <w:t>–</w:t>
      </w:r>
      <w:r>
        <w:rPr>
          <w:rFonts w:ascii="Times Roman" w:hAnsi="Times Roman"/>
          <w:rtl w:val="0"/>
          <w:lang w:val="en-US"/>
        </w:rPr>
        <w:t>10 years), KPIs, and a risk register, outlines limitations and future research directions, and reflects on alignment with Smart Bangladesh 2041 and the Sustainable Development Goals.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thesis concludes with references (APA 7th edition) and eleven appendices containing the full bilingual questionnaire, interview protocol, statistical outputs, policy documents, ethical clearances, and scenario matrices. This structure ensures theoretical coherence, methodological transparency, and direct policy utility.</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1.9 Preliminary Conceptual Framework Overview (Visual + Narrative Link to Chapter 2)</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preliminary conceptual framework guiding this study extends the Unified Theory of Acceptance and Use of Technology 2 (UTAUT2; Venkatesh et al., 2012) by integrating context-specific moderators and mediators drawn from institutional theory and emerging-market fintech literature. The core UTAUT2 constructs</w:t>
      </w:r>
      <w:r>
        <w:rPr>
          <w:rFonts w:ascii="Times Roman" w:hAnsi="Times Roman" w:hint="default"/>
          <w:rtl w:val="0"/>
          <w:lang w:val="en-US"/>
        </w:rPr>
        <w:t>—</w:t>
      </w:r>
      <w:r>
        <w:rPr>
          <w:rFonts w:ascii="Times Roman" w:hAnsi="Times Roman"/>
          <w:rtl w:val="0"/>
          <w:lang w:val="en-US"/>
        </w:rPr>
        <w:t>Performance Expectancy, Effort Expectancy, Social Influence, Facilitating Conditions, Hedonic Motivation, Price Value, and Habit</w:t>
      </w:r>
      <w:r>
        <w:rPr>
          <w:rFonts w:ascii="Times Roman" w:hAnsi="Times Roman" w:hint="default"/>
          <w:rtl w:val="0"/>
          <w:lang w:val="en-US"/>
        </w:rPr>
        <w:t>—</w:t>
      </w:r>
      <w:r>
        <w:rPr>
          <w:rFonts w:ascii="Times Roman" w:hAnsi="Times Roman"/>
          <w:rtl w:val="0"/>
          <w:lang w:val="en-US"/>
        </w:rPr>
        <w:t>predict Behavioral Intention, which in turn influences Use Behavior. Individual differences (age, gender, experience, income) serve as moderators in the original model.</w:t>
      </w:r>
    </w:p>
    <w:p>
      <w:pPr>
        <w:pStyle w:val="Default"/>
        <w:suppressAutoHyphens w:val="1"/>
        <w:spacing w:before="0" w:line="240" w:lineRule="auto"/>
        <w:jc w:val="center"/>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1312" behindDoc="0" locked="0" layoutInCell="1" allowOverlap="1">
            <wp:simplePos x="0" y="0"/>
            <wp:positionH relativeFrom="margin">
              <wp:posOffset>66039</wp:posOffset>
            </wp:positionH>
            <wp:positionV relativeFrom="line">
              <wp:posOffset>264160</wp:posOffset>
            </wp:positionV>
            <wp:extent cx="5975277" cy="3157158"/>
            <wp:effectExtent l="0" t="0" r="0" b="0"/>
            <wp:wrapThrough wrapText="bothSides" distL="152400" distR="152400">
              <wp:wrapPolygon edited="1">
                <wp:start x="0" y="0"/>
                <wp:lineTo x="21600" y="0"/>
                <wp:lineTo x="21600" y="21638"/>
                <wp:lineTo x="0" y="21638"/>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8">
                      <a:extLst/>
                    </a:blip>
                    <a:stretch>
                      <a:fillRect/>
                    </a:stretch>
                  </pic:blipFill>
                  <pic:spPr>
                    <a:xfrm>
                      <a:off x="0" y="0"/>
                      <a:ext cx="5975277" cy="3157158"/>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i w:val="1"/>
          <w:iCs w:val="1"/>
        </w:rPr>
      </w:pPr>
      <w:r>
        <w:rPr>
          <w:rFonts w:ascii="Times Roman" w:hAnsi="Times Roman"/>
          <w:b w:val="1"/>
          <w:bCs w:val="1"/>
          <w:rtl w:val="0"/>
          <w:lang w:val="it-IT"/>
        </w:rPr>
        <w:t>Figure 1.</w:t>
      </w:r>
      <w:r>
        <w:rPr>
          <w:rFonts w:ascii="Times Roman" w:hAnsi="Times Roman"/>
          <w:b w:val="1"/>
          <w:bCs w:val="1"/>
          <w:rtl w:val="0"/>
          <w:lang w:val="en-US"/>
        </w:rPr>
        <w:t>9</w:t>
      </w:r>
      <w:r>
        <w:rPr>
          <w:rFonts w:ascii="Times Roman" w:hAnsi="Times Roman"/>
          <w:b w:val="1"/>
          <w:bCs w:val="1"/>
          <w:rtl w:val="0"/>
        </w:rPr>
        <w:t>:</w:t>
      </w:r>
      <w:r>
        <w:rPr>
          <w:rFonts w:ascii="Times Roman" w:hAnsi="Times Roman"/>
          <w:rtl w:val="0"/>
        </w:rPr>
        <w:t xml:space="preserve"> </w:t>
      </w:r>
      <w:r>
        <w:rPr>
          <w:rFonts w:ascii="Times Roman" w:hAnsi="Times Roman"/>
          <w:i w:val="1"/>
          <w:iCs w:val="1"/>
          <w:rtl w:val="0"/>
          <w:lang w:val="en-US"/>
        </w:rPr>
        <w:t>Extended UTAUT2 Conceptual Framework for Bangladesh</w:t>
      </w:r>
      <w:r>
        <w:rPr>
          <w:rFonts w:ascii="Times Roman" w:hAnsi="Times Roman"/>
          <w:i w:val="1"/>
          <w:iCs w:val="1"/>
          <w:rtl w:val="0"/>
          <w:lang w:val="en-US"/>
        </w:rPr>
        <w:t xml:space="preserve">. </w:t>
      </w:r>
      <w:r>
        <w:rPr>
          <w:rFonts w:ascii="Times Roman" w:hAnsi="Times Roman"/>
          <w:b w:val="1"/>
          <w:bCs w:val="1"/>
          <w:i w:val="1"/>
          <w:iCs w:val="1"/>
          <w:rtl w:val="0"/>
        </w:rPr>
        <w:t>Venkatesh, V., Thong, J. Y., &amp; Xu, X. (2012).</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both"/>
        <w:rPr>
          <w:rFonts w:ascii="Times Roman" w:cs="Times Roman" w:hAnsi="Times Roman" w:eastAsia="Times Roman"/>
        </w:rPr>
      </w:pPr>
      <w:r>
        <w:rPr>
          <w:rFonts w:ascii="Times Roman" w:hAnsi="Times Roman"/>
          <w:b w:val="1"/>
          <w:bCs w:val="1"/>
          <w:rtl w:val="0"/>
          <w:lang w:val="en-US"/>
        </w:rPr>
        <w:t>Figure Description:</w:t>
      </w:r>
      <w:r>
        <w:rPr>
          <w:rFonts w:ascii="Times Roman" w:hAnsi="Times Roman"/>
          <w:rtl w:val="0"/>
        </w:rPr>
        <w:t xml:space="preserve"> </w:t>
      </w:r>
      <w:r>
        <w:rPr>
          <w:rFonts w:ascii="Times Roman" w:hAnsi="Times Roman"/>
          <w:i w:val="1"/>
          <w:iCs w:val="1"/>
          <w:rtl w:val="0"/>
          <w:lang w:val="it-IT"/>
        </w:rPr>
        <w:t>Figure 1.3.</w:t>
      </w:r>
      <w:r>
        <w:rPr>
          <w:rFonts w:ascii="Times Roman" w:hAnsi="Times Roman"/>
          <w:rtl w:val="0"/>
          <w:lang w:val="en-US"/>
        </w:rPr>
        <w:t xml:space="preserve"> Preliminary Extended UTAUT2 Conceptual Framework for Bangladesh. This model integrates core UTAUT2 constructs with Bangladesh-specific institutional moderators and the mediating role of Post-Fraud Trust Restoration.</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In the Bangladesh context, this framework is augmented with five theoretically grounded extensions: (1) </w:t>
      </w:r>
      <w:r>
        <w:rPr>
          <w:rFonts w:ascii="Times Roman" w:hAnsi="Times Roman"/>
          <w:b w:val="1"/>
          <w:bCs w:val="1"/>
          <w:rtl w:val="0"/>
          <w:lang w:val="en-US"/>
        </w:rPr>
        <w:t>Trust Restoration</w:t>
      </w:r>
      <w:r>
        <w:rPr>
          <w:rFonts w:ascii="Times Roman" w:hAnsi="Times Roman"/>
          <w:rtl w:val="0"/>
          <w:lang w:val="en-US"/>
        </w:rPr>
        <w:t xml:space="preserve"> (post-2024</w:t>
      </w:r>
      <w:r>
        <w:rPr>
          <w:rFonts w:ascii="Times Roman" w:hAnsi="Times Roman" w:hint="default"/>
          <w:rtl w:val="0"/>
        </w:rPr>
        <w:t>–</w:t>
      </w:r>
      <w:r>
        <w:rPr>
          <w:rFonts w:ascii="Times Roman" w:hAnsi="Times Roman"/>
          <w:rtl w:val="0"/>
          <w:lang w:val="en-US"/>
        </w:rPr>
        <w:t xml:space="preserve">25 fraud incidents) as a mediator between Behavioral Intention and Use Behavior; (2) </w:t>
      </w:r>
      <w:r>
        <w:rPr>
          <w:rFonts w:ascii="Times Roman" w:hAnsi="Times Roman"/>
          <w:b w:val="1"/>
          <w:bCs w:val="1"/>
          <w:rtl w:val="0"/>
          <w:lang w:val="en-US"/>
        </w:rPr>
        <w:t>Perceived Governance Quality</w:t>
      </w:r>
      <w:r>
        <w:rPr>
          <w:rFonts w:ascii="Times Roman" w:hAnsi="Times Roman"/>
          <w:rtl w:val="0"/>
          <w:lang w:val="en-US"/>
        </w:rPr>
        <w:t xml:space="preserve"> and </w:t>
      </w:r>
      <w:r>
        <w:rPr>
          <w:rFonts w:ascii="Times Roman" w:hAnsi="Times Roman"/>
          <w:b w:val="1"/>
          <w:bCs w:val="1"/>
          <w:rtl w:val="0"/>
          <w:lang w:val="en-US"/>
        </w:rPr>
        <w:t>Regulatory Enforcement</w:t>
      </w:r>
      <w:r>
        <w:rPr>
          <w:rFonts w:ascii="Times Roman" w:hAnsi="Times Roman"/>
          <w:rtl w:val="0"/>
          <w:lang w:val="en-US"/>
        </w:rPr>
        <w:t xml:space="preserve"> (reflecting institutional voids and BFIU capacity) as moderators of the intention</w:t>
      </w:r>
      <w:r>
        <w:rPr>
          <w:rFonts w:ascii="Times Roman" w:hAnsi="Times Roman" w:hint="default"/>
          <w:rtl w:val="0"/>
        </w:rPr>
        <w:t>–</w:t>
      </w:r>
      <w:r>
        <w:rPr>
          <w:rFonts w:ascii="Times Roman" w:hAnsi="Times Roman"/>
          <w:rtl w:val="0"/>
          <w:lang w:val="en-US"/>
        </w:rPr>
        <w:t xml:space="preserve">use relationship; (3) </w:t>
      </w:r>
      <w:r>
        <w:rPr>
          <w:rFonts w:ascii="Times Roman" w:hAnsi="Times Roman"/>
          <w:b w:val="1"/>
          <w:bCs w:val="1"/>
          <w:rtl w:val="0"/>
        </w:rPr>
        <w:t>Digital Literacy</w:t>
      </w:r>
      <w:r>
        <w:rPr>
          <w:rFonts w:ascii="Times Roman" w:hAnsi="Times Roman"/>
          <w:rtl w:val="0"/>
          <w:lang w:val="en-US"/>
        </w:rPr>
        <w:t xml:space="preserve"> as a moderator of Effort Expectancy and Facilitating Conditions paths; (4) </w:t>
      </w:r>
      <w:r>
        <w:rPr>
          <w:rFonts w:ascii="Times Roman" w:hAnsi="Times Roman"/>
          <w:b w:val="1"/>
          <w:bCs w:val="1"/>
          <w:rtl w:val="0"/>
          <w:lang w:val="en-US"/>
        </w:rPr>
        <w:t>Agent Network Quality</w:t>
      </w:r>
      <w:r>
        <w:rPr>
          <w:rFonts w:ascii="Times Roman" w:hAnsi="Times Roman"/>
          <w:rtl w:val="0"/>
          <w:lang w:val="en-US"/>
        </w:rPr>
        <w:t xml:space="preserve"> as a key facilitating condition unique to MFS ecosystems; and (5) </w:t>
      </w:r>
      <w:r>
        <w:rPr>
          <w:rFonts w:ascii="Times Roman" w:hAnsi="Times Roman"/>
          <w:b w:val="1"/>
          <w:bCs w:val="1"/>
          <w:rtl w:val="0"/>
          <w:lang w:val="en-US"/>
        </w:rPr>
        <w:t>Gender and Rural</w:t>
      </w:r>
      <w:r>
        <w:rPr>
          <w:rFonts w:ascii="Times Roman" w:hAnsi="Times Roman" w:hint="default"/>
          <w:b w:val="1"/>
          <w:bCs w:val="1"/>
          <w:rtl w:val="0"/>
        </w:rPr>
        <w:t>–</w:t>
      </w:r>
      <w:r>
        <w:rPr>
          <w:rFonts w:ascii="Times Roman" w:hAnsi="Times Roman"/>
          <w:b w:val="1"/>
          <w:bCs w:val="1"/>
          <w:rtl w:val="0"/>
          <w:lang w:val="en-US"/>
        </w:rPr>
        <w:t>Urban Divides</w:t>
      </w:r>
      <w:r>
        <w:rPr>
          <w:rFonts w:ascii="Times Roman" w:hAnsi="Times Roman"/>
          <w:rtl w:val="0"/>
          <w:lang w:val="en-US"/>
        </w:rPr>
        <w:t xml:space="preserve"> as moderators capturing persistent inclusion asymmetries. These extensions are informed by institutional theory</w:t>
      </w:r>
      <w:r>
        <w:rPr>
          <w:rFonts w:ascii="Times Roman" w:hAnsi="Times Roman" w:hint="default"/>
          <w:rtl w:val="1"/>
        </w:rPr>
        <w:t>’</w:t>
      </w:r>
      <w:r>
        <w:rPr>
          <w:rFonts w:ascii="Times Roman" w:hAnsi="Times Roman"/>
          <w:rtl w:val="0"/>
          <w:lang w:val="en-US"/>
        </w:rPr>
        <w:t>s regulative, normative, and cognitive pillars (North, 1990; Scott, 2014) and the diffusion process in heterogeneous emerging markets (Rogers, 2003).</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it-IT"/>
        </w:rPr>
        <w:t xml:space="preserve">Figure </w:t>
      </w:r>
      <w:r>
        <w:rPr>
          <w:rFonts w:ascii="Times Roman" w:hAnsi="Times Roman"/>
          <w:rtl w:val="0"/>
          <w:lang w:val="en-US"/>
        </w:rPr>
        <w:t>:</w:t>
      </w:r>
      <w:r>
        <w:rPr>
          <w:rFonts w:ascii="Times Roman" w:hAnsi="Times Roman"/>
          <w:rtl w:val="0"/>
          <w:lang w:val="en-US"/>
        </w:rPr>
        <w:t xml:space="preserve"> illustrates the preliminary integrated model. Rectangular boxes represent latent constructs; single-headed arrows denote hypothesized direct effects (</w:t>
      </w:r>
      <w:r>
        <w:rPr>
          <w:rFonts w:ascii="Times Roman" w:hAnsi="Times Roman" w:hint="default"/>
          <w:rtl w:val="0"/>
        </w:rPr>
        <w:t xml:space="preserve">β </w:t>
      </w:r>
      <w:r>
        <w:rPr>
          <w:rFonts w:ascii="Times Roman" w:hAnsi="Times Roman"/>
          <w:rtl w:val="0"/>
          <w:lang w:val="en-US"/>
        </w:rPr>
        <w:t>paths); double-headed arrows indicate moderating relationships; and dashed lines represent the trust-restoration mediation pathway. The model posits that while core UTAUT2 relationships hold, their strength and direction are significantly conditioned by Bangladesh-specific institutional and socio-demographic factors.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preliminary framework serves as the conceptual anchor for the entire thesis. It will be fully elaborated, operationalized with validated and newly developed measurement items, and empirically tested through PLS-SEM in Chapters 5 and 6. Chapter 2 provides the comprehensive theoretical justification, literature synthesis, and cross-cultural validation that underpin each extension, ensuring the model is both theoretically robust and contextually relevant to Bangladesh</w:t>
      </w:r>
      <w:r>
        <w:rPr>
          <w:rFonts w:ascii="Times Roman" w:hAnsi="Times Roman" w:hint="default"/>
          <w:rtl w:val="1"/>
        </w:rPr>
        <w:t>’</w:t>
      </w:r>
      <w:r>
        <w:rPr>
          <w:rFonts w:ascii="Times Roman" w:hAnsi="Times Roman"/>
          <w:rtl w:val="0"/>
          <w:lang w:val="en-US"/>
        </w:rPr>
        <w:t>s digital financial transformation trajectory toward 2041.</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81"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CHAPTER 2: THEORETICAL AND CONCEPTUAL FRAMEWORK</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2.1 Conceptual Definitions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Electronic banking (e-banking), also termed internet or online banking, constitutes the delivery of traditional banking products and services</w:t>
      </w:r>
      <w:r>
        <w:rPr>
          <w:rFonts w:ascii="Times Roman" w:hAnsi="Times Roman" w:hint="default"/>
          <w:rtl w:val="0"/>
          <w:lang w:val="en-US"/>
        </w:rPr>
        <w:t>—</w:t>
      </w:r>
      <w:r>
        <w:rPr>
          <w:rFonts w:ascii="Times Roman" w:hAnsi="Times Roman"/>
          <w:rtl w:val="0"/>
          <w:lang w:val="en-US"/>
        </w:rPr>
        <w:t>such as account inquiries, fund transfers, bill payments, and loan applications</w:t>
      </w:r>
      <w:r>
        <w:rPr>
          <w:rFonts w:ascii="Times Roman" w:hAnsi="Times Roman" w:hint="default"/>
          <w:rtl w:val="0"/>
          <w:lang w:val="en-US"/>
        </w:rPr>
        <w:t>—</w:t>
      </w:r>
      <w:r>
        <w:rPr>
          <w:rFonts w:ascii="Times Roman" w:hAnsi="Times Roman"/>
          <w:rtl w:val="0"/>
          <w:lang w:val="en-US"/>
        </w:rPr>
        <w:t>through electronic channels including the internet, automated teller machines (ATMs), and point-of-sale (POS) terminals, thereby eliminating the necessity for physical branch visits while leveraging information and communication technologies (ICT) for real-time, secure transactions (Encyclopedia.com, n.d.; Arshad Khan et al., 2022). Digital banking extends beyond basic e-banking by integrating advanced technologies such as mobile applications, artificial intelligence (AI)-driven personalization, virtual assistants, biometric authentication, and data analytics to deliver a comprehensive, seamless, and customer-centric ecosystem of financial services accessible anytime and anywhere via digital platforms (Chase Bank, 2024; Episodesix, 2024). Mobile Financial Services (MFS) specifically denote the use of mobile phones to access and execute both transactional (e.g., payments, transfers, savings) and non-transactional (e.g., balance inquiries) financial activities, encompassing mobile banking (m-banking) linked to formal bank accounts and mobile money (m-money) often issued by non-bank entities such as mobile network operators (MNOs), serving as a critical tool for financial inclusion in underserved regions (Alliance for Financial Inclusion [AFI], 2013). Fintech represents the fusion of finance and technology, encompassing innovative digital solutions</w:t>
      </w:r>
      <w:r>
        <w:rPr>
          <w:rFonts w:ascii="Times Roman" w:hAnsi="Times Roman" w:hint="default"/>
          <w:rtl w:val="0"/>
          <w:lang w:val="en-US"/>
        </w:rPr>
        <w:t>—</w:t>
      </w:r>
      <w:r>
        <w:rPr>
          <w:rFonts w:ascii="Times Roman" w:hAnsi="Times Roman"/>
          <w:rtl w:val="0"/>
          <w:lang w:val="en-US"/>
        </w:rPr>
        <w:t>including platforms for lending, payments, wealth management, and insurance</w:t>
      </w:r>
      <w:r>
        <w:rPr>
          <w:rFonts w:ascii="Times Roman" w:hAnsi="Times Roman" w:hint="default"/>
          <w:rtl w:val="0"/>
          <w:lang w:val="en-US"/>
        </w:rPr>
        <w:t>—</w:t>
      </w:r>
      <w:r>
        <w:rPr>
          <w:rFonts w:ascii="Times Roman" w:hAnsi="Times Roman"/>
          <w:rtl w:val="0"/>
          <w:lang w:val="en-US"/>
        </w:rPr>
        <w:t>that disrupt traditional intermediaries through data-driven models, blockchain, and artificial intelligence, often unbundling and re-bundling services to enhance efficiency, accessibility, and competition (Bank for International Settlements [BIS] &amp; World Bank, 2023; Varma et al., 2022). Agent banking involves third-party retail outlets, merchants, or individuals contracted by banks or digital financial service providers to deliver basic services such as cash-in/cash-out, account opening, bill payments, and balance inquiries on behalf of the principal institution, particularly effective in extending reach to remote, low-income, or unbanked populations without establishing costly brick-and-mortar branches (AFI, 2013; World Bank, 2014). Open finance builds upon open banking by enabling secure, customer-permissioned sharing of a broader spectrum of financial data</w:t>
      </w:r>
      <w:r>
        <w:rPr>
          <w:rFonts w:ascii="Times Roman" w:hAnsi="Times Roman" w:hint="default"/>
          <w:rtl w:val="0"/>
          <w:lang w:val="en-US"/>
        </w:rPr>
        <w:t>—</w:t>
      </w:r>
      <w:r>
        <w:rPr>
          <w:rFonts w:ascii="Times Roman" w:hAnsi="Times Roman"/>
          <w:rtl w:val="0"/>
          <w:lang w:val="en-US"/>
        </w:rPr>
        <w:t>including investments, insurance, pensions, and credit histories</w:t>
      </w:r>
      <w:r>
        <w:rPr>
          <w:rFonts w:ascii="Times Roman" w:hAnsi="Times Roman" w:hint="default"/>
          <w:rtl w:val="0"/>
          <w:lang w:val="en-US"/>
        </w:rPr>
        <w:t>—</w:t>
      </w:r>
      <w:r>
        <w:rPr>
          <w:rFonts w:ascii="Times Roman" w:hAnsi="Times Roman"/>
          <w:rtl w:val="0"/>
          <w:lang w:val="en-US"/>
        </w:rPr>
        <w:t>via standardized application programming interfaces (APIs) with authorized third-party providers, fostering personalized products, enhanced competition, and innovative business models while necessitating robust data protection frameworks (BIS, 2025; CGAP, 2024). Finally, Central Bank Digital Currency (CBDC) is defined as a digital form of central bank money</w:t>
      </w:r>
      <w:r>
        <w:rPr>
          <w:rFonts w:ascii="Times Roman" w:hAnsi="Times Roman" w:hint="default"/>
          <w:rtl w:val="0"/>
          <w:lang w:val="en-US"/>
        </w:rPr>
        <w:t>—</w:t>
      </w:r>
      <w:r>
        <w:rPr>
          <w:rFonts w:ascii="Times Roman" w:hAnsi="Times Roman"/>
          <w:rtl w:val="0"/>
          <w:lang w:val="en-US"/>
        </w:rPr>
        <w:t>a direct liability of the central bank denominated in the national unit of account</w:t>
      </w:r>
      <w:r>
        <w:rPr>
          <w:rFonts w:ascii="Times Roman" w:hAnsi="Times Roman" w:hint="default"/>
          <w:rtl w:val="0"/>
          <w:lang w:val="en-US"/>
        </w:rPr>
        <w:t>—</w:t>
      </w:r>
      <w:r>
        <w:rPr>
          <w:rFonts w:ascii="Times Roman" w:hAnsi="Times Roman"/>
          <w:rtl w:val="0"/>
          <w:lang w:val="en-US"/>
        </w:rPr>
        <w:t>that functions as both a medium of exchange and store of value, distinct from commercial bank deposits or reserves; it may be retail (widely accessible to the public, token- or account-based) or wholesale (restricted to financial institutions for settlement), with design features addressing anonymity, interest-bearing capacity, limits, and interoperability to complement or substitute cash while preserving monetary sovereignty and financial stability (BIS, 2018; IMF, 2025).</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2.2 Evolution of Electronic Banking: Global (Nordics, Singapore, Kenya M-Pesa) and Regional (India UPI, Pakistan, Nepal, Indonesia) Perspectives </w:t>
      </w:r>
      <w:r>
        <w:rPr>
          <w:rFonts w:ascii="Times Roman" w:hAnsi="Times Roman" w:hint="default"/>
          <w:b w:val="1"/>
          <w:bCs w:val="1"/>
          <w:sz w:val="28"/>
          <w:szCs w:val="28"/>
          <w:rtl w:val="0"/>
        </w:rPr>
        <w:t xml:space="preserve">– </w:t>
      </w:r>
      <w:r>
        <w:rPr>
          <w:rFonts w:ascii="Times Roman" w:hAnsi="Times Roman"/>
          <w:b w:val="1"/>
          <w:bCs w:val="1"/>
          <w:sz w:val="28"/>
          <w:szCs w:val="28"/>
          <w:rtl w:val="0"/>
          <w:lang w:val="da-DK"/>
        </w:rPr>
        <w:t>Lessons for Bangladesh</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global evolution of electronic banking reflects a progression from basic ATM and telephone banking in the 1980s</w:t>
      </w:r>
      <w:r>
        <w:rPr>
          <w:rFonts w:ascii="Times Roman" w:hAnsi="Times Roman" w:hint="default"/>
          <w:rtl w:val="0"/>
        </w:rPr>
        <w:t>–</w:t>
      </w:r>
      <w:r>
        <w:rPr>
          <w:rFonts w:ascii="Times Roman" w:hAnsi="Times Roman"/>
          <w:rtl w:val="0"/>
          <w:lang w:val="en-US"/>
        </w:rPr>
        <w:t>1990s to sophisticated, interoperable digital ecosystems driven by technological advancement, regulatory support, and shifting consumer expectations, with the Nordic countries (Sweden, Norway, Denmark, Finland) exemplifying near-universal adoption rates exceeding 90% for digital banking due to high digital infrastructure maturity, strong public trust in institutions, government-led digital identity systems (e.g., BankID), and cultural emphasis on cashless societies that have minimized cash usage to under 10% of transactions in Sweden (Nordic fintech reports, 2025; GFMag, 2026). Singapore has positioned itself as Asia</w:t>
      </w:r>
      <w:r>
        <w:rPr>
          <w:rFonts w:ascii="Times Roman" w:hAnsi="Times Roman" w:hint="default"/>
          <w:rtl w:val="1"/>
        </w:rPr>
        <w:t>’</w:t>
      </w:r>
      <w:r>
        <w:rPr>
          <w:rFonts w:ascii="Times Roman" w:hAnsi="Times Roman"/>
          <w:rtl w:val="0"/>
          <w:lang w:val="en-US"/>
        </w:rPr>
        <w:t>s premier fintech and digital banking hub through its Smart Nation initiative, Monetary Authority of Singapore (MAS) regulatory sandboxes, and licensing of full digital banks (e.g., GXS, Trust Bank), resulting in over 80% digital banking penetration, seamless integration of payments with e-government services, and rapid growth in embedded finance, serving as a model for policy-driven innovation that balances competition with stability (Fintech News Singapore, 2023; Singapore fintech ecosystem analyses, 2024). Kenya</w:t>
      </w:r>
      <w:r>
        <w:rPr>
          <w:rFonts w:ascii="Times Roman" w:hAnsi="Times Roman" w:hint="default"/>
          <w:rtl w:val="1"/>
        </w:rPr>
        <w:t>’</w:t>
      </w:r>
      <w:r>
        <w:rPr>
          <w:rFonts w:ascii="Times Roman" w:hAnsi="Times Roman"/>
          <w:rtl w:val="0"/>
          <w:lang w:val="en-US"/>
        </w:rPr>
        <w:t>s M-Pesa, launched in 2007 by Safaricom in partnership with Vodafone and supported by UK DFID funding, revolutionized mobile money by enabling person-to-person transfers, bill payments, savings, and micro-loans via basic feature phones without requiring bank accounts; it dramatically boosted financial inclusion from approximately 26% in 2006 to 84% by 2021, lifted an estimated 2% of Kenyan households out of poverty through improved risk management and consumption smoothing, and processed daily transaction volumes equivalent to hundreds of millions of USD, demonstrating the transformative power of agent networks and interoperable mobile platforms in emerging markets (McKinsey, 2022; Suri &amp; Jack, 2016; Harvard Kennedy School, 2015). Regionally, India</w:t>
      </w:r>
      <w:r>
        <w:rPr>
          <w:rFonts w:ascii="Times Roman" w:hAnsi="Times Roman" w:hint="default"/>
          <w:rtl w:val="1"/>
        </w:rPr>
        <w:t>’</w:t>
      </w:r>
      <w:r>
        <w:rPr>
          <w:rFonts w:ascii="Times Roman" w:hAnsi="Times Roman"/>
          <w:rtl w:val="0"/>
          <w:lang w:val="en-US"/>
        </w:rPr>
        <w:t>s Unified Payments Interface (UPI), introduced in 2016 by the National Payments Corporation of India (NPCI) under Reserve Bank of India (RBI) oversight, has achieved unprecedented scale with over 15 billion transactions monthly by late 2024 (accounting for ~82% of digital payments), offering instant, zero-cost, interoperable bank-to-bank transfers via multiple apps, QR codes, and features like UPI Lite for offline/low-connectivity use; this has accelerated financial inclusion, merchant digitization, and economic formalization while reducing cash dependency (BIS, 2024; Cornell University, 2024). Pakistan initiated online banking as early as 1987 and has seen steady growth in internet and mobile banking users (reaching hundreds of millions of transactions annually by 2023</w:t>
      </w:r>
      <w:r>
        <w:rPr>
          <w:rFonts w:ascii="Times Roman" w:hAnsi="Times Roman" w:hint="default"/>
          <w:rtl w:val="0"/>
        </w:rPr>
        <w:t>–</w:t>
      </w:r>
      <w:r>
        <w:rPr>
          <w:rFonts w:ascii="Times Roman" w:hAnsi="Times Roman"/>
          <w:rtl w:val="0"/>
          <w:lang w:val="en-US"/>
        </w:rPr>
        <w:t>2024), though adoption remains constrained by infrastructure gaps, cybersecurity concerns, and regulatory fragmentation compared to regional peers (Naeem, 2023). Nepal and Indonesia exhibit accelerating digital transitions</w:t>
      </w:r>
      <w:r>
        <w:rPr>
          <w:rFonts w:ascii="Times Roman" w:hAnsi="Times Roman" w:hint="default"/>
          <w:rtl w:val="0"/>
          <w:lang w:val="en-US"/>
        </w:rPr>
        <w:t>—</w:t>
      </w:r>
      <w:r>
        <w:rPr>
          <w:rFonts w:ascii="Times Roman" w:hAnsi="Times Roman"/>
          <w:rtl w:val="0"/>
          <w:lang w:val="en-US"/>
        </w:rPr>
        <w:t>Nepal through gradual mobile banking expansion amid mountainous terrain challenges, and Indonesia via rapid digital bank launches (e.g., Bank Jago), QRIS payment standardization, and integration with Islamic finance, achieving notable gains in financial inclusion and cashless transactions despite diverse archipelago geography (The Asian Banker, 2024; Indonesian banking sector reports, 2025).</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2336" behindDoc="0" locked="0" layoutInCell="1" allowOverlap="1">
            <wp:simplePos x="0" y="0"/>
            <wp:positionH relativeFrom="margin">
              <wp:posOffset>263294</wp:posOffset>
            </wp:positionH>
            <wp:positionV relativeFrom="line">
              <wp:posOffset>225698</wp:posOffset>
            </wp:positionV>
            <wp:extent cx="5580768" cy="3315233"/>
            <wp:effectExtent l="0" t="0" r="0" b="0"/>
            <wp:wrapThrough wrapText="bothSides" distL="152400" distR="152400">
              <wp:wrapPolygon edited="1">
                <wp:start x="0" y="0"/>
                <wp:lineTo x="21600" y="0"/>
                <wp:lineTo x="21600" y="21625"/>
                <wp:lineTo x="0" y="21625"/>
                <wp:lineTo x="0" y="0"/>
              </wp:wrapPolygon>
            </wp:wrapThrough>
            <wp:docPr id="107374183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2" name="pasted-movie.png" descr="pasted-movie.png"/>
                    <pic:cNvPicPr>
                      <a:picLocks noChangeAspect="1"/>
                    </pic:cNvPicPr>
                  </pic:nvPicPr>
                  <pic:blipFill>
                    <a:blip r:embed="rId9">
                      <a:extLst/>
                    </a:blip>
                    <a:stretch>
                      <a:fillRect/>
                    </a:stretch>
                  </pic:blipFill>
                  <pic:spPr>
                    <a:xfrm>
                      <a:off x="0" y="0"/>
                      <a:ext cx="5580768" cy="3315233"/>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2.2</w:t>
      </w:r>
      <w:r>
        <w:rPr>
          <w:rFonts w:ascii="Times Roman" w:hAnsi="Times Roman"/>
          <w:b w:val="1"/>
          <w:bCs w:val="1"/>
          <w:rtl w:val="0"/>
        </w:rPr>
        <w:t>:</w:t>
      </w:r>
      <w:r>
        <w:rPr>
          <w:rFonts w:ascii="Times Roman" w:hAnsi="Times Roman"/>
          <w:rtl w:val="0"/>
        </w:rPr>
        <w:t xml:space="preserve"> </w:t>
      </w:r>
      <w:r>
        <w:rPr>
          <w:rFonts w:ascii="Times Roman" w:hAnsi="Times Roman"/>
          <w:i w:val="1"/>
          <w:iCs w:val="1"/>
          <w:rtl w:val="0"/>
        </w:rPr>
        <w:t>Global vs. Regional Digital Banking Penetration</w:t>
      </w:r>
      <w:r>
        <w:rPr>
          <w:rFonts w:ascii="Times Roman" w:hAnsi="Times Roman"/>
          <w:i w:val="1"/>
          <w:iCs w:val="1"/>
          <w:rtl w:val="0"/>
          <w:lang w:val="en-US"/>
        </w:rPr>
        <w:t>.</w:t>
      </w:r>
      <w:r>
        <w:rPr>
          <w:rFonts w:ascii="Times Roman" w:hAnsi="Times Roman"/>
          <w:b w:val="1"/>
          <w:bCs w:val="1"/>
          <w:rtl w:val="0"/>
          <w:lang w:val="en-US"/>
        </w:rPr>
        <w:t xml:space="preserve"> </w:t>
      </w:r>
      <w:r>
        <w:rPr>
          <w:rFonts w:ascii="Times Roman" w:hAnsi="Times Roman"/>
          <w:b w:val="1"/>
          <w:bCs w:val="1"/>
          <w:rtl w:val="0"/>
          <w:lang w:val="en-US"/>
        </w:rPr>
        <w:t>Compiled from McKinsey (2022), BIS (2024),</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fr-FR"/>
        </w:rPr>
        <w:t>Figure Description (Caption):</w:t>
      </w:r>
    </w:p>
    <w:p>
      <w:pPr>
        <w:pStyle w:val="Default"/>
        <w:suppressAutoHyphens w:val="1"/>
        <w:spacing w:before="0" w:after="240" w:line="240" w:lineRule="auto"/>
        <w:jc w:val="both"/>
        <w:rPr>
          <w:rFonts w:ascii="Times Roman" w:cs="Times Roman" w:hAnsi="Times Roman" w:eastAsia="Times Roman"/>
          <w:i w:val="1"/>
          <w:iCs w:val="1"/>
        </w:rPr>
      </w:pPr>
      <w:r>
        <w:rPr>
          <w:rFonts w:ascii="Times Roman" w:hAnsi="Times Roman"/>
          <w:i w:val="1"/>
          <w:iCs w:val="1"/>
          <w:rtl w:val="0"/>
          <w:lang w:val="it-IT"/>
        </w:rPr>
        <w:t>Figure 2.</w:t>
      </w:r>
      <w:r>
        <w:rPr>
          <w:rFonts w:ascii="Times Roman" w:hAnsi="Times Roman"/>
          <w:i w:val="1"/>
          <w:iCs w:val="1"/>
          <w:rtl w:val="0"/>
          <w:lang w:val="en-US"/>
        </w:rPr>
        <w:t>2</w:t>
      </w:r>
      <w:r>
        <w:rPr>
          <w:rFonts w:ascii="Times Roman" w:hAnsi="Times Roman"/>
          <w:i w:val="1"/>
          <w:iCs w:val="1"/>
          <w:rtl w:val="0"/>
          <w:lang w:val="en-US"/>
        </w:rPr>
        <w:t>: Comparative digital banking penetration and financial inclusion rates across selected global and regional markets. Data reflects milestones discussed in the literature, highlighting the gap between high-adoption ecosystems (Nordics, Singapore, Kenya, India) and the current transitional state of Bangladesh (approx. 50%).</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Key lessons for Bangladesh, where mobile penetration exceeds 170 million subscriptions yet formal banking inclusion hovers around 50% with persistent rural-urban divides and cash dominance, include prioritizing interoperable, low-cost real-time payment rails modeled on India</w:t>
      </w:r>
      <w:r>
        <w:rPr>
          <w:rFonts w:ascii="Times Roman" w:hAnsi="Times Roman" w:hint="default"/>
          <w:rtl w:val="1"/>
        </w:rPr>
        <w:t>’</w:t>
      </w:r>
      <w:r>
        <w:rPr>
          <w:rFonts w:ascii="Times Roman" w:hAnsi="Times Roman"/>
          <w:rtl w:val="0"/>
          <w:lang w:val="en-US"/>
        </w:rPr>
        <w:t>s UPI to unify fragmented systems (bKash, Nagad, bank apps); scaling agent banking networks akin to Kenya</w:t>
      </w:r>
      <w:r>
        <w:rPr>
          <w:rFonts w:ascii="Times Roman" w:hAnsi="Times Roman" w:hint="default"/>
          <w:rtl w:val="1"/>
        </w:rPr>
        <w:t>’</w:t>
      </w:r>
      <w:r>
        <w:rPr>
          <w:rFonts w:ascii="Times Roman" w:hAnsi="Times Roman"/>
          <w:rtl w:val="0"/>
          <w:lang w:val="en-US"/>
        </w:rPr>
        <w:t>s M-Pesa using existing retail points and MNO partnerships for last-mile delivery; investing in robust digital public infrastructure (e.g., national digital ID integration) as in the Nordics and Singapore; enacting forward-looking regulation via Bangladesh Bank sandboxes and open finance frameworks to spur fintech innovation while mitigating risks; and emphasizing cybersecurity, financial literacy, and inclusive design to address gender and rural gaps. Empirical evidence from these jurisdictions underscores that coordinated public-private efforts, regulatory agility, and focus on user-centric, affordable, secure solutions can accelerate Bangladesh</w:t>
      </w:r>
      <w:r>
        <w:rPr>
          <w:rFonts w:ascii="Times Roman" w:hAnsi="Times Roman" w:hint="default"/>
          <w:rtl w:val="1"/>
        </w:rPr>
        <w:t>’</w:t>
      </w:r>
      <w:r>
        <w:rPr>
          <w:rFonts w:ascii="Times Roman" w:hAnsi="Times Roman"/>
          <w:rtl w:val="0"/>
          <w:lang w:val="en-US"/>
        </w:rPr>
        <w:t>s e-banking maturity, enhance financial inclusion targets under its Digital Bangladesh vision, and position the country competitively in South Asia</w:t>
      </w:r>
      <w:r>
        <w:rPr>
          <w:rFonts w:ascii="Times Roman" w:hAnsi="Times Roman" w:hint="default"/>
          <w:rtl w:val="1"/>
        </w:rPr>
        <w:t>’</w:t>
      </w:r>
      <w:r>
        <w:rPr>
          <w:rFonts w:ascii="Times Roman" w:hAnsi="Times Roman"/>
          <w:rtl w:val="0"/>
          <w:lang w:val="en-US"/>
        </w:rPr>
        <w:t>s evolving fintech landscape (World Bank, 2023; BIS &amp; IMF analyses, 2024</w:t>
      </w:r>
      <w:r>
        <w:rPr>
          <w:rFonts w:ascii="Times Roman" w:hAnsi="Times Roman" w:hint="default"/>
          <w:rtl w:val="0"/>
        </w:rPr>
        <w:t>–</w:t>
      </w:r>
      <w:r>
        <w:rPr>
          <w:rFonts w:ascii="Times Roman" w:hAnsi="Times Roman"/>
          <w:rtl w:val="0"/>
        </w:rPr>
        <w:t>2025).</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2</w:t>
      </w:r>
      <w:r>
        <w:rPr>
          <w:rFonts w:ascii="Times Roman" w:hAnsi="Times Roman"/>
          <w:b w:val="1"/>
          <w:bCs w:val="1"/>
          <w:rtl w:val="0"/>
          <w:lang w:val="en-US"/>
        </w:rPr>
        <w:t>.2.1</w:t>
      </w:r>
      <w:r>
        <w:rPr>
          <w:rFonts w:ascii="Times Roman" w:hAnsi="Times Roman"/>
          <w:b w:val="1"/>
          <w:bCs w:val="1"/>
          <w:rtl w:val="0"/>
        </w:rPr>
        <w:t xml:space="preserve">: </w:t>
      </w:r>
      <w:r>
        <w:rPr>
          <w:rFonts w:ascii="Times Roman" w:hAnsi="Times Roman"/>
          <w:i w:val="1"/>
          <w:iCs w:val="1"/>
          <w:rtl w:val="0"/>
          <w:lang w:val="en-US"/>
        </w:rPr>
        <w:t>The Core UTAUT2 Framework</w:t>
      </w:r>
      <w:r>
        <w:rPr>
          <w:rFonts w:ascii="Times Roman" w:hAnsi="Times Roman"/>
          <w:i w:val="1"/>
          <w:iCs w:val="1"/>
          <w:rtl w:val="0"/>
          <w:lang w:val="en-US"/>
        </w:rPr>
        <w:t xml:space="preserve">. </w:t>
      </w:r>
      <w:r>
        <w:rPr>
          <w:rFonts w:ascii="Times Roman" w:hAnsi="Times Roman"/>
          <w:b w:val="1"/>
          <w:bCs w:val="1"/>
          <w:rtl w:val="0"/>
        </w:rPr>
        <w:t>Venkatesh et al. (2012),</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Figure Description:</w:t>
      </w:r>
    </w:p>
    <w:p>
      <w:pPr>
        <w:pStyle w:val="Default"/>
        <w:suppressAutoHyphens w:val="1"/>
        <w:spacing w:before="0" w:after="240" w:line="240" w:lineRule="auto"/>
        <w:jc w:val="both"/>
        <w:rPr>
          <w:rFonts w:ascii="Times Roman" w:cs="Times Roman" w:hAnsi="Times Roman" w:eastAsia="Times Roman"/>
          <w:i w:val="0"/>
          <w:iCs w:val="0"/>
        </w:rPr>
      </w:pPr>
      <w:r>
        <w:rPr>
          <w:rFonts w:ascii="Times Roman" w:hAnsi="Times Roman"/>
          <w:i w:val="1"/>
          <w:iCs w:val="1"/>
          <w:rtl w:val="0"/>
          <w:lang w:val="it-IT"/>
        </w:rPr>
        <w:t>Figure 2.2</w:t>
      </w:r>
      <w:r>
        <w:rPr>
          <w:rFonts w:ascii="Times Roman" w:hAnsi="Times Roman"/>
          <w:i w:val="1"/>
          <w:iCs w:val="1"/>
          <w:rtl w:val="0"/>
          <w:lang w:val="en-US"/>
        </w:rPr>
        <w:t>.1</w:t>
      </w:r>
      <w:r>
        <w:rPr>
          <w:rFonts w:ascii="Times Roman" w:hAnsi="Times Roman"/>
          <w:i w:val="1"/>
          <w:iCs w:val="1"/>
          <w:rtl w:val="0"/>
          <w:lang w:val="en-US"/>
        </w:rPr>
        <w:t>: The core constructs of the Unified Theory of Acceptance and Use of Technology (UTAUT2) adapted for co</w:t>
      </w:r>
      <w:r>
        <w:drawing xmlns:a="http://schemas.openxmlformats.org/drawingml/2006/main">
          <wp:anchor distT="152400" distB="152400" distL="152400" distR="152400" simplePos="0" relativeHeight="251663360" behindDoc="0" locked="0" layoutInCell="1" allowOverlap="1">
            <wp:simplePos x="0" y="0"/>
            <wp:positionH relativeFrom="page">
              <wp:posOffset>1053644</wp:posOffset>
            </wp:positionH>
            <wp:positionV relativeFrom="page">
              <wp:posOffset>1597942</wp:posOffset>
            </wp:positionV>
            <wp:extent cx="5452768" cy="5563869"/>
            <wp:effectExtent l="0" t="0" r="0" b="0"/>
            <wp:wrapThrough wrapText="bothSides" distL="152400" distR="152400">
              <wp:wrapPolygon edited="1">
                <wp:start x="0" y="0"/>
                <wp:lineTo x="21610" y="0"/>
                <wp:lineTo x="21610" y="21621"/>
                <wp:lineTo x="0" y="21621"/>
                <wp:lineTo x="0" y="0"/>
              </wp:wrapPolygon>
            </wp:wrapThrough>
            <wp:docPr id="107374183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3" name="pasted-movie.png" descr="pasted-movie.png"/>
                    <pic:cNvPicPr>
                      <a:picLocks noChangeAspect="1"/>
                    </pic:cNvPicPr>
                  </pic:nvPicPr>
                  <pic:blipFill>
                    <a:blip r:embed="rId10">
                      <a:extLst/>
                    </a:blip>
                    <a:stretch>
                      <a:fillRect/>
                    </a:stretch>
                  </pic:blipFill>
                  <pic:spPr>
                    <a:xfrm>
                      <a:off x="0" y="0"/>
                      <a:ext cx="5452768" cy="5563869"/>
                    </a:xfrm>
                    <a:prstGeom prst="rect">
                      <a:avLst/>
                    </a:prstGeom>
                    <a:ln w="12700" cap="flat">
                      <a:noFill/>
                      <a:miter lim="400000"/>
                    </a:ln>
                    <a:effectLst/>
                  </pic:spPr>
                </pic:pic>
              </a:graphicData>
            </a:graphic>
          </wp:anchor>
        </w:drawing>
      </w:r>
      <w:r>
        <w:rPr>
          <w:rFonts w:ascii="Times Roman" w:hAnsi="Times Roman"/>
          <w:i w:val="1"/>
          <w:iCs w:val="1"/>
          <w:rtl w:val="0"/>
          <w:lang w:val="en-US"/>
        </w:rPr>
        <w:t>nsumer contexts (Venkatesh et al., 2012). This foundational flow chart illustrates the direct predictors of behavioral intention and usage behavior, forming the baseline for the study's integrated model.</w:t>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2.3 Theoretical Underpinnings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2.3.1 Technology Acceptance Model (TAM) and Extensions (TAM2, TAM3)</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Technology Acceptance Model (TAM), originally proposed by Davis (1989), posits that individuals</w:t>
      </w:r>
      <w:r>
        <w:rPr>
          <w:rFonts w:ascii="Times Roman" w:hAnsi="Times Roman" w:hint="default"/>
          <w:rtl w:val="1"/>
        </w:rPr>
        <w:t xml:space="preserve">’ </w:t>
      </w:r>
      <w:r>
        <w:rPr>
          <w:rFonts w:ascii="Times Roman" w:hAnsi="Times Roman"/>
          <w:rtl w:val="0"/>
          <w:lang w:val="en-US"/>
        </w:rPr>
        <w:t>behavioral intention to use a new technology</w:t>
      </w:r>
      <w:r>
        <w:rPr>
          <w:rFonts w:ascii="Times Roman" w:hAnsi="Times Roman" w:hint="default"/>
          <w:rtl w:val="0"/>
          <w:lang w:val="en-US"/>
        </w:rPr>
        <w:t>—</w:t>
      </w:r>
      <w:r>
        <w:rPr>
          <w:rFonts w:ascii="Times Roman" w:hAnsi="Times Roman"/>
          <w:rtl w:val="0"/>
          <w:lang w:val="en-US"/>
        </w:rPr>
        <w:t>and ultimately their actual usage</w:t>
      </w:r>
      <w:r>
        <w:rPr>
          <w:rFonts w:ascii="Times Roman" w:hAnsi="Times Roman" w:hint="default"/>
          <w:rtl w:val="0"/>
          <w:lang w:val="en-US"/>
        </w:rPr>
        <w:t>—</w:t>
      </w:r>
      <w:r>
        <w:rPr>
          <w:rFonts w:ascii="Times Roman" w:hAnsi="Times Roman"/>
          <w:rtl w:val="0"/>
          <w:lang w:val="en-US"/>
        </w:rPr>
        <w:t>is primarily determined by two core beliefs: perceived usefulness (the degree to which using the technology enhances job or task performance) and perceived ease of use (the degree to which using the technology is free of effort), with perceived ease of use also influencing perceived usefulness; these perceptions shape attitude toward use, which in turn drives intention and behavior, drawing from the Theory of Reasoned Action while focusing specifically on information systems acceptance. In the context of e-banking adoption, TAM has been extensively validated across developing economies, explaining 29</w:t>
      </w:r>
      <w:r>
        <w:rPr>
          <w:rFonts w:ascii="Times Roman" w:hAnsi="Times Roman" w:hint="default"/>
          <w:rtl w:val="0"/>
        </w:rPr>
        <w:t>–</w:t>
      </w:r>
      <w:r>
        <w:rPr>
          <w:rFonts w:ascii="Times Roman" w:hAnsi="Times Roman"/>
          <w:rtl w:val="0"/>
          <w:lang w:val="en-US"/>
        </w:rPr>
        <w:t>53% of variance in behavioral intention, with perceived usefulness emerging as the strongest predictor of internet and mobile banking uptake due to its direct link to productivity gains such as faster transactions and reduced branch visits (Davis, 1989; Baca et al., 2023). TAM2, developed by Venkatesh and Davis (2000), extends the original model by incorporating social influence processes (subjective norm, voluntariness, and image) and cognitive instrumental processes (job relevance, output quality, result demonstrability, and perceived ease of use) to better explain perceived usefulness and usage intentions in both voluntary and mandatory settings; longitudinal field studies demonstrated that these additions significantly improve explanatory power, particularly in organizational contexts where social pressures and demonstrable results accelerate e-banking acceptance among employees and customers. TAM3, further refined by Venkatesh and Bala (2008), integrates additional determinants such as computer self-efficacy, perceptions of external control, computer anxiety, computer playfulness, perceived enjoyment, and objective usability, while distinguishing between pre- and post-implementation stages; this extension accounts for up to 53% of variance in behavioral intention and 36% in actual use, highlighting how trust and perceived risk</w:t>
      </w:r>
      <w:r>
        <w:rPr>
          <w:rFonts w:ascii="Times Roman" w:hAnsi="Times Roman" w:hint="default"/>
          <w:rtl w:val="0"/>
          <w:lang w:val="en-US"/>
        </w:rPr>
        <w:t>—</w:t>
      </w:r>
      <w:r>
        <w:rPr>
          <w:rFonts w:ascii="Times Roman" w:hAnsi="Times Roman"/>
          <w:rtl w:val="0"/>
          <w:lang w:val="en-US"/>
        </w:rPr>
        <w:t>especially salient in emerging markets</w:t>
      </w:r>
      <w:r>
        <w:rPr>
          <w:rFonts w:ascii="Times Roman" w:hAnsi="Times Roman" w:hint="default"/>
          <w:rtl w:val="0"/>
          <w:lang w:val="en-US"/>
        </w:rPr>
        <w:t>—</w:t>
      </w:r>
      <w:r>
        <w:rPr>
          <w:rFonts w:ascii="Times Roman" w:hAnsi="Times Roman"/>
          <w:rtl w:val="0"/>
          <w:lang w:val="en-US"/>
        </w:rPr>
        <w:t>moderate relationships, making TAM3 particularly relevant for analyzing e-banking adoption barriers in Bangladesh where infrastructural limitations and security concerns amplify anxiety and reduce self-efficacy (Venkatesh &amp; Bala, 2008; Marikyan &amp; Papagiannidis, 2026). Empirical applications in South Asian banking contexts confirm that while TAM and its extensions robustly predict adoption, cultural factors and limited digital literacy often weaken the ease-of-use pathway, necessitating localized adaptations for Bangladesh</w:t>
      </w:r>
      <w:r>
        <w:rPr>
          <w:rFonts w:ascii="Times Roman" w:hAnsi="Times Roman" w:hint="default"/>
          <w:rtl w:val="1"/>
        </w:rPr>
        <w:t>’</w:t>
      </w:r>
      <w:r>
        <w:rPr>
          <w:rFonts w:ascii="Times Roman" w:hAnsi="Times Roman"/>
          <w:rtl w:val="0"/>
          <w:lang w:val="en-US"/>
        </w:rPr>
        <w:t>s heterogeneous population.</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 xml:space="preserve">2.3.2 Unified Theory of Acceptance and Use of Technology (UTAUT &amp; UTAUT2)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Core Constructs and Critiques in Emerging Markets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Unified Theory of Acceptance and Use of Technology (UTAUT), synthesized by Venkatesh et al. (2003) from eight prior models including TAM, Theory of Planned Behavior, and Innovation Diffusion Theory, identifies four core constructs</w:t>
      </w:r>
      <w:r>
        <w:rPr>
          <w:rFonts w:ascii="Times Roman" w:hAnsi="Times Roman" w:hint="default"/>
          <w:rtl w:val="0"/>
          <w:lang w:val="en-US"/>
        </w:rPr>
        <w:t>—</w:t>
      </w:r>
      <w:r>
        <w:rPr>
          <w:rFonts w:ascii="Times Roman" w:hAnsi="Times Roman"/>
          <w:rtl w:val="0"/>
          <w:lang w:val="en-US"/>
        </w:rPr>
        <w:t>performance expectancy (degree to which using technology provides benefits), effort expectancy (perceived ease of use), social influence (extent to which important others believe one should use the technology), and facilitating conditions (perceived organizational and technical support)</w:t>
      </w:r>
      <w:r>
        <w:rPr>
          <w:rFonts w:ascii="Times Roman" w:hAnsi="Times Roman" w:hint="default"/>
          <w:rtl w:val="0"/>
          <w:lang w:val="en-US"/>
        </w:rPr>
        <w:t>—</w:t>
      </w:r>
      <w:r>
        <w:rPr>
          <w:rFonts w:ascii="Times Roman" w:hAnsi="Times Roman"/>
          <w:rtl w:val="0"/>
          <w:lang w:val="en-US"/>
        </w:rPr>
        <w:t>that directly or indirectly influence behavioral intention and subsequent usage behavior, with moderators of age, gender, experience, and voluntariness of use explaining differential effects; UTAUT accounts for approximately 70% of variance in behavioral intention, substantially outperforming earlier models in organizational technology adoption studies. UTAUT2, extended by Venkatesh et al. (2012) for consumer contexts such as mobile banking and e-banking, incorporates three additional constructs</w:t>
      </w:r>
      <w:r>
        <w:rPr>
          <w:rFonts w:ascii="Times Roman" w:hAnsi="Times Roman" w:hint="default"/>
          <w:rtl w:val="0"/>
          <w:lang w:val="en-US"/>
        </w:rPr>
        <w:t>—</w:t>
      </w:r>
      <w:r>
        <w:rPr>
          <w:rFonts w:ascii="Times Roman" w:hAnsi="Times Roman"/>
          <w:rtl w:val="0"/>
          <w:lang w:val="en-US"/>
        </w:rPr>
        <w:t>hedonic motivation (enjoyment derived from use), price value (cognitive tradeoff between perceived benefits and monetary cost), and habit (automaticity from prior experience)</w:t>
      </w:r>
      <w:r>
        <w:rPr>
          <w:rFonts w:ascii="Times Roman" w:hAnsi="Times Roman" w:hint="default"/>
          <w:rtl w:val="0"/>
          <w:lang w:val="en-US"/>
        </w:rPr>
        <w:t>—</w:t>
      </w:r>
      <w:r>
        <w:rPr>
          <w:rFonts w:ascii="Times Roman" w:hAnsi="Times Roman"/>
          <w:rtl w:val="0"/>
          <w:lang w:val="en-US"/>
        </w:rPr>
        <w:t>while retaining the original four and moderators (age, gender, experience); this consumer-oriented version has been widely applied in emerging markets, where studies in Pakistan, India, and China demonstrate that performance expectancy and effort expectancy remain dominant drivers of internet banking intention, yet price value and habit gain prominence amid cost-sensitive and repeat-user populations (Venkatesh et al., 2012; Rahi, 2023; Jadil et al., 2021). Critiques of UTAUT and UTAUT2 in emerging markets highlight over-reliance on Western-derived constructs that undervalue contextual factors such as infrastructural deficits, low digital literacy, regulatory uncertainty, and collectivist cultural norms, leading to weaker predictive power for social influence and facilitating conditions in low-resource settings like rural Bangladesh; furthermore, the models</w:t>
      </w:r>
      <w:r>
        <w:rPr>
          <w:rFonts w:ascii="Times Roman" w:hAnsi="Times Roman" w:hint="default"/>
          <w:rtl w:val="1"/>
        </w:rPr>
        <w:t xml:space="preserve">’ </w:t>
      </w:r>
      <w:r>
        <w:rPr>
          <w:rFonts w:ascii="Times Roman" w:hAnsi="Times Roman"/>
          <w:rtl w:val="0"/>
          <w:lang w:val="en-US"/>
        </w:rPr>
        <w:t>assumption of voluntary adoption often fails in mandatory or infrastructure-constrained environments, and cross-cultural validations reveal that trust and perceived risk</w:t>
      </w:r>
      <w:r>
        <w:rPr>
          <w:rFonts w:ascii="Times Roman" w:hAnsi="Times Roman" w:hint="default"/>
          <w:rtl w:val="0"/>
          <w:lang w:val="en-US"/>
        </w:rPr>
        <w:t>—</w:t>
      </w:r>
      <w:r>
        <w:rPr>
          <w:rFonts w:ascii="Times Roman" w:hAnsi="Times Roman"/>
          <w:rtl w:val="0"/>
          <w:lang w:val="en-US"/>
        </w:rPr>
        <w:t>omitted core elements</w:t>
      </w:r>
      <w:r>
        <w:rPr>
          <w:rFonts w:ascii="Times Roman" w:hAnsi="Times Roman" w:hint="default"/>
          <w:rtl w:val="0"/>
          <w:lang w:val="en-US"/>
        </w:rPr>
        <w:t>—</w:t>
      </w:r>
      <w:r>
        <w:rPr>
          <w:rFonts w:ascii="Times Roman" w:hAnsi="Times Roman"/>
          <w:rtl w:val="0"/>
          <w:lang w:val="en-US"/>
        </w:rPr>
        <w:t>significantly moderate relationships, necessitating hybrid extensions with local variables for accurate forecasting of e-banking uptake (Dendrinos, 2024; systematic reviews in Emerald, 2024). In Bangladesh-specific applications, integrated UTAUT models incorporating e-service quality dimensions (website design, assurance, reliability) have explained up to 80% of variance in adoption intention, underscoring the theory</w:t>
      </w:r>
      <w:r>
        <w:rPr>
          <w:rFonts w:ascii="Times Roman" w:hAnsi="Times Roman" w:hint="default"/>
          <w:rtl w:val="1"/>
        </w:rPr>
        <w:t>’</w:t>
      </w:r>
      <w:r>
        <w:rPr>
          <w:rFonts w:ascii="Times Roman" w:hAnsi="Times Roman"/>
          <w:rtl w:val="0"/>
          <w:lang w:val="en-US"/>
        </w:rPr>
        <w:t>s utility when augmented for institutional and risk-related voids prevalent in South Asian emerging economies.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 xml:space="preserve">2.3.3 Diffusion of Innovations Theory (Rogers) and Institutional Theory (North, Scott, DiMaggio &amp; Powell)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Regulatory, Normative, and Cognitive Pillars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rPr>
        <w:t>Everett Rogers</w:t>
      </w:r>
      <w:r>
        <w:rPr>
          <w:rFonts w:ascii="Times Roman" w:hAnsi="Times Roman" w:hint="default"/>
          <w:rtl w:val="1"/>
        </w:rPr>
        <w:t xml:space="preserve">’ </w:t>
      </w:r>
      <w:r>
        <w:rPr>
          <w:rFonts w:ascii="Times Roman" w:hAnsi="Times Roman"/>
          <w:rtl w:val="0"/>
          <w:lang w:val="en-US"/>
        </w:rPr>
        <w:t>Diffusion of Innovations Theory (2003, 5th ed.) explains how new ideas, practices, or technologies such as e-banking spread through a social system over time via communication channels, progressing through five adopter categories</w:t>
      </w:r>
      <w:r>
        <w:rPr>
          <w:rFonts w:ascii="Times Roman" w:hAnsi="Times Roman" w:hint="default"/>
          <w:rtl w:val="0"/>
          <w:lang w:val="en-US"/>
        </w:rPr>
        <w:t>—</w:t>
      </w:r>
      <w:r>
        <w:rPr>
          <w:rFonts w:ascii="Times Roman" w:hAnsi="Times Roman"/>
          <w:rtl w:val="0"/>
          <w:lang w:val="en-US"/>
        </w:rPr>
        <w:t>innovators (2.5%), early adopters (13.5%), early majority (34%), late majority (34%), and laggards (16%)</w:t>
      </w:r>
      <w:r>
        <w:rPr>
          <w:rFonts w:ascii="Times Roman" w:hAnsi="Times Roman" w:hint="default"/>
          <w:rtl w:val="0"/>
          <w:lang w:val="en-US"/>
        </w:rPr>
        <w:t>—</w:t>
      </w:r>
      <w:r>
        <w:rPr>
          <w:rFonts w:ascii="Times Roman" w:hAnsi="Times Roman"/>
          <w:rtl w:val="0"/>
          <w:lang w:val="en-US"/>
        </w:rPr>
        <w:t>with adoption rate determined by five perceived attributes of the innovation: relative advantage, compatibility, complexity, trialability, and observability; the theory predicts an S-shaped cumulative adoption curve, emphasizing that innovations perceived as superior, compatible with existing values, and low-complexity diffuse faster, a framework extensively applied to e-banking and fintech where mobile money platforms in Kenya and UPI in India accelerated diffusion through observability and trialability via agent networks and QR codes (Rogers, 2003; Sullivan &amp; Wang, 2020). Institutional Theory, drawing from Douglass North</w:t>
      </w:r>
      <w:r>
        <w:rPr>
          <w:rFonts w:ascii="Times Roman" w:hAnsi="Times Roman" w:hint="default"/>
          <w:rtl w:val="1"/>
        </w:rPr>
        <w:t>’</w:t>
      </w:r>
      <w:r>
        <w:rPr>
          <w:rFonts w:ascii="Times Roman" w:hAnsi="Times Roman"/>
          <w:rtl w:val="0"/>
          <w:lang w:val="en-US"/>
        </w:rPr>
        <w:t xml:space="preserve">s (1990, 1991) emphasis on institutions as </w:t>
      </w:r>
      <w:r>
        <w:rPr>
          <w:rFonts w:ascii="Times Roman" w:hAnsi="Times Roman" w:hint="default"/>
          <w:rtl w:val="1"/>
          <w:lang w:val="ar-SA" w:bidi="ar-SA"/>
        </w:rPr>
        <w:t>“</w:t>
      </w:r>
      <w:r>
        <w:rPr>
          <w:rFonts w:ascii="Times Roman" w:hAnsi="Times Roman"/>
          <w:rtl w:val="0"/>
          <w:lang w:val="en-US"/>
        </w:rPr>
        <w:t>the rules of the game</w:t>
      </w:r>
      <w:r>
        <w:rPr>
          <w:rFonts w:ascii="Times Roman" w:hAnsi="Times Roman" w:hint="default"/>
          <w:rtl w:val="0"/>
        </w:rPr>
        <w:t xml:space="preserve">” </w:t>
      </w:r>
      <w:r>
        <w:rPr>
          <w:rFonts w:ascii="Times Roman" w:hAnsi="Times Roman"/>
          <w:rtl w:val="0"/>
          <w:lang w:val="en-US"/>
        </w:rPr>
        <w:t>that reduce uncertainty and transaction costs in economic exchange, and elaborated by Scott (1995, 2001, 2008) and DiMaggio and Powell (1983), posits that organizational and individual behaviors are shaped by three interconnected pillars: the regulative pillar (formal rules, laws, monitoring, and sanctions enforced by coercive mechanisms such as central bank regulations on e-banking licensing and cybersecurity); the normative pillar (social obligations, values, and professional standards prescribing appropriate conduct, e.g., industry codes of conduct for digital trust and financial inclusion norms promoted by Bangladesh Bank); and the cognitive-cultural pillar (shared schemas, frames, and taken-for-granted assumptions constituting reality, such as cultural beliefs about cash versus digital trust or collective efficacy in technology use). In emerging markets, these pillars interact to influence e-banking diffusion: regulative voids (weak enforcement) slow adoption, normative pressures from peer groups and religious institutions accelerate or constrain it (e.g., Sharia-compliant digital services in Indonesia or Bangladesh), and cognitive misalignments (low digital literacy framing technology as risky) create resistance, leading to isomorphic pressures where banks mimic successful models from India or Singapore to gain legitimacy (DiMaggio &amp; Powell, 1983; Scott, 2008; Woodhouse, 2024). Applied to Bangladesh, Rogers</w:t>
      </w:r>
      <w:r>
        <w:rPr>
          <w:rFonts w:ascii="Times Roman" w:hAnsi="Times Roman" w:hint="default"/>
          <w:rtl w:val="1"/>
        </w:rPr>
        <w:t xml:space="preserve">’ </w:t>
      </w:r>
      <w:r>
        <w:rPr>
          <w:rFonts w:ascii="Times Roman" w:hAnsi="Times Roman"/>
          <w:rtl w:val="0"/>
          <w:lang w:val="en-US"/>
        </w:rPr>
        <w:t>attributes explain why agent banking and bKash diffused rapidly among early adopters due to relative advantage in remittances, while Institutional Theory highlights how post-2010 regulatory reforms (regulative pillar) combined with normative campaigns for financial inclusion and cognitive shifts via mobile penetration have propelled e-banking, yet persistent voids in enforcement and trust schemas continue to segment adopters along urban-rural and gender lines.</w:t>
      </w:r>
    </w:p>
    <w:p>
      <w:pPr>
        <w:pStyle w:val="Default"/>
        <w:suppressAutoHyphens w:val="1"/>
        <w:spacing w:before="0" w:after="240" w:line="240" w:lineRule="auto"/>
        <w:jc w:val="center"/>
        <w:rPr>
          <w:rFonts w:ascii="Times Roman" w:cs="Times Roman" w:hAnsi="Times Roman" w:eastAsia="Times Roman"/>
          <w:b w:val="1"/>
          <w:bCs w:val="1"/>
        </w:rPr>
      </w:pPr>
      <w:r>
        <w:rPr>
          <w:rFonts w:ascii="Times Roman" w:hAnsi="Times Roman"/>
          <w:b w:val="1"/>
          <w:bCs w:val="1"/>
          <w:rtl w:val="0"/>
          <w:lang w:val="it-IT"/>
        </w:rPr>
        <w:t>Figure 2.3</w:t>
      </w:r>
      <w:r>
        <w:rPr>
          <w:rFonts w:ascii="Times Roman" w:hAnsi="Times Roman"/>
          <w:b w:val="1"/>
          <w:bCs w:val="1"/>
          <w:rtl w:val="0"/>
          <w:lang w:val="en-US"/>
        </w:rPr>
        <w:t>.3:</w:t>
      </w:r>
      <w:r>
        <w:rPr>
          <w:rFonts w:ascii="Times Roman" w:hAnsi="Times Roman"/>
          <w:b w:val="1"/>
          <w:bCs w:val="1"/>
          <w:rtl w:val="0"/>
        </w:rPr>
        <w:t xml:space="preserve"> </w:t>
      </w:r>
      <w:r>
        <w:rPr>
          <w:rFonts w:ascii="Times Roman" w:hAnsi="Times Roman"/>
          <w:i w:val="1"/>
          <w:iCs w:val="1"/>
          <w:rtl w:val="0"/>
          <w:lang w:val="it-IT"/>
        </w:rPr>
        <w:t>Scott</w:t>
      </w:r>
      <w:r>
        <w:rPr>
          <w:rFonts w:ascii="Times Roman" w:hAnsi="Times Roman" w:hint="default"/>
          <w:i w:val="1"/>
          <w:iCs w:val="1"/>
          <w:rtl w:val="1"/>
        </w:rPr>
        <w:t>’</w:t>
      </w:r>
      <w:r>
        <w:rPr>
          <w:rFonts w:ascii="Times Roman" w:hAnsi="Times Roman"/>
          <w:i w:val="1"/>
          <w:iCs w:val="1"/>
          <w:rtl w:val="0"/>
          <w:lang w:val="en-US"/>
        </w:rPr>
        <w:t>s (2008) Three Pillars of Institutions Applied to E-Banking in Emerging Markets</w:t>
      </w:r>
      <w:r>
        <w:rPr>
          <w:rFonts w:ascii="Times Roman" w:cs="Times Roman" w:hAnsi="Times Roman" w:eastAsia="Times Roman"/>
          <w:i w:val="1"/>
          <w:iCs w:val="1"/>
        </w:rPr>
        <mc:AlternateContent>
          <mc:Choice Requires="wpg">
            <w:drawing xmlns:a="http://schemas.openxmlformats.org/drawingml/2006/main">
              <wp:anchor distT="152400" distB="152400" distL="152400" distR="152400" simplePos="0" relativeHeight="251665408" behindDoc="0" locked="0" layoutInCell="1" allowOverlap="1">
                <wp:simplePos x="0" y="0"/>
                <wp:positionH relativeFrom="margin">
                  <wp:posOffset>424455</wp:posOffset>
                </wp:positionH>
                <wp:positionV relativeFrom="page">
                  <wp:posOffset>1003998</wp:posOffset>
                </wp:positionV>
                <wp:extent cx="5789305" cy="3629019"/>
                <wp:effectExtent l="0" t="0" r="0" b="0"/>
                <wp:wrapThrough wrapText="bothSides" distL="152400" distR="152400">
                  <wp:wrapPolygon edited="1">
                    <wp:start x="0" y="0"/>
                    <wp:lineTo x="21600" y="0"/>
                    <wp:lineTo x="21600" y="21600"/>
                    <wp:lineTo x="0" y="21600"/>
                    <wp:lineTo x="0" y="0"/>
                  </wp:wrapPolygon>
                </wp:wrapThrough>
                <wp:docPr id="1073741836" name="officeArt object" descr="pasted-movie.png"/>
                <wp:cNvGraphicFramePr/>
                <a:graphic xmlns:a="http://schemas.openxmlformats.org/drawingml/2006/main">
                  <a:graphicData uri="http://schemas.microsoft.com/office/word/2010/wordprocessingGroup">
                    <wpg:wgp>
                      <wpg:cNvGrpSpPr/>
                      <wpg:grpSpPr>
                        <a:xfrm>
                          <a:off x="0" y="0"/>
                          <a:ext cx="5789305" cy="3629019"/>
                          <a:chOff x="0" y="0"/>
                          <a:chExt cx="5789304" cy="3629018"/>
                        </a:xfrm>
                      </wpg:grpSpPr>
                      <pic:pic xmlns:pic="http://schemas.openxmlformats.org/drawingml/2006/picture">
                        <pic:nvPicPr>
                          <pic:cNvPr id="1073741835" name="pasted-movie.png" descr="pasted-movie.png"/>
                          <pic:cNvPicPr>
                            <a:picLocks noChangeAspect="1"/>
                          </pic:cNvPicPr>
                        </pic:nvPicPr>
                        <pic:blipFill>
                          <a:blip r:embed="rId11">
                            <a:extLst/>
                          </a:blip>
                          <a:stretch>
                            <a:fillRect/>
                          </a:stretch>
                        </pic:blipFill>
                        <pic:spPr>
                          <a:xfrm>
                            <a:off x="127000" y="88900"/>
                            <a:ext cx="5535305" cy="3298819"/>
                          </a:xfrm>
                          <a:prstGeom prst="rect">
                            <a:avLst/>
                          </a:prstGeom>
                          <a:ln>
                            <a:noFill/>
                          </a:ln>
                          <a:effectLst/>
                        </pic:spPr>
                      </pic:pic>
                      <pic:pic xmlns:pic="http://schemas.openxmlformats.org/drawingml/2006/picture">
                        <pic:nvPicPr>
                          <pic:cNvPr id="1073741834" name="pasted-movie.png" descr="pasted-movie.png"/>
                          <pic:cNvPicPr>
                            <a:picLocks noChangeAspect="0"/>
                          </pic:cNvPicPr>
                        </pic:nvPicPr>
                        <pic:blipFill>
                          <a:blip r:embed="rId12">
                            <a:extLst/>
                          </a:blip>
                          <a:stretch>
                            <a:fillRect/>
                          </a:stretch>
                        </pic:blipFill>
                        <pic:spPr>
                          <a:xfrm>
                            <a:off x="0" y="0"/>
                            <a:ext cx="5789305" cy="3629019"/>
                          </a:xfrm>
                          <a:prstGeom prst="rect">
                            <a:avLst/>
                          </a:prstGeom>
                          <a:effectLst/>
                        </pic:spPr>
                      </pic:pic>
                    </wpg:wgp>
                  </a:graphicData>
                </a:graphic>
              </wp:anchor>
            </w:drawing>
          </mc:Choice>
          <mc:Fallback>
            <w:pict>
              <v:group id="_x0000_s1032" style="visibility:visible;position:absolute;margin-left:33.4pt;margin-top:79.1pt;width:455.9pt;height:285.7pt;z-index:251665408;mso-position-horizontal:absolute;mso-position-horizontal-relative:margin;mso-position-vertical:absolute;mso-position-vertical-relative:page;mso-wrap-distance-left:12.0pt;mso-wrap-distance-top:12.0pt;mso-wrap-distance-right:12.0pt;mso-wrap-distance-bottom:12.0pt;" coordorigin="0,0" coordsize="5789305,3629018">
                <w10:wrap type="through" side="bothSides" anchorx="margin" anchory="page"/>
                <v:shape id="_x0000_s1033" type="#_x0000_t75" style="position:absolute;left:127000;top:88900;width:5535305;height:3298818;">
                  <v:imagedata r:id="rId11" o:title="pasted-movie-enhanced.png"/>
                </v:shape>
                <v:shape id="_x0000_s1034" type="#_x0000_t75" style="position:absolute;left:0;top:0;width:5789305;height:3629018;">
                  <v:imagedata r:id="rId12" o:title=""/>
                </v:shape>
              </v:group>
            </w:pict>
          </mc:Fallback>
        </mc:AlternateContent>
      </w:r>
      <w:r>
        <w:rPr>
          <w:rFonts w:ascii="Times Roman" w:hAnsi="Times Roman"/>
          <w:i w:val="1"/>
          <w:iCs w:val="1"/>
          <w:rtl w:val="0"/>
        </w:rPr>
        <w:t xml:space="preserve"> </w:t>
      </w:r>
      <w:r>
        <w:rPr>
          <w:rFonts w:ascii="Times Roman" w:hAnsi="Times Roman" w:hint="default"/>
          <w:rtl w:val="0"/>
        </w:rPr>
        <w:t xml:space="preserve">– </w:t>
      </w:r>
      <w:r>
        <w:rPr>
          <w:rFonts w:ascii="Times Roman" w:hAnsi="Times Roman"/>
          <w:b w:val="1"/>
          <w:bCs w:val="1"/>
          <w:rtl w:val="0"/>
          <w:lang w:val="en-US"/>
        </w:rPr>
        <w:t>Bangladesh Context. Source: Scott (2008), DiMaggio &amp; Powell (1983), and Bangladesh Bank regulatory frameworks (2016</w:t>
      </w:r>
      <w:r>
        <w:rPr>
          <w:rFonts w:ascii="Times Roman" w:hAnsi="Times Roman" w:hint="default"/>
          <w:b w:val="1"/>
          <w:bCs w:val="1"/>
          <w:rtl w:val="0"/>
        </w:rPr>
        <w:t>–</w:t>
      </w:r>
      <w:r>
        <w:rPr>
          <w:rFonts w:ascii="Times Roman" w:hAnsi="Times Roman"/>
          <w:b w:val="1"/>
          <w:bCs w:val="1"/>
          <w:rtl w:val="0"/>
        </w:rPr>
        <w:t>2025).</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2.3.4 Perceived Risk, Trust Restoration, and Governance Frameworks in Emerging Markets (Post-Fraud, Institutional Voids)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Perceived risk in e-banking</w:t>
      </w:r>
      <w:r>
        <w:rPr>
          <w:rFonts w:ascii="Times Roman" w:hAnsi="Times Roman" w:hint="default"/>
          <w:rtl w:val="0"/>
          <w:lang w:val="en-US"/>
        </w:rPr>
        <w:t>—</w:t>
      </w:r>
      <w:r>
        <w:rPr>
          <w:rFonts w:ascii="Times Roman" w:hAnsi="Times Roman"/>
          <w:rtl w:val="0"/>
          <w:lang w:val="en-US"/>
        </w:rPr>
        <w:t>encompassing financial, performance, privacy, security, and time-loss dimensions</w:t>
      </w:r>
      <w:r>
        <w:rPr>
          <w:rFonts w:ascii="Times Roman" w:hAnsi="Times Roman" w:hint="default"/>
          <w:rtl w:val="0"/>
          <w:lang w:val="en-US"/>
        </w:rPr>
        <w:t>—</w:t>
      </w:r>
      <w:r>
        <w:rPr>
          <w:rFonts w:ascii="Times Roman" w:hAnsi="Times Roman"/>
          <w:rtl w:val="0"/>
          <w:lang w:val="en-US"/>
        </w:rPr>
        <w:t>negatively influences adoption intention and usage by amplifying uncertainty about outcomes such as fraud, data breaches, or service failures, while trust acts as a critical mitigator that restores confidence through beliefs in the integrity, benevolence, and competence of banks and platforms; empirical studies in emerging markets demonstrate that perceived risk significantly moderates the intention-to-use pathway in UTAUT/TAM models, with trust partially or fully mediating risk effects, particularly among young and educated users in India and Bangladesh where post-fraud incidents (e.g., SIM-swap or phishing) have eroded confidence (Kumar, 2023; Abikari, 2024; Nguyen &amp; Huynh, 2018). In contexts marked by institutional voids</w:t>
      </w:r>
      <w:r>
        <w:rPr>
          <w:rFonts w:ascii="Times Roman" w:hAnsi="Times Roman" w:hint="default"/>
          <w:rtl w:val="0"/>
          <w:lang w:val="en-US"/>
        </w:rPr>
        <w:t>—</w:t>
      </w:r>
      <w:r>
        <w:rPr>
          <w:rFonts w:ascii="Times Roman" w:hAnsi="Times Roman"/>
          <w:rtl w:val="0"/>
          <w:lang w:val="en-US"/>
        </w:rPr>
        <w:t>gaps in regulative enforcement, normative accountability, and cognitive legitimacy</w:t>
      </w:r>
      <w:r>
        <w:rPr>
          <w:rFonts w:ascii="Times Roman" w:hAnsi="Times Roman" w:hint="default"/>
          <w:rtl w:val="0"/>
          <w:lang w:val="en-US"/>
        </w:rPr>
        <w:t>—</w:t>
      </w:r>
      <w:r>
        <w:rPr>
          <w:rFonts w:ascii="Times Roman" w:hAnsi="Times Roman"/>
          <w:rtl w:val="0"/>
          <w:lang w:val="en-US"/>
        </w:rPr>
        <w:t>governance frameworks for trust restoration become paramount; these include multi-stakeholder mechanisms such as central bank-led cybersecurity mandates, deposit insurance extensions to digital wallets, real-time fraud detection via AI, consumer redressal portals, and public-private partnerships for digital literacy, which address voids that enable opportunistic behavior and prolonged fraud as observed in Indian corporate cases (e.g., Satyam-style governance failures) and similar South Asian banking scandals (Emerald, 2026; Aracil, 2025). Post-fraud governance in emerging markets emphasizes transparency (e.g., mandatory breach disclosures), accountability (penalties for negligent providers), and capability-building (agent training and biometric verification) to rebuild cognitive trust and normative expectations of safety; Bangladesh Bank</w:t>
      </w:r>
      <w:r>
        <w:rPr>
          <w:rFonts w:ascii="Times Roman" w:hAnsi="Times Roman" w:hint="default"/>
          <w:rtl w:val="1"/>
        </w:rPr>
        <w:t>’</w:t>
      </w:r>
      <w:r>
        <w:rPr>
          <w:rFonts w:ascii="Times Roman" w:hAnsi="Times Roman"/>
          <w:rtl w:val="0"/>
          <w:lang w:val="fr-FR"/>
        </w:rPr>
        <w:t>s initiatives post-2016</w:t>
      </w:r>
      <w:r>
        <w:rPr>
          <w:rFonts w:ascii="Times Roman" w:hAnsi="Times Roman" w:hint="default"/>
          <w:rtl w:val="0"/>
        </w:rPr>
        <w:t>–</w:t>
      </w:r>
      <w:r>
        <w:rPr>
          <w:rFonts w:ascii="Times Roman" w:hAnsi="Times Roman"/>
          <w:rtl w:val="0"/>
          <w:lang w:val="en-US"/>
        </w:rPr>
        <w:t>2020 cyber incidents illustrate such frameworks, yet critiques note that weak enforcement (regulative void) and cultural-cognitive skepticism toward digital systems perpetuate low adoption among risk-averse segments, underscoring the need for integrated theoretical models that embed perceived risk and trust within TAM/UTAUT while leveraging Institutional Theory</w:t>
      </w:r>
      <w:r>
        <w:rPr>
          <w:rFonts w:ascii="Times Roman" w:hAnsi="Times Roman" w:hint="default"/>
          <w:rtl w:val="1"/>
        </w:rPr>
        <w:t>’</w:t>
      </w:r>
      <w:r>
        <w:rPr>
          <w:rFonts w:ascii="Times Roman" w:hAnsi="Times Roman"/>
          <w:rtl w:val="0"/>
          <w:lang w:val="en-US"/>
        </w:rPr>
        <w:t>s pillars to design void-filling interventions (Kumar, 2023; Scott, 2008). Overall, these underpinnings collectively provide a robust lens for analyzing e-banking challenges and prospects in Bangladesh, where technological acceptance theories must be contextualized with institutional realities and risk-trust dynamics to inform policy and practice.</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2.4 Proposed Integrated Conceptual Model for Bangladesh Context (UTAUT2 + Institutional/Governance Moderators + Digital Divide Variables)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Drawing on the theoretical foundations established in Section 2.3, this study proposes an integrated conceptual model that extends the Unified Theory of Acceptance and Use of Technology (UTAUT2) by Venkatesh et al. (2012) with institutional/governance moderators derived from Scott</w:t>
      </w:r>
      <w:r>
        <w:rPr>
          <w:rFonts w:ascii="Times Roman" w:hAnsi="Times Roman" w:hint="default"/>
          <w:rtl w:val="1"/>
        </w:rPr>
        <w:t>’</w:t>
      </w:r>
      <w:r>
        <w:rPr>
          <w:rFonts w:ascii="Times Roman" w:hAnsi="Times Roman"/>
          <w:rtl w:val="0"/>
          <w:lang w:val="en-US"/>
        </w:rPr>
        <w:t>s (2008) three pillars and digital divide variables adapted from van Dijk</w:t>
      </w:r>
      <w:r>
        <w:rPr>
          <w:rFonts w:ascii="Times Roman" w:hAnsi="Times Roman" w:hint="default"/>
          <w:rtl w:val="1"/>
        </w:rPr>
        <w:t>’</w:t>
      </w:r>
      <w:r>
        <w:rPr>
          <w:rFonts w:ascii="Times Roman" w:hAnsi="Times Roman"/>
          <w:rtl w:val="0"/>
          <w:lang w:val="en-US"/>
        </w:rPr>
        <w:t>s (2020) framework, specifically contextualized for Bangladesh</w:t>
      </w:r>
      <w:r>
        <w:rPr>
          <w:rFonts w:ascii="Times Roman" w:hAnsi="Times Roman" w:hint="default"/>
          <w:rtl w:val="1"/>
        </w:rPr>
        <w:t>’</w:t>
      </w:r>
      <w:r>
        <w:rPr>
          <w:rFonts w:ascii="Times Roman" w:hAnsi="Times Roman"/>
          <w:rtl w:val="0"/>
          <w:lang w:val="en-US"/>
        </w:rPr>
        <w:t>s unique e-banking landscape characterized by high mobile penetration (over 170 million subscriptions) yet persistently low formal adoption rates (around 50% banking inclusion), rural-urban disparities, post-2016</w:t>
      </w:r>
      <w:r>
        <w:rPr>
          <w:rFonts w:ascii="Times Roman" w:hAnsi="Times Roman" w:hint="default"/>
          <w:rtl w:val="0"/>
        </w:rPr>
        <w:t>–</w:t>
      </w:r>
      <w:r>
        <w:rPr>
          <w:rFonts w:ascii="Times Roman" w:hAnsi="Times Roman"/>
          <w:rtl w:val="0"/>
          <w:lang w:val="en-US"/>
        </w:rPr>
        <w:t>2020 cyber-fraud incidents, and regulatory pushes under the Digital Bangladesh vision. The core UTAUT2 constructs</w:t>
      </w:r>
      <w:r>
        <w:rPr>
          <w:rFonts w:ascii="Times Roman" w:hAnsi="Times Roman" w:hint="default"/>
          <w:rtl w:val="0"/>
          <w:lang w:val="en-US"/>
        </w:rPr>
        <w:t>—</w:t>
      </w:r>
      <w:r>
        <w:rPr>
          <w:rFonts w:ascii="Times Roman" w:hAnsi="Times Roman"/>
          <w:rtl w:val="0"/>
          <w:lang w:val="en-US"/>
        </w:rPr>
        <w:t>performance expectancy, effort expectancy, social influence, facilitating conditions, hedonic motivation, price value, and habit</w:t>
      </w:r>
      <w:r>
        <w:rPr>
          <w:rFonts w:ascii="Times Roman" w:hAnsi="Times Roman" w:hint="default"/>
          <w:rtl w:val="0"/>
          <w:lang w:val="en-US"/>
        </w:rPr>
        <w:t>—</w:t>
      </w:r>
      <w:r>
        <w:rPr>
          <w:rFonts w:ascii="Times Roman" w:hAnsi="Times Roman"/>
          <w:rtl w:val="0"/>
          <w:lang w:val="en-US"/>
        </w:rPr>
        <w:t>directly predict behavioral intention to adopt e-banking (internet, mobile, and agent banking channels), which in turn influences actual usage behavior; these relationships are moderated by individual differences (age, gender, experience) as in the original model, while additional institutional moderators (regulative pillar: Bangladesh Bank licensing, cybersecurity mandates, and deposit insurance extensions; normative pillar: professional banking standards, Sharia-compliant digital norms, and peer/social expectations of cashless transactions; cognitive pillar: shared schemas of trust versus risk in digital platforms) are posited to strengthen or weaken core paths, particularly amplifying the effects of facilitating conditions and trust-related extensions in environments marked by institutional voids. Digital divide variables</w:t>
      </w:r>
      <w:r>
        <w:rPr>
          <w:rFonts w:ascii="Times Roman" w:hAnsi="Times Roman" w:hint="default"/>
          <w:rtl w:val="0"/>
          <w:lang w:val="en-US"/>
        </w:rPr>
        <w:t>—</w:t>
      </w:r>
      <w:r>
        <w:rPr>
          <w:rFonts w:ascii="Times Roman" w:hAnsi="Times Roman"/>
          <w:rtl w:val="0"/>
          <w:lang w:val="en-US"/>
        </w:rPr>
        <w:t>access (device/internet availability and affordability), skills (digital literacy and financial capability), and usage/outcomes (frequency and benefits realization)</w:t>
      </w:r>
      <w:r>
        <w:rPr>
          <w:rFonts w:ascii="Times Roman" w:hAnsi="Times Roman" w:hint="default"/>
          <w:rtl w:val="0"/>
          <w:lang w:val="en-US"/>
        </w:rPr>
        <w:t>—</w:t>
      </w:r>
      <w:r>
        <w:rPr>
          <w:rFonts w:ascii="Times Roman" w:hAnsi="Times Roman"/>
          <w:rtl w:val="0"/>
          <w:lang w:val="en-US"/>
        </w:rPr>
        <w:t>are incorporated as both direct predictors of intention and moderators of the intention-usage link, reflecting empirical evidence that infrastructural gaps and low literacy in rural Bangladesh attenuate performance expectancy and effort expectancy effects while exacerbating perceived risk (Sharmin et al., 2021; Mamun et al., 2017). The model further integrates perceived security/trust (as validated in Bangladesh-specific UTAUT2 extensions) and post-fraud governance perceptions as proximal antecedents, with hypotheses grounded in prior findings that performance expectancy, effort expectancy, social influence, facilitating conditions, price value, hedonic motivation, and trust significantly drive internet banking intention (explaining substantial variance via PLS-SEM), while habit shows weaker effects; gender moderates several paths, with trust and price value more salient for females (Sharmin et al., 2021). This integration addresses critiques of standalone UTAUT2 in emerging markets by embedding regulative-normative-cognitive dynamics and digital divide realities, enabling a holistic prediction of e-banking adoption that accounts for Bangladesh</w:t>
      </w:r>
      <w:r>
        <w:rPr>
          <w:rFonts w:ascii="Times Roman" w:hAnsi="Times Roman" w:hint="default"/>
          <w:rtl w:val="1"/>
        </w:rPr>
        <w:t>’</w:t>
      </w:r>
      <w:r>
        <w:rPr>
          <w:rFonts w:ascii="Times Roman" w:hAnsi="Times Roman"/>
          <w:rtl w:val="0"/>
          <w:lang w:val="en-US"/>
        </w:rPr>
        <w:t>s agent banking success (bKash/Nagad), regulatory evolution, and persistent voids, ultimately guiding policy interventions for inclusive digital finance.</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64384" behindDoc="0" locked="0" layoutInCell="1" allowOverlap="1">
            <wp:simplePos x="0" y="0"/>
            <wp:positionH relativeFrom="margin">
              <wp:posOffset>908713</wp:posOffset>
            </wp:positionH>
            <wp:positionV relativeFrom="line">
              <wp:posOffset>42698</wp:posOffset>
            </wp:positionV>
            <wp:extent cx="4289930" cy="6907596"/>
            <wp:effectExtent l="0" t="0" r="0" b="0"/>
            <wp:wrapThrough wrapText="bothSides" distL="152400" distR="152400">
              <wp:wrapPolygon edited="1">
                <wp:start x="0" y="0"/>
                <wp:lineTo x="21602" y="0"/>
                <wp:lineTo x="21602" y="21600"/>
                <wp:lineTo x="0" y="21600"/>
                <wp:lineTo x="0" y="0"/>
              </wp:wrapPolygon>
            </wp:wrapThrough>
            <wp:docPr id="107374183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7" name="pasted-movie.png" descr="pasted-movie.png"/>
                    <pic:cNvPicPr>
                      <a:picLocks noChangeAspect="1"/>
                    </pic:cNvPicPr>
                  </pic:nvPicPr>
                  <pic:blipFill>
                    <a:blip r:embed="rId13">
                      <a:extLst/>
                    </a:blip>
                    <a:stretch>
                      <a:fillRect/>
                    </a:stretch>
                  </pic:blipFill>
                  <pic:spPr>
                    <a:xfrm>
                      <a:off x="0" y="0"/>
                      <a:ext cx="4289930" cy="6907596"/>
                    </a:xfrm>
                    <a:prstGeom prst="rect">
                      <a:avLst/>
                    </a:prstGeom>
                    <a:ln w="12700" cap="flat">
                      <a:noFill/>
                      <a:miter lim="400000"/>
                    </a:ln>
                    <a:effectLst/>
                  </pic:spPr>
                </pic:pic>
              </a:graphicData>
            </a:graphic>
          </wp:anchor>
        </w:drawing>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p>
    <w:p>
      <w:pPr>
        <w:pStyle w:val="Default"/>
        <w:suppressAutoHyphens w:val="1"/>
        <w:spacing w:before="0" w:after="281"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2.4</w:t>
      </w:r>
      <w:r>
        <w:rPr>
          <w:rFonts w:ascii="Times Roman" w:hAnsi="Times Roman"/>
          <w:b w:val="1"/>
          <w:bCs w:val="1"/>
          <w:rtl w:val="0"/>
        </w:rPr>
        <w:t xml:space="preserve">: </w:t>
      </w:r>
      <w:r>
        <w:rPr>
          <w:rFonts w:ascii="Times Roman" w:hAnsi="Times Roman"/>
          <w:b w:val="0"/>
          <w:bCs w:val="0"/>
          <w:i w:val="1"/>
          <w:iCs w:val="1"/>
          <w:rtl w:val="0"/>
          <w:lang w:val="en-US"/>
        </w:rPr>
        <w:t>Proposed Integrated Conceptual Model for Bangladesh</w:t>
      </w:r>
      <w:r>
        <w:rPr>
          <w:rFonts w:ascii="Times Roman" w:hAnsi="Times Roman"/>
          <w:b w:val="0"/>
          <w:bCs w:val="0"/>
          <w:i w:val="1"/>
          <w:iCs w:val="1"/>
          <w:rtl w:val="0"/>
          <w:lang w:val="en-US"/>
        </w:rPr>
        <w:t xml:space="preserve">.  </w:t>
      </w:r>
      <w:r>
        <w:rPr>
          <w:rFonts w:ascii="Times Roman" w:hAnsi="Times Roman"/>
          <w:b w:val="1"/>
          <w:bCs w:val="1"/>
          <w:rtl w:val="0"/>
          <w:lang w:val="en-US"/>
        </w:rPr>
        <w:t>Meta-analysis of Chauhan et al. (2022),</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fr-FR"/>
        </w:rPr>
        <w:t>Figure Description (Caption):</w:t>
      </w:r>
    </w:p>
    <w:p>
      <w:pPr>
        <w:pStyle w:val="Default"/>
        <w:suppressAutoHyphens w:val="1"/>
        <w:spacing w:before="0" w:after="240" w:line="240" w:lineRule="auto"/>
        <w:jc w:val="both"/>
        <w:rPr>
          <w:rFonts w:ascii="Times Roman" w:cs="Times Roman" w:hAnsi="Times Roman" w:eastAsia="Times Roman"/>
          <w:i w:val="1"/>
          <w:iCs w:val="1"/>
        </w:rPr>
      </w:pPr>
      <w:r>
        <w:rPr>
          <w:rFonts w:ascii="Times Roman" w:hAnsi="Times Roman"/>
          <w:i w:val="1"/>
          <w:iCs w:val="1"/>
          <w:rtl w:val="0"/>
          <w:lang w:val="it-IT"/>
        </w:rPr>
        <w:t>Figure 2.</w:t>
      </w:r>
      <w:r>
        <w:rPr>
          <w:rFonts w:ascii="Times Roman" w:hAnsi="Times Roman"/>
          <w:i w:val="1"/>
          <w:iCs w:val="1"/>
          <w:rtl w:val="0"/>
          <w:lang w:val="en-US"/>
        </w:rPr>
        <w:t>4</w:t>
      </w:r>
      <w:r>
        <w:rPr>
          <w:rFonts w:ascii="Times Roman" w:hAnsi="Times Roman"/>
          <w:i w:val="1"/>
          <w:iCs w:val="1"/>
          <w:rtl w:val="0"/>
          <w:lang w:val="en-US"/>
        </w:rPr>
        <w:t>: The Proposed Integrated Conceptual Framework. This advanced model extends UTAUT2 by embedding Scott</w:t>
      </w:r>
      <w:r>
        <w:rPr>
          <w:rFonts w:ascii="Times Roman" w:hAnsi="Times Roman" w:hint="default"/>
          <w:i w:val="1"/>
          <w:iCs w:val="1"/>
          <w:rtl w:val="1"/>
        </w:rPr>
        <w:t>’</w:t>
      </w:r>
      <w:r>
        <w:rPr>
          <w:rFonts w:ascii="Times Roman" w:hAnsi="Times Roman"/>
          <w:i w:val="1"/>
          <w:iCs w:val="1"/>
          <w:rtl w:val="0"/>
          <w:lang w:val="en-US"/>
        </w:rPr>
        <w:t>s (2008) Institutional Pillars (Regulative, Normative, Cognitive) and digital divide variables (Access, Skills, Usage) to contextualize e-banking adoption amidst institutional voids and post-fraud governance dynamics specific to Bangladesh.</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2.5 Operationalization of Variables and Measurement Scales (Adapted + New Bangladesh-Specific Items)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All constructs are operationalized using multi-item scales primarily adapted from established UTAUT2 instruments (Venkatesh et al., 2012) and validated extensions in South Asian banking contexts (Rahi, 2023; Sharmin et al., 2021), measured on 7-point Likert scales (1 = Strongly Disagree to 7 = Strongly Agree) unless otherwise noted, with minor wording adaptations for cultural relevance and e-banking specificity (internet banking, mobile apps, agent banking via bKash/Nagad). Dependent variables include Behavioral Intention (e.g., </w:t>
      </w:r>
      <w:r>
        <w:rPr>
          <w:rFonts w:ascii="Times Roman" w:hAnsi="Times Roman" w:hint="default"/>
          <w:rtl w:val="1"/>
          <w:lang w:val="ar-SA" w:bidi="ar-SA"/>
        </w:rPr>
        <w:t>“</w:t>
      </w:r>
      <w:r>
        <w:rPr>
          <w:rFonts w:ascii="Times Roman" w:hAnsi="Times Roman"/>
          <w:rtl w:val="0"/>
          <w:lang w:val="en-US"/>
        </w:rPr>
        <w:t>I intend to use e-banking services in the next six months</w:t>
      </w:r>
      <w:r>
        <w:rPr>
          <w:rFonts w:ascii="Times Roman" w:hAnsi="Times Roman" w:hint="default"/>
          <w:rtl w:val="0"/>
        </w:rPr>
        <w:t>”</w:t>
      </w:r>
      <w:r>
        <w:rPr>
          <w:rFonts w:ascii="Times Roman" w:hAnsi="Times Roman"/>
          <w:rtl w:val="0"/>
          <w:lang w:val="en-US"/>
        </w:rPr>
        <w:t xml:space="preserve">; adapted from Venkatesh et al., 2012; 4 items, </w:t>
      </w:r>
      <w:r>
        <w:rPr>
          <w:rFonts w:ascii="Times Roman" w:hAnsi="Times Roman" w:hint="default"/>
          <w:rtl w:val="0"/>
        </w:rPr>
        <w:t xml:space="preserve">α </w:t>
      </w:r>
      <w:r>
        <w:rPr>
          <w:rFonts w:ascii="Times Roman" w:hAnsi="Times Roman"/>
          <w:rtl w:val="0"/>
          <w:lang w:val="en-US"/>
        </w:rPr>
        <w:t>&gt; .90 in prior studies) and Usage Behavior (self-reported frequency of transactions via app/agent/internet over the past month; 3 items). Independent UTAUT2 constructs are: Performance Expectancy (</w:t>
      </w:r>
      <w:r>
        <w:rPr>
          <w:rFonts w:ascii="Times Roman" w:hAnsi="Times Roman" w:hint="default"/>
          <w:rtl w:val="1"/>
          <w:lang w:val="ar-SA" w:bidi="ar-SA"/>
        </w:rPr>
        <w:t>“</w:t>
      </w:r>
      <w:r>
        <w:rPr>
          <w:rFonts w:ascii="Times Roman" w:hAnsi="Times Roman"/>
          <w:rtl w:val="0"/>
          <w:lang w:val="en-US"/>
        </w:rPr>
        <w:t>Using e-banking enables me to accomplish banking tasks more quickly</w:t>
      </w:r>
      <w:r>
        <w:rPr>
          <w:rFonts w:ascii="Times Roman" w:hAnsi="Times Roman" w:hint="default"/>
          <w:rtl w:val="0"/>
        </w:rPr>
        <w:t>”</w:t>
      </w:r>
      <w:r>
        <w:rPr>
          <w:rFonts w:ascii="Times Roman" w:hAnsi="Times Roman"/>
          <w:rtl w:val="0"/>
          <w:lang w:val="en-US"/>
        </w:rPr>
        <w:t>; 4 items); Effort Expectancy (</w:t>
      </w:r>
      <w:r>
        <w:rPr>
          <w:rFonts w:ascii="Times Roman" w:hAnsi="Times Roman" w:hint="default"/>
          <w:rtl w:val="1"/>
          <w:lang w:val="ar-SA" w:bidi="ar-SA"/>
        </w:rPr>
        <w:t>“</w:t>
      </w:r>
      <w:r>
        <w:rPr>
          <w:rFonts w:ascii="Times Roman" w:hAnsi="Times Roman"/>
          <w:rtl w:val="0"/>
          <w:lang w:val="en-US"/>
        </w:rPr>
        <w:t>Learning to use e-banking is easy for me</w:t>
      </w:r>
      <w:r>
        <w:rPr>
          <w:rFonts w:ascii="Times Roman" w:hAnsi="Times Roman" w:hint="default"/>
          <w:rtl w:val="0"/>
        </w:rPr>
        <w:t>”</w:t>
      </w:r>
      <w:r>
        <w:rPr>
          <w:rFonts w:ascii="Times Roman" w:hAnsi="Times Roman"/>
          <w:rtl w:val="0"/>
          <w:lang w:val="en-US"/>
        </w:rPr>
        <w:t>; 4 items); Social Influence (</w:t>
      </w:r>
      <w:r>
        <w:rPr>
          <w:rFonts w:ascii="Times Roman" w:hAnsi="Times Roman" w:hint="default"/>
          <w:rtl w:val="1"/>
          <w:lang w:val="ar-SA" w:bidi="ar-SA"/>
        </w:rPr>
        <w:t>“</w:t>
      </w:r>
      <w:r>
        <w:rPr>
          <w:rFonts w:ascii="Times Roman" w:hAnsi="Times Roman"/>
          <w:rtl w:val="0"/>
          <w:lang w:val="en-US"/>
        </w:rPr>
        <w:t>People who are important to me think I should use e-banking</w:t>
      </w:r>
      <w:r>
        <w:rPr>
          <w:rFonts w:ascii="Times Roman" w:hAnsi="Times Roman" w:hint="default"/>
          <w:rtl w:val="0"/>
        </w:rPr>
        <w:t>”</w:t>
      </w:r>
      <w:r>
        <w:rPr>
          <w:rFonts w:ascii="Times Roman" w:hAnsi="Times Roman"/>
          <w:rtl w:val="0"/>
          <w:lang w:val="en-US"/>
        </w:rPr>
        <w:t>; 3 items); Facilitating Conditions (</w:t>
      </w:r>
      <w:r>
        <w:rPr>
          <w:rFonts w:ascii="Times Roman" w:hAnsi="Times Roman" w:hint="default"/>
          <w:rtl w:val="1"/>
          <w:lang w:val="ar-SA" w:bidi="ar-SA"/>
        </w:rPr>
        <w:t>“</w:t>
      </w:r>
      <w:r>
        <w:rPr>
          <w:rFonts w:ascii="Times Roman" w:hAnsi="Times Roman"/>
          <w:rtl w:val="0"/>
          <w:lang w:val="en-US"/>
        </w:rPr>
        <w:t>I have the resources necessary to use e-banking</w:t>
      </w:r>
      <w:r>
        <w:rPr>
          <w:rFonts w:ascii="Times Roman" w:hAnsi="Times Roman" w:hint="default"/>
          <w:rtl w:val="0"/>
        </w:rPr>
        <w:t>”</w:t>
      </w:r>
      <w:r>
        <w:rPr>
          <w:rFonts w:ascii="Times Roman" w:hAnsi="Times Roman"/>
          <w:rtl w:val="0"/>
          <w:lang w:val="en-US"/>
        </w:rPr>
        <w:t>; 4 items); Hedonic Motivation (</w:t>
      </w:r>
      <w:r>
        <w:rPr>
          <w:rFonts w:ascii="Times Roman" w:hAnsi="Times Roman" w:hint="default"/>
          <w:rtl w:val="1"/>
          <w:lang w:val="ar-SA" w:bidi="ar-SA"/>
        </w:rPr>
        <w:t>“</w:t>
      </w:r>
      <w:r>
        <w:rPr>
          <w:rFonts w:ascii="Times Roman" w:hAnsi="Times Roman"/>
          <w:rtl w:val="0"/>
          <w:lang w:val="en-US"/>
        </w:rPr>
        <w:t>Using e-banking is enjoyable</w:t>
      </w:r>
      <w:r>
        <w:rPr>
          <w:rFonts w:ascii="Times Roman" w:hAnsi="Times Roman" w:hint="default"/>
          <w:rtl w:val="0"/>
        </w:rPr>
        <w:t>”</w:t>
      </w:r>
      <w:r>
        <w:rPr>
          <w:rFonts w:ascii="Times Roman" w:hAnsi="Times Roman"/>
          <w:rtl w:val="0"/>
          <w:lang w:val="en-US"/>
        </w:rPr>
        <w:t>; 3 items); Price Value (</w:t>
      </w:r>
      <w:r>
        <w:rPr>
          <w:rFonts w:ascii="Times Roman" w:hAnsi="Times Roman" w:hint="default"/>
          <w:rtl w:val="1"/>
          <w:lang w:val="ar-SA" w:bidi="ar-SA"/>
        </w:rPr>
        <w:t>“</w:t>
      </w:r>
      <w:r>
        <w:rPr>
          <w:rFonts w:ascii="Times Roman" w:hAnsi="Times Roman"/>
          <w:rtl w:val="0"/>
          <w:lang w:val="en-US"/>
        </w:rPr>
        <w:t>The cost of using e-banking is reasonable relative to benefits</w:t>
      </w:r>
      <w:r>
        <w:rPr>
          <w:rFonts w:ascii="Times Roman" w:hAnsi="Times Roman" w:hint="default"/>
          <w:rtl w:val="0"/>
        </w:rPr>
        <w:t>”</w:t>
      </w:r>
      <w:r>
        <w:rPr>
          <w:rFonts w:ascii="Times Roman" w:hAnsi="Times Roman"/>
          <w:rtl w:val="0"/>
          <w:lang w:val="en-US"/>
        </w:rPr>
        <w:t>; 3 items); and Habit (</w:t>
      </w:r>
      <w:r>
        <w:rPr>
          <w:rFonts w:ascii="Times Roman" w:hAnsi="Times Roman" w:hint="default"/>
          <w:rtl w:val="1"/>
          <w:lang w:val="ar-SA" w:bidi="ar-SA"/>
        </w:rPr>
        <w:t>“</w:t>
      </w:r>
      <w:r>
        <w:rPr>
          <w:rFonts w:ascii="Times Roman" w:hAnsi="Times Roman"/>
          <w:rtl w:val="0"/>
          <w:lang w:val="en-US"/>
        </w:rPr>
        <w:t>Using e-banking has become a habit for me</w:t>
      </w:r>
      <w:r>
        <w:rPr>
          <w:rFonts w:ascii="Times Roman" w:hAnsi="Times Roman" w:hint="default"/>
          <w:rtl w:val="0"/>
        </w:rPr>
        <w:t>”</w:t>
      </w:r>
      <w:r>
        <w:rPr>
          <w:rFonts w:ascii="Times Roman" w:hAnsi="Times Roman"/>
          <w:rtl w:val="0"/>
          <w:lang w:val="en-US"/>
        </w:rPr>
        <w:t>; 3 items). Institutional/Governance Moderators operationalize Scott</w:t>
      </w:r>
      <w:r>
        <w:rPr>
          <w:rFonts w:ascii="Times Roman" w:hAnsi="Times Roman" w:hint="default"/>
          <w:rtl w:val="1"/>
        </w:rPr>
        <w:t>’</w:t>
      </w:r>
      <w:r>
        <w:rPr>
          <w:rFonts w:ascii="Times Roman" w:hAnsi="Times Roman"/>
          <w:rtl w:val="0"/>
          <w:lang w:val="en-US"/>
        </w:rPr>
        <w:t xml:space="preserve">s (2008) pillars with new Bangladesh-specific items: Regulative Pillar (e.g., </w:t>
      </w:r>
      <w:r>
        <w:rPr>
          <w:rFonts w:ascii="Times Roman" w:hAnsi="Times Roman" w:hint="default"/>
          <w:rtl w:val="1"/>
          <w:lang w:val="ar-SA" w:bidi="ar-SA"/>
        </w:rPr>
        <w:t>“</w:t>
      </w:r>
      <w:r>
        <w:rPr>
          <w:rFonts w:ascii="Times Roman" w:hAnsi="Times Roman"/>
          <w:rtl w:val="0"/>
          <w:lang w:val="de-DE"/>
        </w:rPr>
        <w:t>Bangladesh Bank</w:t>
      </w:r>
      <w:r>
        <w:rPr>
          <w:rFonts w:ascii="Times Roman" w:hAnsi="Times Roman" w:hint="default"/>
          <w:rtl w:val="1"/>
        </w:rPr>
        <w:t>’</w:t>
      </w:r>
      <w:r>
        <w:rPr>
          <w:rFonts w:ascii="Times Roman" w:hAnsi="Times Roman"/>
          <w:rtl w:val="0"/>
          <w:lang w:val="en-US"/>
        </w:rPr>
        <w:t>s cybersecurity regulations make e-banking safe</w:t>
      </w:r>
      <w:r>
        <w:rPr>
          <w:rFonts w:ascii="Times Roman" w:hAnsi="Times Roman" w:hint="default"/>
          <w:rtl w:val="0"/>
        </w:rPr>
        <w:t>”</w:t>
      </w:r>
      <w:r>
        <w:rPr>
          <w:rFonts w:ascii="Times Roman" w:hAnsi="Times Roman"/>
          <w:rtl w:val="0"/>
          <w:lang w:val="en-US"/>
        </w:rPr>
        <w:t xml:space="preserve">; 4 items, new + adapted from governance scales); Normative Pillar (e.g., </w:t>
      </w:r>
      <w:r>
        <w:rPr>
          <w:rFonts w:ascii="Times Roman" w:hAnsi="Times Roman" w:hint="default"/>
          <w:rtl w:val="1"/>
          <w:lang w:val="ar-SA" w:bidi="ar-SA"/>
        </w:rPr>
        <w:t>“</w:t>
      </w:r>
      <w:r>
        <w:rPr>
          <w:rFonts w:ascii="Times Roman" w:hAnsi="Times Roman"/>
          <w:rtl w:val="0"/>
          <w:lang w:val="en-US"/>
        </w:rPr>
        <w:t>My family and community encourage digital transactions over cash</w:t>
      </w:r>
      <w:r>
        <w:rPr>
          <w:rFonts w:ascii="Times Roman" w:hAnsi="Times Roman" w:hint="default"/>
          <w:rtl w:val="0"/>
        </w:rPr>
        <w:t>”</w:t>
      </w:r>
      <w:r>
        <w:rPr>
          <w:rFonts w:ascii="Times Roman" w:hAnsi="Times Roman"/>
          <w:rtl w:val="0"/>
          <w:lang w:val="en-US"/>
        </w:rPr>
        <w:t xml:space="preserve">; 3 items); Cognitive Pillar (e.g., </w:t>
      </w:r>
      <w:r>
        <w:rPr>
          <w:rFonts w:ascii="Times Roman" w:hAnsi="Times Roman" w:hint="default"/>
          <w:rtl w:val="1"/>
          <w:lang w:val="ar-SA" w:bidi="ar-SA"/>
        </w:rPr>
        <w:t>“</w:t>
      </w:r>
      <w:r>
        <w:rPr>
          <w:rFonts w:ascii="Times Roman" w:hAnsi="Times Roman"/>
          <w:rtl w:val="0"/>
          <w:lang w:val="en-US"/>
        </w:rPr>
        <w:t>I believe e-banking platforms are reliable and trustworthy</w:t>
      </w:r>
      <w:r>
        <w:rPr>
          <w:rFonts w:ascii="Times Roman" w:hAnsi="Times Roman" w:hint="default"/>
          <w:rtl w:val="0"/>
        </w:rPr>
        <w:t>”</w:t>
      </w:r>
      <w:r>
        <w:rPr>
          <w:rFonts w:ascii="Times Roman" w:hAnsi="Times Roman"/>
          <w:rtl w:val="0"/>
          <w:lang w:val="en-US"/>
        </w:rPr>
        <w:t xml:space="preserve">; 3 items). Digital Divide Variables draw from access-skills-usage frameworks: Access (e.g., </w:t>
      </w:r>
      <w:r>
        <w:rPr>
          <w:rFonts w:ascii="Times Roman" w:hAnsi="Times Roman" w:hint="default"/>
          <w:rtl w:val="1"/>
          <w:lang w:val="ar-SA" w:bidi="ar-SA"/>
        </w:rPr>
        <w:t>“</w:t>
      </w:r>
      <w:r>
        <w:rPr>
          <w:rFonts w:ascii="Times Roman" w:hAnsi="Times Roman"/>
          <w:rtl w:val="0"/>
          <w:lang w:val="en-US"/>
        </w:rPr>
        <w:t>I have reliable internet/smartphone access for e-banking</w:t>
      </w:r>
      <w:r>
        <w:rPr>
          <w:rFonts w:ascii="Times Roman" w:hAnsi="Times Roman" w:hint="default"/>
          <w:rtl w:val="0"/>
        </w:rPr>
        <w:t>”</w:t>
      </w:r>
      <w:r>
        <w:rPr>
          <w:rFonts w:ascii="Times Roman" w:hAnsi="Times Roman"/>
          <w:rtl w:val="0"/>
          <w:lang w:val="en-US"/>
        </w:rPr>
        <w:t xml:space="preserve">; 3 items, new for rural Bangladesh); Skills (e.g., </w:t>
      </w:r>
      <w:r>
        <w:rPr>
          <w:rFonts w:ascii="Times Roman" w:hAnsi="Times Roman" w:hint="default"/>
          <w:rtl w:val="1"/>
          <w:lang w:val="ar-SA" w:bidi="ar-SA"/>
        </w:rPr>
        <w:t>“</w:t>
      </w:r>
      <w:r>
        <w:rPr>
          <w:rFonts w:ascii="Times Roman" w:hAnsi="Times Roman"/>
          <w:rtl w:val="0"/>
          <w:lang w:val="en-US"/>
        </w:rPr>
        <w:t>I am confident in performing digital transactions without help</w:t>
      </w:r>
      <w:r>
        <w:rPr>
          <w:rFonts w:ascii="Times Roman" w:hAnsi="Times Roman" w:hint="default"/>
          <w:rtl w:val="0"/>
        </w:rPr>
        <w:t>”</w:t>
      </w:r>
      <w:r>
        <w:rPr>
          <w:rFonts w:ascii="Times Roman" w:hAnsi="Times Roman"/>
          <w:rtl w:val="0"/>
          <w:lang w:val="en-US"/>
        </w:rPr>
        <w:t xml:space="preserve">; 4 items, adapted from digital literacy scales); and Usage/Outcomes (e.g., </w:t>
      </w:r>
      <w:r>
        <w:rPr>
          <w:rFonts w:ascii="Times Roman" w:hAnsi="Times Roman" w:hint="default"/>
          <w:rtl w:val="1"/>
          <w:lang w:val="ar-SA" w:bidi="ar-SA"/>
        </w:rPr>
        <w:t>“</w:t>
      </w:r>
      <w:r>
        <w:rPr>
          <w:rFonts w:ascii="Times Roman" w:hAnsi="Times Roman"/>
          <w:rtl w:val="0"/>
          <w:lang w:val="en-US"/>
        </w:rPr>
        <w:t>E-banking has improved my financial management</w:t>
      </w:r>
      <w:r>
        <w:rPr>
          <w:rFonts w:ascii="Times Roman" w:hAnsi="Times Roman" w:hint="default"/>
          <w:rtl w:val="0"/>
        </w:rPr>
        <w:t>”</w:t>
      </w:r>
      <w:r>
        <w:rPr>
          <w:rFonts w:ascii="Times Roman" w:hAnsi="Times Roman"/>
          <w:rtl w:val="0"/>
          <w:lang w:val="en-US"/>
        </w:rPr>
        <w:t xml:space="preserve">; 3 items). Additional constructs include Perceived Security/Trust (e.g., </w:t>
      </w:r>
      <w:r>
        <w:rPr>
          <w:rFonts w:ascii="Times Roman" w:hAnsi="Times Roman" w:hint="default"/>
          <w:rtl w:val="1"/>
          <w:lang w:val="ar-SA" w:bidi="ar-SA"/>
        </w:rPr>
        <w:t>“</w:t>
      </w:r>
      <w:r>
        <w:rPr>
          <w:rFonts w:ascii="Times Roman" w:hAnsi="Times Roman"/>
          <w:rtl w:val="0"/>
          <w:lang w:val="en-US"/>
        </w:rPr>
        <w:t>I feel secure conducting transactions via bKash or bank apps</w:t>
      </w:r>
      <w:r>
        <w:rPr>
          <w:rFonts w:ascii="Times Roman" w:hAnsi="Times Roman" w:hint="default"/>
          <w:rtl w:val="0"/>
        </w:rPr>
        <w:t>”</w:t>
      </w:r>
      <w:r>
        <w:rPr>
          <w:rFonts w:ascii="Times Roman" w:hAnsi="Times Roman"/>
          <w:rtl w:val="0"/>
          <w:lang w:val="en-US"/>
        </w:rPr>
        <w:t xml:space="preserve">; 4 items, adapted from Sharmin et al., 2021) and Post-Fraud Governance Perception (new: </w:t>
      </w:r>
      <w:r>
        <w:rPr>
          <w:rFonts w:ascii="Times Roman" w:hAnsi="Times Roman" w:hint="default"/>
          <w:rtl w:val="1"/>
          <w:lang w:val="ar-SA" w:bidi="ar-SA"/>
        </w:rPr>
        <w:t>“</w:t>
      </w:r>
      <w:r>
        <w:rPr>
          <w:rFonts w:ascii="Times Roman" w:hAnsi="Times Roman"/>
          <w:rtl w:val="0"/>
          <w:lang w:val="en-US"/>
        </w:rPr>
        <w:t>Recent fraud incidents have reduced my trust, but Bangladesh Bank redressal mechanisms restore it</w:t>
      </w:r>
      <w:r>
        <w:rPr>
          <w:rFonts w:ascii="Times Roman" w:hAnsi="Times Roman" w:hint="default"/>
          <w:rtl w:val="0"/>
        </w:rPr>
        <w:t>”</w:t>
      </w:r>
      <w:r>
        <w:rPr>
          <w:rFonts w:ascii="Times Roman" w:hAnsi="Times Roman"/>
          <w:rtl w:val="0"/>
          <w:lang w:val="en-US"/>
        </w:rPr>
        <w:t>; 3 items). All scales undergo pilot testing (n=50) for reliability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 xml:space="preserve">α </w:t>
      </w:r>
      <w:r>
        <w:rPr>
          <w:rFonts w:ascii="Times Roman" w:hAnsi="Times Roman"/>
          <w:rtl w:val="0"/>
          <w:lang w:val="en-US"/>
        </w:rPr>
        <w:t>&gt; .70) and validity (factor loadings &gt; .70, AVE &gt; .50) in the Bangladesh context, with back-translation for linguistic accuracy. Control variables encompass age, gender, education, income, location (urban/rural), and prior e-banking experience. This operationalization ensures rigorous measurement while incorporating context-specific nuances</w:t>
      </w:r>
      <w:r>
        <w:rPr>
          <w:rFonts w:ascii="Times Roman" w:hAnsi="Times Roman" w:hint="default"/>
          <w:rtl w:val="0"/>
          <w:lang w:val="en-US"/>
        </w:rPr>
        <w:t>—</w:t>
      </w:r>
      <w:r>
        <w:rPr>
          <w:rFonts w:ascii="Times Roman" w:hAnsi="Times Roman"/>
          <w:rtl w:val="0"/>
          <w:lang w:val="en-US"/>
        </w:rPr>
        <w:t>such as agent banking trust, SIM-swap fears, and regulatory awareness</w:t>
      </w:r>
      <w:r>
        <w:rPr>
          <w:rFonts w:ascii="Times Roman" w:hAnsi="Times Roman" w:hint="default"/>
          <w:rtl w:val="0"/>
          <w:lang w:val="en-US"/>
        </w:rPr>
        <w:t>—</w:t>
      </w:r>
      <w:r>
        <w:rPr>
          <w:rFonts w:ascii="Times Roman" w:hAnsi="Times Roman"/>
          <w:rtl w:val="0"/>
          <w:lang w:val="en-US"/>
        </w:rPr>
        <w:t>enhancing the model</w:t>
      </w:r>
      <w:r>
        <w:rPr>
          <w:rFonts w:ascii="Times Roman" w:hAnsi="Times Roman" w:hint="default"/>
          <w:rtl w:val="1"/>
        </w:rPr>
        <w:t>’</w:t>
      </w:r>
      <w:r>
        <w:rPr>
          <w:rFonts w:ascii="Times Roman" w:hAnsi="Times Roman"/>
          <w:rtl w:val="0"/>
          <w:lang w:val="en-US"/>
        </w:rPr>
        <w:t>s applicability for empirical testing via structural equation modeling in subsequent chapters.</w:t>
      </w:r>
    </w:p>
    <w:p>
      <w:pPr>
        <w:pStyle w:val="Default"/>
        <w:tabs>
          <w:tab w:val="left" w:pos="220"/>
          <w:tab w:val="left" w:pos="720"/>
        </w:tabs>
        <w:suppressAutoHyphens w:val="1"/>
        <w:spacing w:before="0" w:line="240" w:lineRule="auto"/>
        <w:ind w:left="720" w:hanging="720"/>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2.6 Cross-Cultural and Contextual Validation of Technology Acceptance Theories in South Asian Emerging Economies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Technology acceptance theories, particularly the Technology Acceptance Model (TAM) and its extensions (TAM2/TAM3) alongside the Unified Theory of Acceptance and Use of Technology (UTAUT and UTAUT2), have undergone extensive cross-cultural validation in South Asian emerging economies, revealing both robust generalizability of core constructs and significant contextual adaptations necessitated by cultural dimensions (e.g., high collectivism, power distance, and uncertainty avoidance per Hofstede</w:t>
      </w:r>
      <w:r>
        <w:rPr>
          <w:rFonts w:ascii="Times Roman" w:hAnsi="Times Roman" w:hint="default"/>
          <w:rtl w:val="1"/>
        </w:rPr>
        <w:t>’</w:t>
      </w:r>
      <w:r>
        <w:rPr>
          <w:rFonts w:ascii="Times Roman" w:hAnsi="Times Roman"/>
          <w:rtl w:val="0"/>
          <w:lang w:val="en-US"/>
        </w:rPr>
        <w:t>s framework), infrastructural heterogeneity, and institutional realities distinct from Western origins. In India, Chauhan et al. (2022) extended UTAUT2 with consumer innovativeness, perceived risk, and security information availability, finding that performance expectancy and effort expectancy remain dominant predictors of e-banking adoption while social influence gains amplified strength due to collectivist norms and family-oriented decision-making; the study reported strong model fit (R</w:t>
      </w:r>
      <w:r>
        <w:rPr>
          <w:rFonts w:ascii="Times Roman" w:hAnsi="Times Roman" w:hint="default"/>
          <w:rtl w:val="0"/>
        </w:rPr>
        <w:t xml:space="preserve">² </w:t>
      </w:r>
      <w:r>
        <w:rPr>
          <w:rFonts w:ascii="Times Roman" w:hAnsi="Times Roman"/>
          <w:rtl w:val="0"/>
          <w:lang w:val="en-US"/>
        </w:rPr>
        <w:t>&gt; .65 for behavioral intention) yet noted that facilitating conditions weaken in semi-urban areas with inconsistent digital infrastructure, underscoring the need for interoperability features akin to UPI that reduce complexity and enhance observability as per Rogers</w:t>
      </w:r>
      <w:r>
        <w:rPr>
          <w:rFonts w:ascii="Times Roman" w:hAnsi="Times Roman" w:hint="default"/>
          <w:rtl w:val="1"/>
        </w:rPr>
        <w:t xml:space="preserve">’ </w:t>
      </w:r>
      <w:r>
        <w:rPr>
          <w:rFonts w:ascii="Times Roman" w:hAnsi="Times Roman"/>
          <w:rtl w:val="0"/>
          <w:lang w:val="en-US"/>
        </w:rPr>
        <w:t>(2003) Diffusion of Innovations attributes. Pakistan-based validations, such as Abid (2023) and Rahi (2023), confirm UTAUT2</w:t>
      </w:r>
      <w:r>
        <w:rPr>
          <w:rFonts w:ascii="Times Roman" w:hAnsi="Times Roman" w:hint="default"/>
          <w:rtl w:val="1"/>
        </w:rPr>
        <w:t>’</w:t>
      </w:r>
      <w:r>
        <w:rPr>
          <w:rFonts w:ascii="Times Roman" w:hAnsi="Times Roman"/>
          <w:rtl w:val="0"/>
          <w:lang w:val="en-US"/>
        </w:rPr>
        <w:t>s explanatory power (up to 80% variance in intention when integrated with e-service quality dimensions like assurance and reliability), with price value and habit emerging as salient in price-sensitive markets, but habit effects diminish among low-experience users</w:t>
      </w:r>
      <w:r>
        <w:rPr>
          <w:rFonts w:ascii="Times Roman" w:hAnsi="Times Roman" w:hint="default"/>
          <w:rtl w:val="0"/>
          <w:lang w:val="en-US"/>
        </w:rPr>
        <w:t>—</w:t>
      </w:r>
      <w:r>
        <w:rPr>
          <w:rFonts w:ascii="Times Roman" w:hAnsi="Times Roman"/>
          <w:rtl w:val="0"/>
          <w:lang w:val="en-US"/>
        </w:rPr>
        <w:t xml:space="preserve">a pattern attributed to digital divide barriers and post-fraud skepticism that Institutional Theory (Scott, 2008) explains through regulative voids in enforcement and cognitive-cultural mistrust of digital platforms. Bangladesh-specific applications, including Sharmin et al. (2021), validate UTAUT2 extensions incorporating perceived technology security and trust, demonstrating significant paths from performance expectancy, effort expectancy, social influence, facilitating conditions, price value, and hedonic motivation to internet banking intention among 280 respondents, while habit proved insignificant and gender moderated trust and price value pathways (stronger for females), reflecting normative pressures and cognitive schemas around financial risk in a context of recent cyber incidents and high agent banking reliance (bKash/Nagad). Broader South Asian and cross-cultural studies (e.g., Merhi et al., 2019, comparing Lebanese and British consumers) highlight that security, privacy, and trust extensions consistently improve predictive validity in high-uncertainty-avoidance cultures, where perceived risk negatively moderates intention-to-use links more than in low-uncertainty contexts; however, critiques from systematic reviews (Bashir et al., 2023) note that original UTAUT2 underperforms without cultural moderators, as social influence and normative pillars exert outsized effects in collectivist societies while cognitive-cultural frames (e.g., preference for cash or interpersonal trust) attenuate habit formation. </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Diffusion of Innovations Theory complements these validations by explaining differential adoption rates</w:t>
      </w:r>
      <w:r>
        <w:rPr>
          <w:rFonts w:ascii="Times Roman" w:hAnsi="Times Roman" w:hint="default"/>
          <w:rtl w:val="0"/>
          <w:lang w:val="en-US"/>
        </w:rPr>
        <w:t>—</w:t>
      </w:r>
      <w:r>
        <w:rPr>
          <w:rFonts w:ascii="Times Roman" w:hAnsi="Times Roman"/>
          <w:rtl w:val="0"/>
          <w:lang w:val="it-IT"/>
        </w:rPr>
        <w:t>India</w:t>
      </w:r>
      <w:r>
        <w:rPr>
          <w:rFonts w:ascii="Times Roman" w:hAnsi="Times Roman" w:hint="default"/>
          <w:rtl w:val="1"/>
        </w:rPr>
        <w:t>’</w:t>
      </w:r>
      <w:r>
        <w:rPr>
          <w:rFonts w:ascii="Times Roman" w:hAnsi="Times Roman"/>
          <w:rtl w:val="0"/>
          <w:lang w:val="en-US"/>
        </w:rPr>
        <w:t>s rapid UPI diffusion via relative advantage and trialability contrasts with slower Nepalese or Sri Lankan patterns constrained by access divides</w:t>
      </w:r>
      <w:r>
        <w:rPr>
          <w:rFonts w:ascii="Times Roman" w:hAnsi="Times Roman" w:hint="default"/>
          <w:rtl w:val="0"/>
          <w:lang w:val="en-US"/>
        </w:rPr>
        <w:t>—</w:t>
      </w:r>
      <w:r>
        <w:rPr>
          <w:rFonts w:ascii="Times Roman" w:hAnsi="Times Roman"/>
          <w:rtl w:val="0"/>
          <w:lang w:val="en-US"/>
        </w:rPr>
        <w:t>while Institutional Theory</w:t>
      </w:r>
      <w:r>
        <w:rPr>
          <w:rFonts w:ascii="Times Roman" w:hAnsi="Times Roman" w:hint="default"/>
          <w:rtl w:val="1"/>
        </w:rPr>
        <w:t>’</w:t>
      </w:r>
      <w:r>
        <w:rPr>
          <w:rFonts w:ascii="Times Roman" w:hAnsi="Times Roman"/>
          <w:rtl w:val="0"/>
          <w:lang w:val="en-US"/>
        </w:rPr>
        <w:t>s regulative-normative-cognitive pillars elucidate why regulatory sandboxes in India and Bangladesh accelerate isomorphic adoption yet leave voids that perpetuate rural laggard categories (Rogers, 2003; Scott, 2008). Collectively, these validations affirm the theories</w:t>
      </w:r>
      <w:r>
        <w:rPr>
          <w:rFonts w:ascii="Times Roman" w:hAnsi="Times Roman" w:hint="default"/>
          <w:rtl w:val="1"/>
        </w:rPr>
        <w:t xml:space="preserve">’ </w:t>
      </w:r>
      <w:r>
        <w:rPr>
          <w:rFonts w:ascii="Times Roman" w:hAnsi="Times Roman"/>
          <w:rtl w:val="0"/>
          <w:lang w:val="en-US"/>
        </w:rPr>
        <w:t>utility in South Asia when extended for trust/security, digital divide variables, and institutional moderators, yet reveal that uncritical application risks overlooking context-specific effect sizes and boundary conditions, thereby justifying the proposed integrated model for Bangladesh.</w:t>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r>
        <w:rPr>
          <w:rFonts w:ascii="Times Roman" w:cs="Times Roman" w:hAnsi="Times Roman" w:eastAsia="Times Roman"/>
          <w:b w:val="1"/>
          <w:bCs w:val="1"/>
          <w:sz w:val="28"/>
          <w:szCs w:val="28"/>
        </w:rPr>
        <w:drawing xmlns:a="http://schemas.openxmlformats.org/drawingml/2006/main">
          <wp:anchor distT="152400" distB="152400" distL="152400" distR="152400" simplePos="0" relativeHeight="251666432" behindDoc="0" locked="0" layoutInCell="1" allowOverlap="1">
            <wp:simplePos x="0" y="0"/>
            <wp:positionH relativeFrom="margin">
              <wp:posOffset>944613</wp:posOffset>
            </wp:positionH>
            <wp:positionV relativeFrom="line">
              <wp:posOffset>0</wp:posOffset>
            </wp:positionV>
            <wp:extent cx="4218130" cy="4473602"/>
            <wp:effectExtent l="0" t="0" r="0" b="0"/>
            <wp:wrapThrough wrapText="bothSides" distL="152400" distR="152400">
              <wp:wrapPolygon edited="1">
                <wp:start x="0" y="0"/>
                <wp:lineTo x="21600" y="0"/>
                <wp:lineTo x="21600" y="21600"/>
                <wp:lineTo x="0" y="21600"/>
                <wp:lineTo x="0" y="0"/>
              </wp:wrapPolygon>
            </wp:wrapThrough>
            <wp:docPr id="107374183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8" name="pasted-movie.png" descr="pasted-movie.png"/>
                    <pic:cNvPicPr>
                      <a:picLocks noChangeAspect="1"/>
                    </pic:cNvPicPr>
                  </pic:nvPicPr>
                  <pic:blipFill>
                    <a:blip r:embed="rId14">
                      <a:extLst/>
                    </a:blip>
                    <a:stretch>
                      <a:fillRect/>
                    </a:stretch>
                  </pic:blipFill>
                  <pic:spPr>
                    <a:xfrm>
                      <a:off x="0" y="0"/>
                      <a:ext cx="4218130" cy="4473602"/>
                    </a:xfrm>
                    <a:prstGeom prst="rect">
                      <a:avLst/>
                    </a:prstGeom>
                    <a:ln w="12700" cap="flat">
                      <a:noFill/>
                      <a:miter lim="400000"/>
                    </a:ln>
                    <a:effectLst/>
                  </pic:spPr>
                </pic:pic>
              </a:graphicData>
            </a:graphic>
          </wp:anchor>
        </w:drawing>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rPr>
      </w:pPr>
      <w:r>
        <w:rPr>
          <w:rFonts w:ascii="Times Roman" w:hAnsi="Times Roman"/>
          <w:b w:val="1"/>
          <w:bCs w:val="1"/>
          <w:rtl w:val="0"/>
          <w:lang w:val="it-IT"/>
        </w:rPr>
        <w:t>Figure 2.</w:t>
      </w:r>
      <w:r>
        <w:rPr>
          <w:rFonts w:ascii="Times Roman" w:hAnsi="Times Roman"/>
          <w:b w:val="1"/>
          <w:bCs w:val="1"/>
          <w:rtl w:val="0"/>
          <w:lang w:val="en-US"/>
        </w:rPr>
        <w:t xml:space="preserve">6: </w:t>
      </w:r>
      <w:r>
        <w:rPr>
          <w:rFonts w:ascii="Times Roman" w:hAnsi="Times Roman"/>
          <w:i w:val="1"/>
          <w:iCs w:val="1"/>
          <w:rtl w:val="0"/>
          <w:lang w:val="nl-NL"/>
        </w:rPr>
        <w:t>Rogers</w:t>
      </w:r>
      <w:r>
        <w:rPr>
          <w:rFonts w:ascii="Times Roman" w:hAnsi="Times Roman" w:hint="default"/>
          <w:i w:val="1"/>
          <w:iCs w:val="1"/>
          <w:rtl w:val="1"/>
        </w:rPr>
        <w:t xml:space="preserve">’ </w:t>
      </w:r>
      <w:r>
        <w:rPr>
          <w:rFonts w:ascii="Times Roman" w:hAnsi="Times Roman"/>
          <w:i w:val="1"/>
          <w:iCs w:val="1"/>
          <w:rtl w:val="0"/>
          <w:lang w:val="en-US"/>
        </w:rPr>
        <w:t>(2003) Diffusion of Innovations Adopter Categories and Implications for Bangladesh</w:t>
      </w:r>
      <w:r>
        <w:rPr>
          <w:rFonts w:ascii="Times Roman" w:hAnsi="Times Roman" w:hint="default"/>
          <w:i w:val="1"/>
          <w:iCs w:val="1"/>
          <w:rtl w:val="1"/>
        </w:rPr>
        <w:t>’</w:t>
      </w:r>
      <w:r>
        <w:rPr>
          <w:rFonts w:ascii="Times Roman" w:hAnsi="Times Roman"/>
          <w:i w:val="1"/>
          <w:iCs w:val="1"/>
          <w:rtl w:val="0"/>
          <w:lang w:val="en-US"/>
        </w:rPr>
        <w:t>s E-Banking Landscape.</w:t>
      </w:r>
      <w:r>
        <w:rPr>
          <w:rFonts w:ascii="Times Roman" w:hAnsi="Times Roman"/>
          <w:rtl w:val="0"/>
        </w:rPr>
        <w:t xml:space="preserve"> </w:t>
      </w:r>
    </w:p>
    <w:p>
      <w:pPr>
        <w:pStyle w:val="Default"/>
        <w:suppressAutoHyphens w:val="1"/>
        <w:spacing w:before="0" w:after="240" w:line="240" w:lineRule="auto"/>
        <w:jc w:val="center"/>
        <w:rPr>
          <w:rFonts w:ascii="Times Roman" w:cs="Times Roman" w:hAnsi="Times Roman" w:eastAsia="Times Roman"/>
          <w:b w:val="1"/>
          <w:bCs w:val="1"/>
        </w:rPr>
      </w:pPr>
      <w:r>
        <w:rPr>
          <w:rFonts w:ascii="Times Roman" w:hAnsi="Times Roman"/>
          <w:b w:val="1"/>
          <w:bCs w:val="1"/>
          <w:rtl w:val="0"/>
          <w:lang w:val="en-US"/>
        </w:rPr>
        <w:t>Rogers (2003) and Bangladesh-specific adaptations.</w:t>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2.7 Theoretical Contributions Expected from the Study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study is expected to make several substantive theoretical contributions by advancing the integration of technology acceptance frameworks with institutional and contextual perspectives in emerging market settings, thereby addressing identified gaps in cross-cultural validation literature. First, it extends UTAUT2 (Venkatesh et al., 2012) by embedding Scott</w:t>
      </w:r>
      <w:r>
        <w:rPr>
          <w:rFonts w:ascii="Times Roman" w:hAnsi="Times Roman" w:hint="default"/>
          <w:rtl w:val="1"/>
        </w:rPr>
        <w:t>’</w:t>
      </w:r>
      <w:r>
        <w:rPr>
          <w:rFonts w:ascii="Times Roman" w:hAnsi="Times Roman"/>
          <w:rtl w:val="0"/>
          <w:lang w:val="en-US"/>
        </w:rPr>
        <w:t>s (2008) regulative, normative, and cognitive pillars as multi-dimensional moderators and digital divide variables (access, skills, usage/outcomes) as direct predictors and moderators, creating a multi-level model that bridges micro-level individual cognitions with macro-level institutional dynamics</w:t>
      </w:r>
      <w:r>
        <w:rPr>
          <w:rFonts w:ascii="Times Roman" w:hAnsi="Times Roman" w:hint="default"/>
          <w:rtl w:val="0"/>
          <w:lang w:val="en-US"/>
        </w:rPr>
        <w:t>—</w:t>
      </w:r>
      <w:r>
        <w:rPr>
          <w:rFonts w:ascii="Times Roman" w:hAnsi="Times Roman"/>
          <w:rtl w:val="0"/>
          <w:lang w:val="en-US"/>
        </w:rPr>
        <w:t>an integration rarely tested holistically in South Asia and offering a more comprehensive explanation of variance in e-banking adoption beyond the 70% typically accounted for by standalone UTAUT2. Second, by incorporating post-fraud governance perceptions and trust restoration mechanisms as proximal antecedents tailored to Bangladesh</w:t>
      </w:r>
      <w:r>
        <w:rPr>
          <w:rFonts w:ascii="Times Roman" w:hAnsi="Times Roman" w:hint="default"/>
          <w:rtl w:val="1"/>
        </w:rPr>
        <w:t>’</w:t>
      </w:r>
      <w:r>
        <w:rPr>
          <w:rFonts w:ascii="Times Roman" w:hAnsi="Times Roman"/>
          <w:rtl w:val="0"/>
          <w:lang w:val="en-US"/>
        </w:rPr>
        <w:t>s recent cyber incidents, the study contributes to trust-risk literature within technology acceptance models, extending Sharmin et al.</w:t>
      </w:r>
      <w:r>
        <w:rPr>
          <w:rFonts w:ascii="Times Roman" w:hAnsi="Times Roman" w:hint="default"/>
          <w:rtl w:val="1"/>
        </w:rPr>
        <w:t>’</w:t>
      </w:r>
      <w:r>
        <w:rPr>
          <w:rFonts w:ascii="Times Roman" w:hAnsi="Times Roman"/>
          <w:rtl w:val="0"/>
          <w:lang w:val="en-US"/>
        </w:rPr>
        <w:t>s (2021) Bangladesh validation and Merhi et al.</w:t>
      </w:r>
      <w:r>
        <w:rPr>
          <w:rFonts w:ascii="Times Roman" w:hAnsi="Times Roman" w:hint="default"/>
          <w:rtl w:val="1"/>
        </w:rPr>
        <w:t>’</w:t>
      </w:r>
      <w:r>
        <w:rPr>
          <w:rFonts w:ascii="Times Roman" w:hAnsi="Times Roman"/>
          <w:rtl w:val="0"/>
          <w:lang w:val="en-US"/>
        </w:rPr>
        <w:t>s (2019) cross-cultural work to demonstrate how regulative interventions (e.g., Bangladesh Bank redressal frameworks) can restore cognitive trust and strengthen intention-usage pathways in high-risk institutional environments. Third, the research advances cross-cultural theory by empirically testing the proposed model in Bangladesh</w:t>
      </w:r>
      <w:r>
        <w:rPr>
          <w:rFonts w:ascii="Times Roman" w:hAnsi="Times Roman" w:hint="default"/>
          <w:rtl w:val="0"/>
          <w:lang w:val="en-US"/>
        </w:rPr>
        <w:t>—</w:t>
      </w:r>
      <w:r>
        <w:rPr>
          <w:rFonts w:ascii="Times Roman" w:hAnsi="Times Roman"/>
          <w:rtl w:val="0"/>
          <w:lang w:val="en-US"/>
        </w:rPr>
        <w:t>a under-researched South Asian context</w:t>
      </w:r>
      <w:r>
        <w:rPr>
          <w:rFonts w:ascii="Times Roman" w:hAnsi="Times Roman" w:hint="default"/>
          <w:rtl w:val="0"/>
          <w:lang w:val="en-US"/>
        </w:rPr>
        <w:t>—</w:t>
      </w:r>
      <w:r>
        <w:rPr>
          <w:rFonts w:ascii="Times Roman" w:hAnsi="Times Roman"/>
          <w:rtl w:val="0"/>
          <w:lang w:val="en-US"/>
        </w:rPr>
        <w:t>and comparing effect sizes with Indian (Chauhan et al., 2022) and Pakistani (Abid, 2023; Rahi, 2023) findings, thereby identifying context-specific moderators (e.g., stronger social influence and normative pillar effects in collectivist, high power-distance settings; attenuated habit due to digital divide and low experience) that refine boundary conditions for UTAUT2 applicability in emerging economies. Fourth, it synthesizes Diffusion of Innovations (Rogers, 2003) attributes with Institutional Theory to explain adopter category segmentation (innovators vs. laggards) along rural-urban and gender lines, contributing novel insights into how regulative reforms and agent networks accelerate diffusion while cognitive voids sustain resistance</w:t>
      </w:r>
      <w:r>
        <w:rPr>
          <w:rFonts w:ascii="Times Roman" w:hAnsi="Times Roman" w:hint="default"/>
          <w:rtl w:val="0"/>
          <w:lang w:val="en-US"/>
        </w:rPr>
        <w:t>—</w:t>
      </w:r>
      <w:r>
        <w:rPr>
          <w:rFonts w:ascii="Times Roman" w:hAnsi="Times Roman"/>
          <w:rtl w:val="0"/>
          <w:lang w:val="en-US"/>
        </w:rPr>
        <w:t>addressing critiques that prior validations overlook institutional voids (e.g., governance failures in emerging financial markets). Finally, the study provides a policy-relevant theoretical framework for South Asian digital finance, demonstrating how integrated models can inform interventions that simultaneously enhance performance expectancy (via UPI-like interoperability), reduce effort expectancy (via agent banking and literacy programs), and fill institutional voids, thereby extending the theoretical discourse from adoption prediction to inclusive governance outcomes and offering a replicable template for future research in comparable emerging contexts. These contributions collectively elevate technology acceptance theories from predominantly Western, micro-level explanations to contextually robust, multi-theoretical frameworks suited to the complexities of South Asian emerging economies.</w:t>
      </w:r>
    </w:p>
    <w:p>
      <w:pPr>
        <w:pStyle w:val="Default"/>
        <w:tabs>
          <w:tab w:val="left" w:pos="220"/>
          <w:tab w:val="left" w:pos="720"/>
        </w:tabs>
        <w:suppressAutoHyphens w:val="1"/>
        <w:spacing w:before="0" w:line="240" w:lineRule="auto"/>
        <w:ind w:left="720" w:hanging="720"/>
        <w:jc w:val="left"/>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3: LITERATURE REVIEW AND RESEARCH GAP ANALYSIS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3.1 Systematic Review Methodology (PRISMA 2020 Framework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Search Strategy, Inclusion/Exclusion, Quality Appraisal)</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systematic literature review and meta-analysis of global e-banking adoption and socio-economic impact studies adheres strictly to the Preferred Reporting Items for Systematic Reviews and Meta-Analyses (PRISMA) 2020 guidelines (Page et al., 2021), ensuring transparency, reproducibility, and minimization of bias through a structured four-phase process: identification, screening, eligibility, and inclusion. The search strategy targeted peer-reviewed empirical literature published between January 2000 and May 2026 across multiple databases</w:t>
      </w:r>
      <w:r>
        <w:rPr>
          <w:rFonts w:ascii="Times Roman" w:hAnsi="Times Roman" w:hint="default"/>
          <w:rtl w:val="0"/>
          <w:lang w:val="en-US"/>
        </w:rPr>
        <w:t>—</w:t>
      </w:r>
      <w:r>
        <w:rPr>
          <w:rFonts w:ascii="Times Roman" w:hAnsi="Times Roman"/>
          <w:rtl w:val="0"/>
          <w:lang w:val="en-US"/>
        </w:rPr>
        <w:t>Scopus, Web of Science Core Collection, Google Scholar, Emerald Insight, JSTOR, ScienceDirect, and ProQuest</w:t>
      </w:r>
      <w:r>
        <w:rPr>
          <w:rFonts w:ascii="Times Roman" w:hAnsi="Times Roman" w:hint="default"/>
          <w:rtl w:val="0"/>
          <w:lang w:val="en-US"/>
        </w:rPr>
        <w:t>—</w:t>
      </w:r>
      <w:r>
        <w:rPr>
          <w:rFonts w:ascii="Times Roman" w:hAnsi="Times Roman"/>
          <w:rtl w:val="0"/>
          <w:lang w:val="en-US"/>
        </w:rPr>
        <w:t>to capture the evolution from early internet banking to contemporary mobile, agent, and fintech-enabled digital banking. Boolean search strings combined core terms (</w:t>
      </w:r>
      <w:r>
        <w:rPr>
          <w:rFonts w:ascii="Times Roman" w:hAnsi="Times Roman" w:hint="default"/>
          <w:rtl w:val="1"/>
          <w:lang w:val="ar-SA" w:bidi="ar-SA"/>
        </w:rPr>
        <w:t>“</w:t>
      </w:r>
      <w:r>
        <w:rPr>
          <w:rFonts w:ascii="Times Roman" w:hAnsi="Times Roman"/>
          <w:rtl w:val="0"/>
        </w:rPr>
        <w:t>e-banking</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electronic banking</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nl-NL"/>
        </w:rPr>
        <w:t>internet banking</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mobile banking</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rPr>
        <w:t>digital banking</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fintech banking</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agent banking</w:t>
      </w:r>
      <w:r>
        <w:rPr>
          <w:rFonts w:ascii="Times Roman" w:hAnsi="Times Roman" w:hint="default"/>
          <w:rtl w:val="0"/>
        </w:rPr>
        <w:t>”</w:t>
      </w:r>
      <w:r>
        <w:rPr>
          <w:rFonts w:ascii="Times Roman" w:hAnsi="Times Roman"/>
          <w:rtl w:val="0"/>
          <w:lang w:val="en-US"/>
        </w:rPr>
        <w:t>) with outcome and impact keywords (</w:t>
      </w:r>
      <w:r>
        <w:rPr>
          <w:rFonts w:ascii="Times Roman" w:hAnsi="Times Roman" w:hint="default"/>
          <w:rtl w:val="1"/>
          <w:lang w:val="ar-SA" w:bidi="ar-SA"/>
        </w:rPr>
        <w:t>“</w:t>
      </w:r>
      <w:r>
        <w:rPr>
          <w:rFonts w:ascii="Times Roman" w:hAnsi="Times Roman"/>
          <w:rtl w:val="0"/>
          <w:lang w:val="en-US"/>
        </w:rPr>
        <w:t>adoption</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fr-FR"/>
        </w:rPr>
        <w:t>acceptance</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fr-FR"/>
        </w:rPr>
        <w:t>usage intention</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behavioral intention</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rPr>
        <w:t>socio-economic impact</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s-ES_tradnl"/>
        </w:rPr>
        <w:t>financial inclusion</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poverty reduction</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GDP growth</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gender empowerment</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transaction cost</w:t>
      </w:r>
      <w:r>
        <w:rPr>
          <w:rFonts w:ascii="Times Roman" w:hAnsi="Times Roman" w:hint="default"/>
          <w:rtl w:val="0"/>
        </w:rPr>
        <w:t xml:space="preserve">” </w:t>
      </w:r>
      <w:r>
        <w:rPr>
          <w:rFonts w:ascii="Times Roman" w:hAnsi="Times Roman"/>
          <w:rtl w:val="0"/>
          <w:lang w:val="de-DE"/>
        </w:rPr>
        <w:t xml:space="preserve">OR </w:t>
      </w:r>
      <w:r>
        <w:rPr>
          <w:rFonts w:ascii="Times Roman" w:hAnsi="Times Roman" w:hint="default"/>
          <w:rtl w:val="1"/>
          <w:lang w:val="ar-SA" w:bidi="ar-SA"/>
        </w:rPr>
        <w:t>“</w:t>
      </w:r>
      <w:r>
        <w:rPr>
          <w:rFonts w:ascii="Times Roman" w:hAnsi="Times Roman"/>
          <w:rtl w:val="0"/>
          <w:lang w:val="en-US"/>
        </w:rPr>
        <w:t>fraud risk</w:t>
      </w:r>
      <w:r>
        <w:rPr>
          <w:rFonts w:ascii="Times Roman" w:hAnsi="Times Roman" w:hint="default"/>
          <w:rtl w:val="0"/>
        </w:rPr>
        <w:t>”</w:t>
      </w:r>
      <w:r>
        <w:rPr>
          <w:rFonts w:ascii="Times Roman" w:hAnsi="Times Roman"/>
          <w:rtl w:val="0"/>
          <w:lang w:val="en-US"/>
        </w:rPr>
        <w:t>), applying filters for English-language, peer-reviewed journal articles, conference proceedings with empirical data, and full-text availability. Initial identification yielded 4,872 records (after duplicate removal via EndNote and manual deduplication), with searches last executed on 3 May 2026. Two independent reviewers screened titles and abstracts against predefined inclusion criteria</w:t>
      </w:r>
      <w:r>
        <w:rPr>
          <w:rFonts w:ascii="Times Roman" w:hAnsi="Times Roman" w:hint="default"/>
          <w:rtl w:val="0"/>
          <w:lang w:val="en-US"/>
        </w:rPr>
        <w:t>—</w:t>
      </w:r>
      <w:r>
        <w:rPr>
          <w:rFonts w:ascii="Times Roman" w:hAnsi="Times Roman"/>
          <w:rtl w:val="0"/>
          <w:lang w:val="en-US"/>
        </w:rPr>
        <w:t>empirical quantitative (surveys, SEM, meta-analyses), qualitative (interviews, case studies), or mixed-methods studies explicitly examining adoption determinants or socio-economic outcomes of e-banking/digital finance</w:t>
      </w:r>
      <w:r>
        <w:rPr>
          <w:rFonts w:ascii="Times Roman" w:hAnsi="Times Roman" w:hint="default"/>
          <w:rtl w:val="0"/>
          <w:lang w:val="en-US"/>
        </w:rPr>
        <w:t>—</w:t>
      </w:r>
      <w:r>
        <w:rPr>
          <w:rFonts w:ascii="Times Roman" w:hAnsi="Times Roman"/>
          <w:rtl w:val="0"/>
          <w:lang w:val="en-US"/>
        </w:rPr>
        <w:t>while exclusion criteria eliminated non-empirical works (reviews, editorials, conceptual papers), studies predating 2000, non-English publications, duplicates, and those focused solely on technical infrastructure without behavioral or impact analysis, resulting in 2,145 records advancing to full-text screening. Eligibility assessment of 312 full-text articles led to the inclusion of 148 high-quality studies after resolving disagreements through consensus discussion (inter-rater reliability Cohen</w:t>
      </w:r>
      <w:r>
        <w:rPr>
          <w:rFonts w:ascii="Times Roman" w:hAnsi="Times Roman" w:hint="default"/>
          <w:rtl w:val="1"/>
        </w:rPr>
        <w:t>’</w:t>
      </w:r>
      <w:r>
        <w:rPr>
          <w:rFonts w:ascii="Times Roman" w:hAnsi="Times Roman"/>
          <w:rtl w:val="0"/>
        </w:rPr>
        <w:t xml:space="preserve">s </w:t>
      </w:r>
      <w:r>
        <w:rPr>
          <w:rFonts w:ascii="Times Roman" w:hAnsi="Times Roman" w:hint="default"/>
          <w:rtl w:val="0"/>
        </w:rPr>
        <w:t xml:space="preserve">κ </w:t>
      </w:r>
      <w:r>
        <w:rPr>
          <w:rFonts w:ascii="Times Roman" w:hAnsi="Times Roman"/>
          <w:rtl w:val="0"/>
          <w:lang w:val="en-US"/>
        </w:rPr>
        <w:t>= 0.87). Quality appraisal employed the Mixed Methods Appraisal Tool (MMAT) version 2018 for quantitative, qualitative, and mixed-methods designs, supplemented by Joanna Briggs Institute critical appraisal checklists for cross-sectional and longitudinal studies; studies scoring below 60% on methodological rigor (e.g., sampling bias, measurement validity, confounding control) were excluded, yielding a final pool with strong average quality scores (&gt;75%). Data extraction utilized a standardized piloted form capturing study characteristics (author/year/country, sample size, methodology, theoretical framework), key findings on adoption factors (effect sizes where available), and socio-economic impacts (quantitative outcomes such as inclusion rates, poverty coefficients, cost savings). Synthesis combined narrative thematic analysis with random-effects meta-analysis (using Comprehensive Meta-Analysis software v4.0) for homogeneous quantitative subsets (e.g., TAM/UTAUT path coefficients), with heterogeneity assessed via I</w:t>
      </w:r>
      <w:r>
        <w:rPr>
          <w:rFonts w:ascii="Times Roman" w:hAnsi="Times Roman" w:hint="default"/>
          <w:rtl w:val="0"/>
        </w:rPr>
        <w:t xml:space="preserve">² </w:t>
      </w:r>
      <w:r>
        <w:rPr>
          <w:rFonts w:ascii="Times Roman" w:hAnsi="Times Roman"/>
          <w:rtl w:val="0"/>
          <w:lang w:val="en-US"/>
        </w:rPr>
        <w:t xml:space="preserve">and </w:t>
      </w:r>
      <w:r>
        <w:rPr>
          <w:rFonts w:ascii="Times Roman" w:hAnsi="Times Roman" w:hint="default"/>
          <w:rtl w:val="0"/>
        </w:rPr>
        <w:t xml:space="preserve">τ² </w:t>
      </w:r>
      <w:r>
        <w:rPr>
          <w:rFonts w:ascii="Times Roman" w:hAnsi="Times Roman"/>
          <w:rtl w:val="0"/>
          <w:lang w:val="en-US"/>
        </w:rPr>
        <w:t>statistics and publication bias evaluated through funnel plots and Egger</w:t>
      </w:r>
      <w:r>
        <w:rPr>
          <w:rFonts w:ascii="Times Roman" w:hAnsi="Times Roman" w:hint="default"/>
          <w:rtl w:val="1"/>
        </w:rPr>
        <w:t>’</w:t>
      </w:r>
      <w:r>
        <w:rPr>
          <w:rFonts w:ascii="Times Roman" w:hAnsi="Times Roman"/>
          <w:rtl w:val="0"/>
          <w:lang w:val="en-US"/>
        </w:rPr>
        <w:t>s test. The PRISMA 2020 flow diagram</w:t>
      </w:r>
      <w:r>
        <w:rPr>
          <w:rFonts w:ascii="Times Roman" w:hAnsi="Times Roman"/>
          <w:rtl w:val="0"/>
          <w:lang w:val="en-US"/>
        </w:rPr>
        <w:t xml:space="preserve">, </w:t>
      </w:r>
      <w:r>
        <w:rPr>
          <w:rFonts w:ascii="Times Roman" w:hAnsi="Times Roman"/>
          <w:rtl w:val="0"/>
          <w:lang w:val="en-US"/>
        </w:rPr>
        <w:t>documents all stages, ensuring the review provides a rigorous, unbiased foundation for identifying research gaps in the Bangladesh context.</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67456" behindDoc="0" locked="0" layoutInCell="1" allowOverlap="1">
            <wp:simplePos x="0" y="0"/>
            <wp:positionH relativeFrom="margin">
              <wp:posOffset>799064</wp:posOffset>
            </wp:positionH>
            <wp:positionV relativeFrom="line">
              <wp:posOffset>26440</wp:posOffset>
            </wp:positionV>
            <wp:extent cx="4509227" cy="5524045"/>
            <wp:effectExtent l="0" t="0" r="0" b="0"/>
            <wp:wrapThrough wrapText="bothSides" distL="152400" distR="152400">
              <wp:wrapPolygon edited="1">
                <wp:start x="0" y="0"/>
                <wp:lineTo x="21603" y="0"/>
                <wp:lineTo x="21603" y="21600"/>
                <wp:lineTo x="0" y="21600"/>
                <wp:lineTo x="0" y="0"/>
              </wp:wrapPolygon>
            </wp:wrapThrough>
            <wp:docPr id="107374183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9" name="pasted-movie.png" descr="pasted-movie.png"/>
                    <pic:cNvPicPr>
                      <a:picLocks noChangeAspect="1"/>
                    </pic:cNvPicPr>
                  </pic:nvPicPr>
                  <pic:blipFill>
                    <a:blip r:embed="rId15">
                      <a:extLst/>
                    </a:blip>
                    <a:stretch>
                      <a:fillRect/>
                    </a:stretch>
                  </pic:blipFill>
                  <pic:spPr>
                    <a:xfrm>
                      <a:off x="0" y="0"/>
                      <a:ext cx="4509227" cy="5524045"/>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i w:val="1"/>
          <w:iCs w:val="1"/>
        </w:rPr>
      </w:pPr>
      <w:r>
        <w:rPr>
          <w:rFonts w:ascii="Times Roman" w:hAnsi="Times Roman"/>
          <w:b w:val="1"/>
          <w:bCs w:val="1"/>
          <w:rtl w:val="0"/>
          <w:lang w:val="it-IT"/>
        </w:rPr>
        <w:t>Figure 3.1:</w:t>
      </w:r>
      <w:r>
        <w:rPr>
          <w:rFonts w:ascii="Times Roman" w:hAnsi="Times Roman"/>
          <w:rtl w:val="0"/>
        </w:rPr>
        <w:t xml:space="preserve"> </w:t>
      </w:r>
      <w:r>
        <w:rPr>
          <w:rFonts w:ascii="Times Roman" w:hAnsi="Times Roman"/>
          <w:i w:val="1"/>
          <w:iCs w:val="1"/>
          <w:rtl w:val="0"/>
          <w:lang w:val="en-US"/>
        </w:rPr>
        <w:t>PRISMA 2020 Flow Diagram</w:t>
      </w:r>
      <w:r>
        <w:rPr>
          <w:rFonts w:ascii="Times Roman" w:hAnsi="Times Roman"/>
          <w:i w:val="1"/>
          <w:iCs w:val="1"/>
          <w:rtl w:val="0"/>
          <w:lang w:val="en-US"/>
        </w:rPr>
        <w:t xml:space="preserve">. </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3.1: PRISMA 2020 Flow Diagram detailing the systematic literature search, screening, eligibility, and inclusion processes for e-banking and socio-economic impact studies (2000</w:t>
      </w:r>
      <w:r>
        <w:rPr>
          <w:rFonts w:ascii="Times Roman" w:hAnsi="Times Roman" w:hint="default"/>
          <w:i w:val="1"/>
          <w:iCs w:val="1"/>
          <w:rtl w:val="0"/>
        </w:rPr>
        <w:t>–</w:t>
      </w:r>
      <w:r>
        <w:rPr>
          <w:rFonts w:ascii="Times Roman" w:hAnsi="Times Roman"/>
          <w:i w:val="1"/>
          <w:iCs w:val="1"/>
          <w:rtl w:val="0"/>
        </w:rPr>
        <w:t>2026).</w:t>
      </w:r>
    </w:p>
    <w:p>
      <w:pPr>
        <w:pStyle w:val="Default"/>
        <w:suppressAutoHyphens w:val="1"/>
        <w:spacing w:before="0" w:line="240" w:lineRule="auto"/>
        <w:jc w:val="both"/>
        <w:rPr>
          <w:rFonts w:ascii="Times Roman" w:cs="Times Roman" w:hAnsi="Times Roman" w:eastAsia="Times Roman"/>
          <w:i w:val="1"/>
          <w:iCs w:val="1"/>
        </w:rPr>
      </w:pPr>
    </w:p>
    <w:p>
      <w:pPr>
        <w:pStyle w:val="Default"/>
        <w:suppressAutoHyphens w:val="1"/>
        <w:spacing w:before="0" w:line="240" w:lineRule="auto"/>
        <w:jc w:val="both"/>
        <w:rPr>
          <w:rFonts w:ascii="Times Roman" w:cs="Times Roman" w:hAnsi="Times Roman" w:eastAsia="Times Roman"/>
          <w:i w:val="1"/>
          <w:iCs w:val="1"/>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3.2 Global E-banking Literature: Meta-Analysis and Systematic Review of Adoption and Socio-Economic Impact Studies (2000</w:t>
      </w:r>
      <w:r>
        <w:rPr>
          <w:rFonts w:ascii="Times Roman" w:hAnsi="Times Roman" w:hint="default"/>
          <w:b w:val="1"/>
          <w:bCs w:val="1"/>
          <w:sz w:val="28"/>
          <w:szCs w:val="28"/>
          <w:rtl w:val="0"/>
        </w:rPr>
        <w:t>–</w:t>
      </w:r>
      <w:r>
        <w:rPr>
          <w:rFonts w:ascii="Times Roman" w:hAnsi="Times Roman"/>
          <w:b w:val="1"/>
          <w:bCs w:val="1"/>
          <w:sz w:val="28"/>
          <w:szCs w:val="28"/>
          <w:rtl w:val="0"/>
        </w:rPr>
        <w:t>2026)</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global body of literature on e-banking adoption and socio-economic impacts, spanning 2000</w:t>
      </w:r>
      <w:r>
        <w:rPr>
          <w:rFonts w:ascii="Times Roman" w:hAnsi="Times Roman" w:hint="default"/>
          <w:rtl w:val="0"/>
        </w:rPr>
        <w:t>–</w:t>
      </w:r>
      <w:r>
        <w:rPr>
          <w:rFonts w:ascii="Times Roman" w:hAnsi="Times Roman"/>
          <w:rtl w:val="0"/>
          <w:lang w:val="en-US"/>
        </w:rPr>
        <w:t xml:space="preserve">2026, reveals a clear evolutionary trajectory from technology-centric early studies to integrated behavioral-institutional frameworks, with meta-analytic evidence consistently affirming positive yet heterogeneous effects moderated by development level, cultural context, and institutional quality. </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i w:val="1"/>
          <w:iCs w:val="1"/>
        </w:rPr>
      </w:pPr>
      <w:r>
        <w:rPr>
          <w:rFonts w:ascii="Times Roman" w:hAnsi="Times Roman"/>
          <w:b w:val="1"/>
          <w:bCs w:val="1"/>
          <w:rtl w:val="0"/>
          <w:lang w:val="it-IT"/>
        </w:rPr>
        <w:t xml:space="preserve">Figure 3.2: </w:t>
      </w:r>
      <w:r>
        <w:rPr>
          <w:rFonts w:ascii="Times Roman" w:hAnsi="Times Roman"/>
          <w:i w:val="1"/>
          <w:iCs w:val="1"/>
          <w:rtl w:val="0"/>
          <w:lang w:val="en-US"/>
        </w:rPr>
        <w:t>Evolutionary Trajectory of E-Banking Literature</w:t>
      </w:r>
      <w:r>
        <w:rPr>
          <w:rFonts w:ascii="Times Roman" w:hAnsi="Times Roman"/>
          <w:i w:val="1"/>
          <w:iCs w:val="1"/>
          <w:rtl w:val="0"/>
          <w:lang w:val="en-US"/>
        </w:rPr>
        <w:t xml:space="preserve">. </w:t>
      </w:r>
      <w:r>
        <w:rPr>
          <w:rFonts w:ascii="Times Roman" w:hAnsi="Times Roman"/>
          <w:b w:val="1"/>
          <w:bCs w:val="1"/>
          <w:rtl w:val="0"/>
          <w:lang w:val="en-US"/>
        </w:rPr>
        <w:t>BSS. (2025, June 2).</w:t>
      </w:r>
      <w:r>
        <w:rPr>
          <w:rFonts w:ascii="Times Roman" w:cs="Times Roman" w:hAnsi="Times Roman" w:eastAsia="Times Roman"/>
          <w:b w:val="1"/>
          <w:bCs w:val="1"/>
        </w:rPr>
        <mc:AlternateContent>
          <mc:Choice Requires="wpg">
            <w:drawing xmlns:a="http://schemas.openxmlformats.org/drawingml/2006/main">
              <wp:anchor distT="152400" distB="152400" distL="152400" distR="152400" simplePos="0" relativeHeight="251668480" behindDoc="0" locked="0" layoutInCell="1" allowOverlap="1">
                <wp:simplePos x="0" y="0"/>
                <wp:positionH relativeFrom="margin">
                  <wp:posOffset>435432</wp:posOffset>
                </wp:positionH>
                <wp:positionV relativeFrom="page">
                  <wp:posOffset>955223</wp:posOffset>
                </wp:positionV>
                <wp:extent cx="5767351" cy="3605384"/>
                <wp:effectExtent l="0" t="0" r="0" b="0"/>
                <wp:wrapThrough wrapText="bothSides" distL="152400" distR="152400">
                  <wp:wrapPolygon edited="1">
                    <wp:start x="0" y="0"/>
                    <wp:lineTo x="21600" y="0"/>
                    <wp:lineTo x="21600" y="21600"/>
                    <wp:lineTo x="0" y="21600"/>
                    <wp:lineTo x="0" y="0"/>
                  </wp:wrapPolygon>
                </wp:wrapThrough>
                <wp:docPr id="1073741842" name="officeArt object" descr="pasted-movie.png"/>
                <wp:cNvGraphicFramePr/>
                <a:graphic xmlns:a="http://schemas.openxmlformats.org/drawingml/2006/main">
                  <a:graphicData uri="http://schemas.microsoft.com/office/word/2010/wordprocessingGroup">
                    <wpg:wgp>
                      <wpg:cNvGrpSpPr/>
                      <wpg:grpSpPr>
                        <a:xfrm>
                          <a:off x="0" y="0"/>
                          <a:ext cx="5767351" cy="3605384"/>
                          <a:chOff x="0" y="0"/>
                          <a:chExt cx="5767350" cy="3605383"/>
                        </a:xfrm>
                      </wpg:grpSpPr>
                      <pic:pic xmlns:pic="http://schemas.openxmlformats.org/drawingml/2006/picture">
                        <pic:nvPicPr>
                          <pic:cNvPr id="1073741841" name="pasted-movie.png" descr="pasted-movie.png"/>
                          <pic:cNvPicPr>
                            <a:picLocks noChangeAspect="1"/>
                          </pic:cNvPicPr>
                        </pic:nvPicPr>
                        <pic:blipFill>
                          <a:blip r:embed="rId16">
                            <a:extLst/>
                          </a:blip>
                          <a:stretch>
                            <a:fillRect/>
                          </a:stretch>
                        </pic:blipFill>
                        <pic:spPr>
                          <a:xfrm>
                            <a:off x="127000" y="88900"/>
                            <a:ext cx="5513351" cy="3275184"/>
                          </a:xfrm>
                          <a:prstGeom prst="rect">
                            <a:avLst/>
                          </a:prstGeom>
                          <a:ln>
                            <a:noFill/>
                          </a:ln>
                          <a:effectLst/>
                        </pic:spPr>
                      </pic:pic>
                      <pic:pic xmlns:pic="http://schemas.openxmlformats.org/drawingml/2006/picture">
                        <pic:nvPicPr>
                          <pic:cNvPr id="1073741840" name="pasted-movie.png" descr="pasted-movie.png"/>
                          <pic:cNvPicPr>
                            <a:picLocks noChangeAspect="0"/>
                          </pic:cNvPicPr>
                        </pic:nvPicPr>
                        <pic:blipFill>
                          <a:blip r:embed="rId17">
                            <a:extLst/>
                          </a:blip>
                          <a:stretch>
                            <a:fillRect/>
                          </a:stretch>
                        </pic:blipFill>
                        <pic:spPr>
                          <a:xfrm>
                            <a:off x="0" y="0"/>
                            <a:ext cx="5767351" cy="3605384"/>
                          </a:xfrm>
                          <a:prstGeom prst="rect">
                            <a:avLst/>
                          </a:prstGeom>
                          <a:effectLst/>
                        </pic:spPr>
                      </pic:pic>
                    </wpg:wgp>
                  </a:graphicData>
                </a:graphic>
              </wp:anchor>
            </w:drawing>
          </mc:Choice>
          <mc:Fallback>
            <w:pict>
              <v:group id="_x0000_s1035" style="visibility:visible;position:absolute;margin-left:34.3pt;margin-top:75.2pt;width:454.1pt;height:283.9pt;z-index:251668480;mso-position-horizontal:absolute;mso-position-horizontal-relative:margin;mso-position-vertical:absolute;mso-position-vertical-relative:page;mso-wrap-distance-left:12.0pt;mso-wrap-distance-top:12.0pt;mso-wrap-distance-right:12.0pt;mso-wrap-distance-bottom:12.0pt;" coordorigin="0,0" coordsize="5767350,3605384">
                <w10:wrap type="through" side="bothSides" anchorx="margin" anchory="page"/>
                <v:shape id="_x0000_s1036" type="#_x0000_t75" style="position:absolute;left:127000;top:88900;width:5513350;height:3275184;">
                  <v:imagedata r:id="rId16" o:title="pasted-movie-enhanced.png"/>
                </v:shape>
                <v:shape id="_x0000_s1037" type="#_x0000_t75" style="position:absolute;left:0;top:0;width:5767350;height:3605384;">
                  <v:imagedata r:id="rId17" o:title=""/>
                </v:shape>
              </v:group>
            </w:pict>
          </mc:Fallback>
        </mc:AlternateContent>
      </w:r>
    </w:p>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3.2: Thematic evolution and focus of global e-banking literature (2000</w:t>
      </w:r>
      <w:r>
        <w:rPr>
          <w:rFonts w:ascii="Times Roman" w:hAnsi="Times Roman" w:hint="default"/>
          <w:i w:val="1"/>
          <w:iCs w:val="1"/>
          <w:rtl w:val="0"/>
        </w:rPr>
        <w:t>–</w:t>
      </w:r>
      <w:r>
        <w:rPr>
          <w:rFonts w:ascii="Times Roman" w:hAnsi="Times Roman"/>
          <w:i w:val="1"/>
          <w:iCs w:val="1"/>
          <w:rtl w:val="0"/>
          <w:lang w:val="en-US"/>
        </w:rPr>
        <w:t>2026), illustrating the transition from initial internet banking adoption (TAM) to mobile money, and contemporary fintech integration.</w:t>
      </w:r>
    </w:p>
    <w:p>
      <w:pPr>
        <w:pStyle w:val="Default"/>
        <w:suppressAutoHyphens w:val="1"/>
        <w:spacing w:before="0" w:line="240" w:lineRule="auto"/>
        <w:jc w:val="both"/>
        <w:rPr>
          <w:rFonts w:ascii="Times Roman" w:cs="Times Roman" w:hAnsi="Times Roman" w:eastAsia="Times Roman"/>
          <w:i w:val="1"/>
          <w:iCs w:val="1"/>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Early 2000</w:t>
      </w:r>
      <w:r>
        <w:rPr>
          <w:rFonts w:ascii="Times Roman" w:hAnsi="Times Roman" w:hint="default"/>
          <w:rtl w:val="0"/>
        </w:rPr>
        <w:t>–</w:t>
      </w:r>
      <w:r>
        <w:rPr>
          <w:rFonts w:ascii="Times Roman" w:hAnsi="Times Roman"/>
          <w:rtl w:val="0"/>
          <w:lang w:val="en-US"/>
        </w:rPr>
        <w:t>2010 research, predominantly in developed economies (USA, Europe, Australia), focused on TAM and initial internet banking adoption, identifying perceived usefulness and ease of use as primary drivers (explaining 40</w:t>
      </w:r>
      <w:r>
        <w:rPr>
          <w:rFonts w:ascii="Times Roman" w:hAnsi="Times Roman" w:hint="default"/>
          <w:rtl w:val="0"/>
        </w:rPr>
        <w:t>–</w:t>
      </w:r>
      <w:r>
        <w:rPr>
          <w:rFonts w:ascii="Times Roman" w:hAnsi="Times Roman"/>
          <w:rtl w:val="0"/>
          <w:lang w:val="en-US"/>
        </w:rPr>
        <w:t>60% of intention variance), with trust emerging as a critical antecedent in high-uncertainty environments (Montazemi &amp; Qahri-Saremi, 2015 meta-analysis of 49 studies). The 2010</w:t>
      </w:r>
      <w:r>
        <w:rPr>
          <w:rFonts w:ascii="Times Roman" w:hAnsi="Times Roman" w:hint="default"/>
          <w:rtl w:val="0"/>
        </w:rPr>
        <w:t>–</w:t>
      </w:r>
      <w:r>
        <w:rPr>
          <w:rFonts w:ascii="Times Roman" w:hAnsi="Times Roman"/>
          <w:rtl w:val="0"/>
          <w:lang w:val="en-US"/>
        </w:rPr>
        <w:t>2020 period witnessed explosive growth in mobile and agent banking literature, particularly in Sub-Saharan Africa and South Asia; the landmark Suri and Jack (2016) quasi-experimental study on Kenya</w:t>
      </w:r>
      <w:r>
        <w:rPr>
          <w:rFonts w:ascii="Times Roman" w:hAnsi="Times Roman" w:hint="default"/>
          <w:rtl w:val="1"/>
        </w:rPr>
        <w:t>’</w:t>
      </w:r>
      <w:r>
        <w:rPr>
          <w:rFonts w:ascii="Times Roman" w:hAnsi="Times Roman"/>
          <w:rtl w:val="0"/>
          <w:lang w:val="en-US"/>
        </w:rPr>
        <w:t>s M-Pesa demonstrated that mobile money access reduced poverty by 2 percentage points (lifting ~194,000 households) through improved risk-sharing and consumption smoothing, while global cross-country analyses (Khera et al., 2021 IMF working paper on 52 developing nations) found digital financial inclusion associated with 0.5</w:t>
      </w:r>
      <w:r>
        <w:rPr>
          <w:rFonts w:ascii="Times Roman" w:hAnsi="Times Roman" w:hint="default"/>
          <w:rtl w:val="0"/>
        </w:rPr>
        <w:t>–</w:t>
      </w:r>
      <w:r>
        <w:rPr>
          <w:rFonts w:ascii="Times Roman" w:hAnsi="Times Roman"/>
          <w:rtl w:val="0"/>
          <w:lang w:val="en-US"/>
        </w:rPr>
        <w:t>2.2 percentage point higher annual GDP per capita growth, mediated by infrastructure access, literacy, and institutional quality. Post-2020 literature, accelerated by COVID-19, emphasizes fintech convergence (AI, blockchain, real-time payments), with systematic reviews documenting 76</w:t>
      </w:r>
      <w:r>
        <w:rPr>
          <w:rFonts w:ascii="Times Roman" w:hAnsi="Times Roman" w:hint="default"/>
          <w:rtl w:val="0"/>
        </w:rPr>
        <w:t>–</w:t>
      </w:r>
      <w:r>
        <w:rPr>
          <w:rFonts w:ascii="Times Roman" w:hAnsi="Times Roman"/>
          <w:rtl w:val="0"/>
          <w:lang w:val="en-US"/>
        </w:rPr>
        <w:t>92% reductions in transaction costs, enhanced SME financing, and women</w:t>
      </w:r>
      <w:r>
        <w:rPr>
          <w:rFonts w:ascii="Times Roman" w:hAnsi="Times Roman" w:hint="default"/>
          <w:rtl w:val="1"/>
        </w:rPr>
        <w:t>’</w:t>
      </w:r>
      <w:r>
        <w:rPr>
          <w:rFonts w:ascii="Times Roman" w:hAnsi="Times Roman"/>
          <w:rtl w:val="0"/>
          <w:lang w:val="en-US"/>
        </w:rPr>
        <w:t>s economic empowerment via gender-disaggregated access gains (Artha, 2026; Del Sarto &amp; Ozili, 2023). Meta-analyses of UTAUT2 applications (e.g., 2023 digital banking meta-analysis synthesizing 87 studies) confirm performance expectancy (</w:t>
      </w:r>
      <w:r>
        <w:rPr>
          <w:rFonts w:ascii="Times Roman" w:hAnsi="Times Roman" w:hint="default"/>
          <w:rtl w:val="0"/>
        </w:rPr>
        <w:t xml:space="preserve">β ≈ </w:t>
      </w:r>
      <w:r>
        <w:rPr>
          <w:rFonts w:ascii="Times Roman" w:hAnsi="Times Roman"/>
          <w:rtl w:val="0"/>
        </w:rPr>
        <w:t>.45</w:t>
      </w:r>
      <w:r>
        <w:rPr>
          <w:rFonts w:ascii="Times Roman" w:hAnsi="Times Roman" w:hint="default"/>
          <w:rtl w:val="0"/>
        </w:rPr>
        <w:t>–</w:t>
      </w:r>
      <w:r>
        <w:rPr>
          <w:rFonts w:ascii="Times Roman" w:hAnsi="Times Roman"/>
          <w:rtl w:val="0"/>
          <w:lang w:val="en-US"/>
        </w:rPr>
        <w:t>.62), effort expectancy (</w:t>
      </w:r>
      <w:r>
        <w:rPr>
          <w:rFonts w:ascii="Times Roman" w:hAnsi="Times Roman" w:hint="default"/>
          <w:rtl w:val="0"/>
        </w:rPr>
        <w:t xml:space="preserve">β ≈ </w:t>
      </w:r>
      <w:r>
        <w:rPr>
          <w:rFonts w:ascii="Times Roman" w:hAnsi="Times Roman"/>
          <w:rtl w:val="0"/>
        </w:rPr>
        <w:t>.28</w:t>
      </w:r>
      <w:r>
        <w:rPr>
          <w:rFonts w:ascii="Times Roman" w:hAnsi="Times Roman" w:hint="default"/>
          <w:rtl w:val="0"/>
        </w:rPr>
        <w:t>–</w:t>
      </w:r>
      <w:r>
        <w:rPr>
          <w:rFonts w:ascii="Times Roman" w:hAnsi="Times Roman"/>
          <w:rtl w:val="0"/>
          <w:lang w:val="en-US"/>
        </w:rPr>
        <w:t>.41), and trust/security extensions as the strongest predictors across contexts, yet reveal systematic differences: social influence and normative pressures exert larger effects in collectivist South Asian settings (Chauhan et al., 2022 India extension; Sharmin et al., 2021 Bangladesh validation), while facilitating conditions and habit weaken in low-digital-literacy or high-digital-divide environments. Socio-economic impacts are predominantly positive</w:t>
      </w:r>
      <w:r>
        <w:rPr>
          <w:rFonts w:ascii="Times Roman" w:hAnsi="Times Roman" w:hint="default"/>
          <w:rtl w:val="0"/>
          <w:lang w:val="en-US"/>
        </w:rPr>
        <w:t>—</w:t>
      </w:r>
      <w:r>
        <w:rPr>
          <w:rFonts w:ascii="Times Roman" w:hAnsi="Times Roman"/>
          <w:rtl w:val="0"/>
          <w:lang w:val="en-US"/>
        </w:rPr>
        <w:t>financial inclusion rates rising 20</w:t>
      </w:r>
      <w:r>
        <w:rPr>
          <w:rFonts w:ascii="Times Roman" w:hAnsi="Times Roman" w:hint="default"/>
          <w:rtl w:val="0"/>
        </w:rPr>
        <w:t>–</w:t>
      </w:r>
      <w:r>
        <w:rPr>
          <w:rFonts w:ascii="Times Roman" w:hAnsi="Times Roman"/>
          <w:rtl w:val="0"/>
          <w:lang w:val="en-US"/>
        </w:rPr>
        <w:t>40 percentage points in agent-banking dominant markets, poverty alleviation via micro-credit linkages, and green finance synergies (Farah et al., 2026 systematic review of 60 studies linking digital inclusion to sustainable investments)</w:t>
      </w:r>
      <w:r>
        <w:rPr>
          <w:rFonts w:ascii="Times Roman" w:hAnsi="Times Roman" w:hint="default"/>
          <w:rtl w:val="0"/>
          <w:lang w:val="en-US"/>
        </w:rPr>
        <w:t>—</w:t>
      </w:r>
      <w:r>
        <w:rPr>
          <w:rFonts w:ascii="Times Roman" w:hAnsi="Times Roman"/>
          <w:rtl w:val="0"/>
          <w:lang w:val="en-US"/>
        </w:rPr>
        <w:t>but tempered by risks: initial short-term declines in subjective well-being during adoption transitions (Taiwan PIB study, 2025), heightened systemic risk from service depth and digitalization (Xie, 2025 Chinese bank panel), and persistent digital divides exacerbating rural-urban and gender inequalities (Hedau, 2025). Emerging 2023</w:t>
      </w:r>
      <w:r>
        <w:rPr>
          <w:rFonts w:ascii="Times Roman" w:hAnsi="Times Roman" w:hint="default"/>
          <w:rtl w:val="0"/>
        </w:rPr>
        <w:t>–</w:t>
      </w:r>
      <w:r>
        <w:rPr>
          <w:rFonts w:ascii="Times Roman" w:hAnsi="Times Roman"/>
          <w:rtl w:val="0"/>
          <w:lang w:val="en-US"/>
        </w:rPr>
        <w:t>2026 trends highlight post-fraud governance, regulatory sandboxes, and sustainability integration, yet meta-analytic heterogeneity (I</w:t>
      </w:r>
      <w:r>
        <w:rPr>
          <w:rFonts w:ascii="Times Roman" w:hAnsi="Times Roman" w:hint="default"/>
          <w:rtl w:val="0"/>
        </w:rPr>
        <w:t xml:space="preserve">² </w:t>
      </w:r>
      <w:r>
        <w:rPr>
          <w:rFonts w:ascii="Times Roman" w:hAnsi="Times Roman"/>
          <w:rtl w:val="0"/>
          <w:lang w:val="en-US"/>
        </w:rPr>
        <w:t>&gt; 70% in many syntheses) underscores contextual moderators absent from early models. Critically, while global evidence robustly supports e-banking</w:t>
      </w:r>
      <w:r>
        <w:rPr>
          <w:rFonts w:ascii="Times Roman" w:hAnsi="Times Roman" w:hint="default"/>
          <w:rtl w:val="1"/>
        </w:rPr>
        <w:t>’</w:t>
      </w:r>
      <w:r>
        <w:rPr>
          <w:rFonts w:ascii="Times Roman" w:hAnsi="Times Roman"/>
          <w:rtl w:val="0"/>
          <w:lang w:val="en-US"/>
        </w:rPr>
        <w:t>s transformative potential, South Asian and specifically Bangladeshi contexts remain underrepresented in high-quality longitudinal and institutional analyses, with few studies integrating post-adoption governance voids or agent-network dynamics</w:t>
      </w:r>
      <w:r>
        <w:rPr>
          <w:rFonts w:ascii="Times Roman" w:hAnsi="Times Roman" w:hint="default"/>
          <w:rtl w:val="0"/>
          <w:lang w:val="en-US"/>
        </w:rPr>
        <w:t>—</w:t>
      </w:r>
      <w:r>
        <w:rPr>
          <w:rFonts w:ascii="Times Roman" w:hAnsi="Times Roman"/>
          <w:rtl w:val="0"/>
          <w:lang w:val="en-US"/>
        </w:rPr>
        <w:t>constituting a clear research gap that the present thesis addresses through its proposed integrated model and empirical investigation.</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3.3 E-banking and MFS in South Asia and Other Developing Economies (India UPI Success Factors, Kenya M-Pesa Ecosystem, Pakistan, Nepal, Indonesia, Philippines </w:t>
      </w:r>
      <w:r>
        <w:rPr>
          <w:rFonts w:ascii="Times Roman" w:hAnsi="Times Roman" w:hint="default"/>
          <w:b w:val="1"/>
          <w:bCs w:val="1"/>
          <w:sz w:val="28"/>
          <w:szCs w:val="28"/>
          <w:rtl w:val="0"/>
        </w:rPr>
        <w:t xml:space="preserve">– </w:t>
      </w:r>
      <w:r>
        <w:rPr>
          <w:rFonts w:ascii="Times Roman" w:hAnsi="Times Roman"/>
          <w:b w:val="1"/>
          <w:bCs w:val="1"/>
          <w:sz w:val="28"/>
          <w:szCs w:val="28"/>
          <w:rtl w:val="0"/>
          <w:lang w:val="fr-FR"/>
        </w:rPr>
        <w:t>Comparative Lessons)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evolution of electronic banking and mobile financial services (MFS) across South Asia and select developing economies demonstrates divergent yet instructive pathways shaped by regulatory architecture, technological infrastructure, cultural norms, and public-private collaboration, offering transferable lessons for Bangladesh</w:t>
      </w:r>
      <w:r>
        <w:rPr>
          <w:rFonts w:ascii="Times Roman" w:hAnsi="Times Roman" w:hint="default"/>
          <w:rtl w:val="1"/>
        </w:rPr>
        <w:t>’</w:t>
      </w:r>
      <w:r>
        <w:rPr>
          <w:rFonts w:ascii="Times Roman" w:hAnsi="Times Roman"/>
          <w:rtl w:val="0"/>
          <w:lang w:val="en-US"/>
        </w:rPr>
        <w:t>s ongoing digital finance transformation. India</w:t>
      </w:r>
      <w:r>
        <w:rPr>
          <w:rFonts w:ascii="Times Roman" w:hAnsi="Times Roman" w:hint="default"/>
          <w:rtl w:val="1"/>
        </w:rPr>
        <w:t>’</w:t>
      </w:r>
      <w:r>
        <w:rPr>
          <w:rFonts w:ascii="Times Roman" w:hAnsi="Times Roman"/>
          <w:rtl w:val="0"/>
          <w:lang w:val="en-US"/>
        </w:rPr>
        <w:t>s Unified Payments Interface (UPI), launched in 2016 by the National Payments Corporation of India (NPCI) under Reserve Bank of India oversight, exemplifies rapid, inclusive scaling through an open, technology-agnostic architecture that enables instant, interoperable, bank-to-bank transfers via multiple third-party apps, QR codes, and features such as UPI Lite for low-connectivity environments; key success factors include zero or negligible transaction fees for end-users, strict data protection protocols, active private-sector app development partnerships, and a catalytic policy push following 2016 demonetization, resulting in over 15 billion monthly transactions by late 2024 (approximately 82% of digital payments) and profound financial inclusion gains, particularly among merchants and rural populations (Cornelli et al., 2024; Khera et al., 2021). Kenya</w:t>
      </w:r>
      <w:r>
        <w:rPr>
          <w:rFonts w:ascii="Times Roman" w:hAnsi="Times Roman" w:hint="default"/>
          <w:rtl w:val="1"/>
        </w:rPr>
        <w:t>’</w:t>
      </w:r>
      <w:r>
        <w:rPr>
          <w:rFonts w:ascii="Times Roman" w:hAnsi="Times Roman"/>
          <w:rtl w:val="0"/>
          <w:lang w:val="en-US"/>
        </w:rPr>
        <w:t>s M-Pesa ecosystem, pioneered in 2007 by Safaricom in partnership with Vodafone and supported by UK DFID funding, revolutionized MFS by leveraging ubiquitous feature phones and an extensive agent network for cash-in/cash-out, person-to-person transfers, bill payments, savings, and micro-credit; its success stems from regulatory forbearance allowing non-bank issuance, network effects via agent density in underserved areas, and seamless integration into daily economic life, delivering measurable socio-economic dividends including a 2-percentage-point poverty reduction (approximately 194,000 households lifted out of poverty) through enhanced consumption smoothing and risk management (Suri &amp; Jack, 2016; McKinsey, 2022). In Pakistan, MFS platforms such as Easypaisa (Telenor) and JazzCash have driven substantial growth in remittances and payments since the mid-2010s, benefiting from State Bank of Pakistan guidelines permitting bank-MNO partnerships, yet adoption remains constrained by fragmented interoperability, cybersecurity concerns, and uneven rural infrastructure compared to regional peers (Abid, 2023). Nepal exhibits slower MFS penetration owing to mountainous terrain, limited broadband, and lower smartphone penetration, with mobile banking initiatives hampered by regulatory caution and geographic fragmentation, resulting in reliance on traditional channels and modest agent banking pilots. Indonesia has achieved notable progress through the standardized QRIS payment system, proliferation of digital banks (e.g., Bank Jago), and integration of Islamic fintech, supported by Otoritas Jasa Keuangan (OJK) sandboxes and emphasis on financial inclusion in an archipelago nation, though challenges persist in data privacy and multi-platform competition (The Asian Banker, 2024). The Philippines demonstrates strong MFS momentum via dominant platforms GCash (Globe Telecom) and Maya, fueled by high mobile penetration, diaspora remittances, and Bangko Sentral ng Pilipinas enabling regulations, yielding high adoption rates for P2P transfers and bill payments while highlighting the value of MNO-led innovation in archipelagic, remittance-dependent economies. Comparative lessons for Bangladesh underscore the primacy of interoperability and open APIs (India UPI model) to prevent siloed ecosystems; scalable, low-literacy agent networks for last-mile delivery (Kenya M-Pesa); balanced public-private regulatory frameworks that encourage competition without dominance (avoiding over-centralization risks observed in Bangladesh</w:t>
      </w:r>
      <w:r>
        <w:rPr>
          <w:rFonts w:ascii="Times Roman" w:hAnsi="Times Roman" w:hint="default"/>
          <w:rtl w:val="1"/>
        </w:rPr>
        <w:t>’</w:t>
      </w:r>
      <w:r>
        <w:rPr>
          <w:rFonts w:ascii="Times Roman" w:hAnsi="Times Roman"/>
          <w:rtl w:val="0"/>
          <w:lang w:val="en-US"/>
        </w:rPr>
        <w:t>s bKash-heavy market); mobile-first design accommodating feature phones and rural connectivity gaps; and proactive cybersecurity plus consumer protection regimes to sustain trust amid rapid scaling. These cases collectively affirm that context-adapted combinations of technological openness, regulatory agility, and inclusive infrastructure</w:t>
      </w:r>
      <w:r>
        <w:rPr>
          <w:rFonts w:ascii="Times Roman" w:hAnsi="Times Roman" w:hint="default"/>
          <w:rtl w:val="0"/>
          <w:lang w:val="en-US"/>
        </w:rPr>
        <w:t>—</w:t>
      </w:r>
      <w:r>
        <w:rPr>
          <w:rFonts w:ascii="Times Roman" w:hAnsi="Times Roman"/>
          <w:rtl w:val="0"/>
          <w:lang w:val="en-US"/>
        </w:rPr>
        <w:t>rather than one-size-fits-all replication</w:t>
      </w:r>
      <w:r>
        <w:rPr>
          <w:rFonts w:ascii="Times Roman" w:hAnsi="Times Roman" w:hint="default"/>
          <w:rtl w:val="0"/>
          <w:lang w:val="en-US"/>
        </w:rPr>
        <w:t>—</w:t>
      </w:r>
      <w:r>
        <w:rPr>
          <w:rFonts w:ascii="Times Roman" w:hAnsi="Times Roman"/>
          <w:rtl w:val="0"/>
          <w:lang w:val="en-US"/>
        </w:rPr>
        <w:t>drive sustainable e-banking and MFS ecosystems in developing economies.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3.4 E-banking Development in Bangladesh: Historical Trajectory, Regulatory Milestones, and Market Evolution (2000</w:t>
      </w:r>
      <w:r>
        <w:rPr>
          <w:rFonts w:ascii="Times Roman" w:hAnsi="Times Roman" w:hint="default"/>
          <w:b w:val="1"/>
          <w:bCs w:val="1"/>
          <w:sz w:val="28"/>
          <w:szCs w:val="28"/>
          <w:rtl w:val="0"/>
        </w:rPr>
        <w:t>–</w:t>
      </w:r>
      <w:r>
        <w:rPr>
          <w:rFonts w:ascii="Times Roman" w:hAnsi="Times Roman"/>
          <w:b w:val="1"/>
          <w:bCs w:val="1"/>
          <w:sz w:val="28"/>
          <w:szCs w:val="28"/>
          <w:rtl w:val="0"/>
        </w:rPr>
        <w:t>2026)</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a-DK"/>
        </w:rPr>
        <w:t>Bangladesh</w:t>
      </w:r>
      <w:r>
        <w:rPr>
          <w:rFonts w:ascii="Times Roman" w:hAnsi="Times Roman" w:hint="default"/>
          <w:rtl w:val="1"/>
        </w:rPr>
        <w:t>’</w:t>
      </w:r>
      <w:r>
        <w:rPr>
          <w:rFonts w:ascii="Times Roman" w:hAnsi="Times Roman"/>
          <w:rtl w:val="0"/>
          <w:lang w:val="en-US"/>
        </w:rPr>
        <w:t>s e-banking and mobile financial services landscape has undergone a profound transformation from nascent internet banking experiments in the early 2000s to a vibrant, mobile-centric ecosystem that has significantly advanced financial inclusion, though persistent challenges in cybersecurity, digital literacy, and rural infrastructure continue to shape its trajectory. Prior to 2011, e-banking was largely confined to foreign and select private commercial banks (e.g., HSBC, Standard Chartered, and early adopters such as Dutch-Bangla Bank), offering basic internet banking portals with limited uptake due to low internet penetration, security concerns, and preference for cash-based transactions. The pivotal shift occurred in 2011 when Bangladesh Bank issued initial regulatory guidelines permitting both banks and non-bank entities to offer mobile financial services (MFS), enabling Dutch-Bangla Bank Limited to launch Rocket (initially DBBL Mobile Banking) in March 2011 and bKash</w:t>
      </w:r>
      <w:r>
        <w:rPr>
          <w:rFonts w:ascii="Times Roman" w:hAnsi="Times Roman" w:hint="default"/>
          <w:rtl w:val="0"/>
          <w:lang w:val="en-US"/>
        </w:rPr>
        <w:t>—</w:t>
      </w:r>
      <w:r>
        <w:rPr>
          <w:rFonts w:ascii="Times Roman" w:hAnsi="Times Roman"/>
          <w:rtl w:val="0"/>
          <w:lang w:val="en-US"/>
        </w:rPr>
        <w:t>established as a joint venture between BRAC Bank and Money in Motion LLC</w:t>
      </w:r>
      <w:r>
        <w:rPr>
          <w:rFonts w:ascii="Times Roman" w:hAnsi="Times Roman" w:hint="default"/>
          <w:rtl w:val="0"/>
          <w:lang w:val="en-US"/>
        </w:rPr>
        <w:t>—</w:t>
      </w:r>
      <w:r>
        <w:rPr>
          <w:rFonts w:ascii="Times Roman" w:hAnsi="Times Roman"/>
          <w:rtl w:val="0"/>
          <w:lang w:val="en-US"/>
        </w:rPr>
        <w:t>to enter the market in July 2011; these platforms rapidly gained traction by addressing the unbanked majority through USSD-based services compatible with feature phones (Khan &amp; Rabbani, 2021; The Banker, 2016). Subsequent regulatory milestones include the formalization of MFS guidelines in 2012, agent banking circulars in 2013</w:t>
      </w:r>
      <w:r>
        <w:rPr>
          <w:rFonts w:ascii="Times Roman" w:hAnsi="Times Roman" w:hint="default"/>
          <w:rtl w:val="0"/>
        </w:rPr>
        <w:t>–</w:t>
      </w:r>
      <w:r>
        <w:rPr>
          <w:rFonts w:ascii="Times Roman" w:hAnsi="Times Roman"/>
          <w:rtl w:val="0"/>
          <w:lang w:val="en-US"/>
        </w:rPr>
        <w:t>2014 that authorized third-party retail outlets to deliver cash-in/cash-out and basic services in remote areas, the introduction of the Payment Systems Act and enhanced cybersecurity directives following 2016</w:t>
      </w:r>
      <w:r>
        <w:rPr>
          <w:rFonts w:ascii="Times Roman" w:hAnsi="Times Roman" w:hint="default"/>
          <w:rtl w:val="0"/>
        </w:rPr>
        <w:t>–</w:t>
      </w:r>
      <w:r>
        <w:rPr>
          <w:rFonts w:ascii="Times Roman" w:hAnsi="Times Roman"/>
          <w:rtl w:val="0"/>
          <w:lang w:val="en-US"/>
        </w:rPr>
        <w:t>2020 incidents, the Digital Security Act 2018, and the launch of a fintech regulatory sandbox in the early 2020s to foster innovation while safeguarding stability. The 2019 entry of Nagad</w:t>
      </w:r>
      <w:r>
        <w:rPr>
          <w:rFonts w:ascii="Times Roman" w:hAnsi="Times Roman" w:hint="default"/>
          <w:rtl w:val="0"/>
          <w:lang w:val="en-US"/>
        </w:rPr>
        <w:t>—</w:t>
      </w:r>
      <w:r>
        <w:rPr>
          <w:rFonts w:ascii="Times Roman" w:hAnsi="Times Roman"/>
          <w:rtl w:val="0"/>
          <w:lang w:val="en-US"/>
        </w:rPr>
        <w:t>backed by the state-owned Bangladesh Postal Department</w:t>
      </w:r>
      <w:r>
        <w:rPr>
          <w:rFonts w:ascii="Times Roman" w:hAnsi="Times Roman" w:hint="default"/>
          <w:rtl w:val="0"/>
          <w:lang w:val="en-US"/>
        </w:rPr>
        <w:t>—</w:t>
      </w:r>
      <w:r>
        <w:rPr>
          <w:rFonts w:ascii="Times Roman" w:hAnsi="Times Roman"/>
          <w:rtl w:val="0"/>
          <w:lang w:val="en-US"/>
        </w:rPr>
        <w:t>intensified competition with lower fees and aggressive rural outreach, expanding the market beyond bKash</w:t>
      </w:r>
      <w:r>
        <w:rPr>
          <w:rFonts w:ascii="Times Roman" w:hAnsi="Times Roman" w:hint="default"/>
          <w:rtl w:val="1"/>
        </w:rPr>
        <w:t>’</w:t>
      </w:r>
      <w:r>
        <w:rPr>
          <w:rFonts w:ascii="Times Roman" w:hAnsi="Times Roman"/>
          <w:rtl w:val="0"/>
          <w:lang w:val="en-US"/>
        </w:rPr>
        <w:t>s early dominance (which exceeded 60 million users by 2023). Market evolution from 2015</w:t>
      </w:r>
      <w:r>
        <w:rPr>
          <w:rFonts w:ascii="Times Roman" w:hAnsi="Times Roman" w:hint="default"/>
          <w:rtl w:val="0"/>
        </w:rPr>
        <w:t>–</w:t>
      </w:r>
      <w:r>
        <w:rPr>
          <w:rFonts w:ascii="Times Roman" w:hAnsi="Times Roman"/>
          <w:rtl w:val="0"/>
          <w:lang w:val="en-US"/>
        </w:rPr>
        <w:t>2026 reflects explosive growth: MFS transaction volumes surged into the billions monthly, agent banking networks expanded to tens of thousands of points enhancing last-mile access, and overall financial inclusion rose from approximately 20</w:t>
      </w:r>
      <w:r>
        <w:rPr>
          <w:rFonts w:ascii="Times Roman" w:hAnsi="Times Roman" w:hint="default"/>
          <w:rtl w:val="0"/>
        </w:rPr>
        <w:t>–</w:t>
      </w:r>
      <w:r>
        <w:rPr>
          <w:rFonts w:ascii="Times Roman" w:hAnsi="Times Roman"/>
          <w:rtl w:val="0"/>
          <w:lang w:val="en-US"/>
        </w:rPr>
        <w:t>25% in the early 2010s to over 50% by the mid-2020s, driven by government-to-person (G2P) transfers, remittances, and utility payments (Bangladesh Bank reports; World Bank, 2021). Post-COVID acceleration further embedded digital channels, with platforms integrating savings, micro-credit, and merchant payments, while emerging initiatives explore open finance APIs and potential CBDC pilots. Nevertheless, the sector remains characterized by concentration risks (bKash, Rocket, and Nagad commanding the majority share), cybersecurity vulnerabilities exposed in high-profile incidents, rural-urban and gender digital divides, and variable digital literacy that constrain full utilization. Looking toward 2026 and beyond, prospects hinge on deeper interoperability mandates, enhanced consumer protection frameworks, financial literacy campaigns, and integration with broader Digital Bangladesh initiatives, positioning Bangladesh to leverage its high mobile penetration (over 170 million subscriptions) for inclusive, resilient digital finance while mitigating the institutional voids and trust deficits that have periodically slowed progress. This trajectory provides the empirical and contextual foundation for the thesis</w:t>
      </w:r>
      <w:r>
        <w:rPr>
          <w:rFonts w:ascii="Times Roman" w:hAnsi="Times Roman" w:hint="default"/>
          <w:rtl w:val="1"/>
        </w:rPr>
        <w:t>’</w:t>
      </w:r>
      <w:r>
        <w:rPr>
          <w:rFonts w:ascii="Times Roman" w:hAnsi="Times Roman"/>
          <w:rtl w:val="0"/>
          <w:lang w:val="en-US"/>
        </w:rPr>
        <w:t>s integrated model and primary investigation.</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3.5 Thematic Synthesis: Challenges (Security &amp; Cyber Risks, Trust Deficits Post-2024</w:t>
      </w:r>
      <w:r>
        <w:rPr>
          <w:rFonts w:ascii="Times Roman" w:hAnsi="Times Roman" w:hint="default"/>
          <w:b w:val="1"/>
          <w:bCs w:val="1"/>
          <w:sz w:val="28"/>
          <w:szCs w:val="28"/>
          <w:rtl w:val="0"/>
        </w:rPr>
        <w:t>–</w:t>
      </w:r>
      <w:r>
        <w:rPr>
          <w:rFonts w:ascii="Times Roman" w:hAnsi="Times Roman"/>
          <w:b w:val="1"/>
          <w:bCs w:val="1"/>
          <w:sz w:val="28"/>
          <w:szCs w:val="28"/>
          <w:rtl w:val="0"/>
          <w:lang w:val="en-US"/>
        </w:rPr>
        <w:t>25 Incidents, Digital Literacy &amp; Gender/Rural Divides, Infrastructure &amp; Last-Mile Quality, Regulatory Enforcement &amp; Governance Capacity, Market Concentration &amp; Compliance)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Thematic synthesis of the global, regional, and Bangladesh-specific literature reveals persistent, interconnected challenges that constrain the full realization of e-banking and mobile financial services potential, with security and cyber risks emerging as the most acute barrier. High-profile incidents in Bangladesh (including 2016</w:t>
      </w:r>
      <w:r>
        <w:rPr>
          <w:rFonts w:ascii="Times Roman" w:hAnsi="Times Roman" w:hint="default"/>
          <w:rtl w:val="0"/>
        </w:rPr>
        <w:t>–</w:t>
      </w:r>
      <w:r>
        <w:rPr>
          <w:rFonts w:ascii="Times Roman" w:hAnsi="Times Roman"/>
          <w:rtl w:val="0"/>
          <w:lang w:val="en-US"/>
        </w:rPr>
        <w:t>2020 bank heists and recurring phishing/SIM-swap frauds extending into 2024</w:t>
      </w:r>
      <w:r>
        <w:rPr>
          <w:rFonts w:ascii="Times Roman" w:hAnsi="Times Roman" w:hint="default"/>
          <w:rtl w:val="0"/>
        </w:rPr>
        <w:t>–</w:t>
      </w:r>
      <w:r>
        <w:rPr>
          <w:rFonts w:ascii="Times Roman" w:hAnsi="Times Roman"/>
          <w:rtl w:val="0"/>
          <w:lang w:val="en-US"/>
        </w:rPr>
        <w:t>2025) have amplified perceived risk, directly moderating intention-to-use pathways in UTAUT2 extensions and eroding the trust that Sharmin et al. (2021) identified as a critical predictor of internet banking adoption; meta-analyses confirm that security concerns exert stronger negative effects in emerging markets than in developed economies, with data breaches leading to temporary adoption reversals and heightened regulatory scrutiny (Montazemi &amp; Qahri-Saremi, 2015; Kumar, 2023). Trust deficits have intensified post-2024</w:t>
      </w:r>
      <w:r>
        <w:rPr>
          <w:rFonts w:ascii="Times Roman" w:hAnsi="Times Roman" w:hint="default"/>
          <w:rtl w:val="0"/>
        </w:rPr>
        <w:t>–</w:t>
      </w:r>
      <w:r>
        <w:rPr>
          <w:rFonts w:ascii="Times Roman" w:hAnsi="Times Roman"/>
          <w:rtl w:val="0"/>
          <w:lang w:val="en-US"/>
        </w:rPr>
        <w:t>2025 incidents, as cognitive-cultural pillars of institutional theory (Scott, 2008) highlight how repeated governance failures foster widespread skepticism, particularly among rural and female users who already exhibit lower baseline confidence in digital platforms; studies in South Asia consistently show trust as a stronger mediator of adoption for women and low-literacy groups, yet Bangladesh Bank redressal mechanisms remain underutilized due to awareness gaps (Abid, 2023; Hedau, 2025). Digital literacy deficits and gender/rural divides compound these issues: only a fraction of the population possesses the skills for secure app navigation or fraud recognition, with women facing normative barriers (e.g., family permission, mobility constraints) and rural residents confronting compounded access barriers, resulting in adoption rates 20</w:t>
      </w:r>
      <w:r>
        <w:rPr>
          <w:rFonts w:ascii="Times Roman" w:hAnsi="Times Roman" w:hint="default"/>
          <w:rtl w:val="0"/>
        </w:rPr>
        <w:t>–</w:t>
      </w:r>
      <w:r>
        <w:rPr>
          <w:rFonts w:ascii="Times Roman" w:hAnsi="Times Roman"/>
          <w:rtl w:val="0"/>
          <w:lang w:val="en-US"/>
        </w:rPr>
        <w:t>40 percentage points lower than urban male cohorts (World Bank, 2021; van Dijk, 2020 digital divide framework). Infrastructure and last-mile quality challenges</w:t>
      </w:r>
      <w:r>
        <w:rPr>
          <w:rFonts w:ascii="Times Roman" w:hAnsi="Times Roman" w:hint="default"/>
          <w:rtl w:val="0"/>
          <w:lang w:val="en-US"/>
        </w:rPr>
        <w:t>—</w:t>
      </w:r>
      <w:r>
        <w:rPr>
          <w:rFonts w:ascii="Times Roman" w:hAnsi="Times Roman"/>
          <w:rtl w:val="0"/>
          <w:lang w:val="en-US"/>
        </w:rPr>
        <w:t>unreliable broadband, frequent power outages, and variable agent network performance</w:t>
      </w:r>
      <w:r>
        <w:rPr>
          <w:rFonts w:ascii="Times Roman" w:hAnsi="Times Roman" w:hint="default"/>
          <w:rtl w:val="0"/>
          <w:lang w:val="en-US"/>
        </w:rPr>
        <w:t>—</w:t>
      </w:r>
      <w:r>
        <w:rPr>
          <w:rFonts w:ascii="Times Roman" w:hAnsi="Times Roman"/>
          <w:rtl w:val="0"/>
          <w:lang w:val="en-US"/>
        </w:rPr>
        <w:t>further attenuate effort expectancy and facilitating conditions in UTAUT2 models, as evidenced by slower diffusion in Nepal and parts of Indonesia compared to India</w:t>
      </w:r>
      <w:r>
        <w:rPr>
          <w:rFonts w:ascii="Times Roman" w:hAnsi="Times Roman" w:hint="default"/>
          <w:rtl w:val="1"/>
        </w:rPr>
        <w:t>’</w:t>
      </w:r>
      <w:r>
        <w:rPr>
          <w:rFonts w:ascii="Times Roman" w:hAnsi="Times Roman"/>
          <w:rtl w:val="0"/>
          <w:lang w:val="en-US"/>
        </w:rPr>
        <w:t>s UPI-enabled interoperability (Cornelli et al., 2024). Regulatory enforcement and governance capacity gaps, including inconsistent application of agent banking and cybersecurity circulars, create institutional voids that enable opportunistic behavior and delay redressal, mirroring patterns observed in Indian corporate governance failures and Pakistani enforcement fragmentation (Emerald, 2026; Scott, 2008). Finally, market concentration</w:t>
      </w:r>
      <w:r>
        <w:rPr>
          <w:rFonts w:ascii="Times Roman" w:hAnsi="Times Roman" w:hint="default"/>
          <w:rtl w:val="0"/>
          <w:lang w:val="en-US"/>
        </w:rPr>
        <w:t>—</w:t>
      </w:r>
      <w:r>
        <w:rPr>
          <w:rFonts w:ascii="Times Roman" w:hAnsi="Times Roman"/>
          <w:rtl w:val="0"/>
          <w:lang w:val="en-US"/>
        </w:rPr>
        <w:t>dominated by bKash, Rocket, and Nagad</w:t>
      </w:r>
      <w:r>
        <w:rPr>
          <w:rFonts w:ascii="Times Roman" w:hAnsi="Times Roman" w:hint="default"/>
          <w:rtl w:val="0"/>
          <w:lang w:val="en-US"/>
        </w:rPr>
        <w:t>—</w:t>
      </w:r>
      <w:r>
        <w:rPr>
          <w:rFonts w:ascii="Times Roman" w:hAnsi="Times Roman"/>
          <w:rtl w:val="0"/>
          <w:lang w:val="en-US"/>
        </w:rPr>
        <w:t>raises compliance burdens for smaller providers and risks systemic vulnerabilities, while limiting innovation incentives; comparative lessons from Kenya</w:t>
      </w:r>
      <w:r>
        <w:rPr>
          <w:rFonts w:ascii="Times Roman" w:hAnsi="Times Roman" w:hint="default"/>
          <w:rtl w:val="1"/>
        </w:rPr>
        <w:t>’</w:t>
      </w:r>
      <w:r>
        <w:rPr>
          <w:rFonts w:ascii="Times Roman" w:hAnsi="Times Roman"/>
          <w:rtl w:val="0"/>
          <w:lang w:val="en-US"/>
        </w:rPr>
        <w:t>s more competitive M-Pesa ecosystem underscore how over-centralization can stifle the price value and hedonic motivation drivers critical for sustained usage (McKinsey, 2022). Collectively, these challenges interact multiplicatively: cyber incidents exacerbate trust deficits, which in turn widen digital divides, underscoring the necessity of the thesis</w:t>
      </w:r>
      <w:r>
        <w:rPr>
          <w:rFonts w:ascii="Times Roman" w:hAnsi="Times Roman" w:hint="default"/>
          <w:rtl w:val="1"/>
        </w:rPr>
        <w:t>’</w:t>
      </w:r>
      <w:r>
        <w:rPr>
          <w:rFonts w:ascii="Times Roman" w:hAnsi="Times Roman"/>
          <w:rtl w:val="0"/>
          <w:lang w:val="en-US"/>
        </w:rPr>
        <w:t>s integrated model that embeds institutional moderators and digital divide variables to diagnose and address root causes in the Bangladesh context.</w:t>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3.6 Thematic Synthesis: Prospects (Financial Inclusion Metrics &amp; Projections, Economic Growth &amp; Productivity, Innovation Pathways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AI/Biometrics/CBDC/Open Finance/Climate Fintech, Cashless Transition Roadmap)</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Despite the challenges delineated above, the literature synthesizes compelling prospects for e-banking and MFS in Bangladesh and peer developing economies, anchored in robust financial inclusion metrics and optimistic projections. Current inclusion stands at approximately 50</w:t>
      </w:r>
      <w:r>
        <w:rPr>
          <w:rFonts w:ascii="Times Roman" w:hAnsi="Times Roman" w:hint="default"/>
          <w:rtl w:val="0"/>
        </w:rPr>
        <w:t>–</w:t>
      </w:r>
      <w:r>
        <w:rPr>
          <w:rFonts w:ascii="Times Roman" w:hAnsi="Times Roman"/>
          <w:rtl w:val="0"/>
          <w:lang w:val="en-US"/>
        </w:rPr>
        <w:t>60% (up from ~20</w:t>
      </w:r>
      <w:r>
        <w:rPr>
          <w:rFonts w:ascii="Times Roman" w:hAnsi="Times Roman" w:hint="default"/>
          <w:rtl w:val="0"/>
        </w:rPr>
        <w:t>–</w:t>
      </w:r>
      <w:r>
        <w:rPr>
          <w:rFonts w:ascii="Times Roman" w:hAnsi="Times Roman"/>
          <w:rtl w:val="0"/>
          <w:lang w:val="en-US"/>
        </w:rPr>
        <w:t>25% in the early 2010s), driven primarily by MFS platforms; projections from World Bank and Bangladesh Bank-aligned analyses forecast 75</w:t>
      </w:r>
      <w:r>
        <w:rPr>
          <w:rFonts w:ascii="Times Roman" w:hAnsi="Times Roman" w:hint="default"/>
          <w:rtl w:val="0"/>
        </w:rPr>
        <w:t>–</w:t>
      </w:r>
      <w:r>
        <w:rPr>
          <w:rFonts w:ascii="Times Roman" w:hAnsi="Times Roman"/>
          <w:rtl w:val="0"/>
          <w:lang w:val="en-US"/>
        </w:rPr>
        <w:t>85% formal access by 2030 through scaled agent networks, interoperability mandates, and targeted literacy programs, mirroring Kenya</w:t>
      </w:r>
      <w:r>
        <w:rPr>
          <w:rFonts w:ascii="Times Roman" w:hAnsi="Times Roman" w:hint="default"/>
          <w:rtl w:val="1"/>
        </w:rPr>
        <w:t>’</w:t>
      </w:r>
      <w:r>
        <w:rPr>
          <w:rFonts w:ascii="Times Roman" w:hAnsi="Times Roman"/>
          <w:rtl w:val="0"/>
          <w:lang w:val="en-US"/>
        </w:rPr>
        <w:t>s leap from 26% (2006) to 84% (2021) via M-Pesa and India</w:t>
      </w:r>
      <w:r>
        <w:rPr>
          <w:rFonts w:ascii="Times Roman" w:hAnsi="Times Roman" w:hint="default"/>
          <w:rtl w:val="1"/>
        </w:rPr>
        <w:t>’</w:t>
      </w:r>
      <w:r>
        <w:rPr>
          <w:rFonts w:ascii="Times Roman" w:hAnsi="Times Roman"/>
          <w:rtl w:val="0"/>
          <w:lang w:val="en-US"/>
        </w:rPr>
        <w:t>s UPI-fueled merchant digitization (Suri &amp; Jack, 2016; Khera et al., 2021). Economic growth and productivity gains are well-documented: digital finance contributes 0.5</w:t>
      </w:r>
      <w:r>
        <w:rPr>
          <w:rFonts w:ascii="Times Roman" w:hAnsi="Times Roman" w:hint="default"/>
          <w:rtl w:val="0"/>
        </w:rPr>
        <w:t>–</w:t>
      </w:r>
      <w:r>
        <w:rPr>
          <w:rFonts w:ascii="Times Roman" w:hAnsi="Times Roman"/>
          <w:rtl w:val="0"/>
          <w:lang w:val="en-US"/>
        </w:rPr>
        <w:t>2.2 percentage points to annual GDP per capita growth in developing nations through reduced transaction costs (76</w:t>
      </w:r>
      <w:r>
        <w:rPr>
          <w:rFonts w:ascii="Times Roman" w:hAnsi="Times Roman" w:hint="default"/>
          <w:rtl w:val="0"/>
        </w:rPr>
        <w:t>–</w:t>
      </w:r>
      <w:r>
        <w:rPr>
          <w:rFonts w:ascii="Times Roman" w:hAnsi="Times Roman"/>
          <w:rtl w:val="0"/>
          <w:lang w:val="en-US"/>
        </w:rPr>
        <w:t>92% savings), enhanced SME financing, and efficient G2P transfers, with Bangladesh-specific estimates indicating billions in annual remittances and utility payment efficiencies that free household and enterprise capital for productive investment (IMF, 2021; Artha, 2026). Innovation pathways offer transformative potential: artificial intelligence and biometrics are poised to revolutionize fraud detection and onboarding (reducing SIM-swap risks while improving user experience), while Central Bank Digital Currency (CBDC) pilots</w:t>
      </w:r>
      <w:r>
        <w:rPr>
          <w:rFonts w:ascii="Times Roman" w:hAnsi="Times Roman" w:hint="default"/>
          <w:rtl w:val="0"/>
          <w:lang w:val="en-US"/>
        </w:rPr>
        <w:t>—</w:t>
      </w:r>
      <w:r>
        <w:rPr>
          <w:rFonts w:ascii="Times Roman" w:hAnsi="Times Roman"/>
          <w:rtl w:val="0"/>
          <w:lang w:val="en-US"/>
        </w:rPr>
        <w:t>guided by BIS and IMF frameworks</w:t>
      </w:r>
      <w:r>
        <w:rPr>
          <w:rFonts w:ascii="Times Roman" w:hAnsi="Times Roman" w:hint="default"/>
          <w:rtl w:val="0"/>
          <w:lang w:val="en-US"/>
        </w:rPr>
        <w:t>—</w:t>
      </w:r>
      <w:r>
        <w:rPr>
          <w:rFonts w:ascii="Times Roman" w:hAnsi="Times Roman"/>
          <w:rtl w:val="0"/>
          <w:lang w:val="en-US"/>
        </w:rPr>
        <w:t>could anchor trust and interoperability; open finance APIs (extending PSD2-like models) promise personalized products via secure data sharing, and climate fintech integrations (e.g., green micro-loans tracked via blockchain) align digital finance with Bangladesh</w:t>
      </w:r>
      <w:r>
        <w:rPr>
          <w:rFonts w:ascii="Times Roman" w:hAnsi="Times Roman" w:hint="default"/>
          <w:rtl w:val="1"/>
        </w:rPr>
        <w:t>’</w:t>
      </w:r>
      <w:r>
        <w:rPr>
          <w:rFonts w:ascii="Times Roman" w:hAnsi="Times Roman"/>
          <w:rtl w:val="0"/>
          <w:lang w:val="en-US"/>
        </w:rPr>
        <w:t>s climate vulnerability priorities (BIS, 2025; Farah et al., 2026). These pathways build directly on UTAUT2 extensions validated in Bangladesh, where performance expectancy and trust enhancements from technological upgrades can accelerate adoption among currently underserved segments. A phased cashless transition roadmap emerges from comparative successes: short-term (2026</w:t>
      </w:r>
      <w:r>
        <w:rPr>
          <w:rFonts w:ascii="Times Roman" w:hAnsi="Times Roman" w:hint="default"/>
          <w:rtl w:val="0"/>
        </w:rPr>
        <w:t>–</w:t>
      </w:r>
      <w:r>
        <w:rPr>
          <w:rFonts w:ascii="Times Roman" w:hAnsi="Times Roman"/>
          <w:rtl w:val="0"/>
          <w:lang w:val="en-US"/>
        </w:rPr>
        <w:t>2028) focus on mandatory interoperability, agent quality certification, and nationwide digital literacy campaigns; medium-term (2028</w:t>
      </w:r>
      <w:r>
        <w:rPr>
          <w:rFonts w:ascii="Times Roman" w:hAnsi="Times Roman" w:hint="default"/>
          <w:rtl w:val="0"/>
        </w:rPr>
        <w:t>–</w:t>
      </w:r>
      <w:r>
        <w:rPr>
          <w:rFonts w:ascii="Times Roman" w:hAnsi="Times Roman"/>
          <w:rtl w:val="0"/>
          <w:lang w:val="en-US"/>
        </w:rPr>
        <w:t>2032) integration of AI/biometrics and open finance frameworks with robust post-fraud governance; and long-term (2032+) CBDC and climate fintech scaling toward near-cashless ecosystems, supported by regulatory sandboxes and public-private partnerships modeled on India</w:t>
      </w:r>
      <w:r>
        <w:rPr>
          <w:rFonts w:ascii="Times Roman" w:hAnsi="Times Roman" w:hint="default"/>
          <w:rtl w:val="1"/>
        </w:rPr>
        <w:t>’</w:t>
      </w:r>
      <w:r>
        <w:rPr>
          <w:rFonts w:ascii="Times Roman" w:hAnsi="Times Roman"/>
          <w:rtl w:val="0"/>
          <w:lang w:val="en-US"/>
        </w:rPr>
        <w:t>s NPCI and Kenya</w:t>
      </w:r>
      <w:r>
        <w:rPr>
          <w:rFonts w:ascii="Times Roman" w:hAnsi="Times Roman" w:hint="default"/>
          <w:rtl w:val="1"/>
        </w:rPr>
        <w:t>’</w:t>
      </w:r>
      <w:r>
        <w:rPr>
          <w:rFonts w:ascii="Times Roman" w:hAnsi="Times Roman"/>
          <w:rtl w:val="0"/>
          <w:lang w:val="en-US"/>
        </w:rPr>
        <w:t>s agent networks. Realization of these prospects, however, hinges on addressing the challenges in Section 3.5 through the thesis</w:t>
      </w:r>
      <w:r>
        <w:rPr>
          <w:rFonts w:ascii="Times Roman" w:hAnsi="Times Roman" w:hint="default"/>
          <w:rtl w:val="1"/>
        </w:rPr>
        <w:t>’</w:t>
      </w:r>
      <w:r>
        <w:rPr>
          <w:rFonts w:ascii="Times Roman" w:hAnsi="Times Roman"/>
          <w:rtl w:val="0"/>
          <w:lang w:val="en-US"/>
        </w:rPr>
        <w:t>s proposed integrated conceptual model, which positions institutional pillars and digital divide variables as actionable levers for inclusive, resilient growth</w:t>
      </w:r>
      <w:r>
        <w:rPr>
          <w:rFonts w:ascii="Times Roman" w:hAnsi="Times Roman" w:hint="default"/>
          <w:rtl w:val="0"/>
          <w:lang w:val="en-US"/>
        </w:rPr>
        <w:t>—</w:t>
      </w:r>
      <w:r>
        <w:rPr>
          <w:rFonts w:ascii="Times Roman" w:hAnsi="Times Roman"/>
          <w:rtl w:val="0"/>
          <w:lang w:val="en-US"/>
        </w:rPr>
        <w:t>ultimately transforming e-banking from a convenience tool into a cornerstone of Bangladesh</w:t>
      </w:r>
      <w:r>
        <w:rPr>
          <w:rFonts w:ascii="Times Roman" w:hAnsi="Times Roman" w:hint="default"/>
          <w:rtl w:val="1"/>
        </w:rPr>
        <w:t>’</w:t>
      </w:r>
      <w:r>
        <w:rPr>
          <w:rFonts w:ascii="Times Roman" w:hAnsi="Times Roman"/>
          <w:rtl w:val="0"/>
          <w:lang w:val="en-US"/>
        </w:rPr>
        <w:t>s sustainable development agenda.</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3.7 Identification of Research Gaps and Justification for Current Study (Explicit Gap Matrix: Theoretical, Empirical, Contextual, Methodological)</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Systematic synthesis across Sections 3.2</w:t>
      </w:r>
      <w:r>
        <w:rPr>
          <w:rFonts w:ascii="Times Roman" w:hAnsi="Times Roman" w:hint="default"/>
          <w:rtl w:val="0"/>
        </w:rPr>
        <w:t>–</w:t>
      </w:r>
      <w:r>
        <w:rPr>
          <w:rFonts w:ascii="Times Roman" w:hAnsi="Times Roman"/>
          <w:rtl w:val="0"/>
          <w:lang w:val="en-US"/>
        </w:rPr>
        <w:t xml:space="preserve">3.6 reveals four interlocking categories of research gaps that collectively justify the current thesis as a timely and necessary contribution to e-banking scholarship in emerging economies. </w:t>
      </w:r>
      <w:r>
        <w:rPr>
          <w:rFonts w:ascii="Times Roman" w:hAnsi="Times Roman"/>
          <w:b w:val="1"/>
          <w:bCs w:val="1"/>
          <w:rtl w:val="0"/>
          <w:lang w:val="en-US"/>
        </w:rPr>
        <w:t>Theoretical gaps</w:t>
      </w:r>
      <w:r>
        <w:rPr>
          <w:rFonts w:ascii="Times Roman" w:hAnsi="Times Roman"/>
          <w:rtl w:val="0"/>
          <w:lang w:val="en-US"/>
        </w:rPr>
        <w:t xml:space="preserve"> are pronounced: while UTAUT2 has been validated in isolated South Asian contexts (Sharmin et al., 2021; Chauhan et al., 2022; Abid, 2023), no study has yet integrated its core constructs with Scott</w:t>
      </w:r>
      <w:r>
        <w:rPr>
          <w:rFonts w:ascii="Times Roman" w:hAnsi="Times Roman" w:hint="default"/>
          <w:rtl w:val="1"/>
        </w:rPr>
        <w:t>’</w:t>
      </w:r>
      <w:r>
        <w:rPr>
          <w:rFonts w:ascii="Times Roman" w:hAnsi="Times Roman"/>
          <w:rtl w:val="0"/>
          <w:lang w:val="nl-NL"/>
        </w:rPr>
        <w:t>s (2008) regulative-normative-cognitive institutional pillars and van Dijk</w:t>
      </w:r>
      <w:r>
        <w:rPr>
          <w:rFonts w:ascii="Times Roman" w:hAnsi="Times Roman" w:hint="default"/>
          <w:rtl w:val="1"/>
        </w:rPr>
        <w:t>’</w:t>
      </w:r>
      <w:r>
        <w:rPr>
          <w:rFonts w:ascii="Times Roman" w:hAnsi="Times Roman"/>
          <w:rtl w:val="0"/>
          <w:lang w:val="en-US"/>
        </w:rPr>
        <w:t xml:space="preserve">s (2020) digital divide dimensions into a single multi-level framework; this omission leaves unexplained the multiplicative interactions between individual cognitions, institutional voids, and structural inequalities that meta-analyses and thematic reviews consistently identify as critical in Bangladesh and peer markets. </w:t>
      </w:r>
      <w:r>
        <w:rPr>
          <w:rFonts w:ascii="Times Roman" w:hAnsi="Times Roman"/>
          <w:b w:val="1"/>
          <w:bCs w:val="1"/>
          <w:rtl w:val="0"/>
          <w:lang w:val="en-US"/>
        </w:rPr>
        <w:t>Empirical gaps</w:t>
      </w:r>
      <w:r>
        <w:rPr>
          <w:rFonts w:ascii="Times Roman" w:hAnsi="Times Roman"/>
          <w:rtl w:val="0"/>
          <w:lang w:val="en-US"/>
        </w:rPr>
        <w:t xml:space="preserve"> center on the scarcity of post-adoption, longitudinal, and incident-specific data: most quantitative work remains cross-sectional and pre-2024, with limited examination of how 2024</w:t>
      </w:r>
      <w:r>
        <w:rPr>
          <w:rFonts w:ascii="Times Roman" w:hAnsi="Times Roman" w:hint="default"/>
          <w:rtl w:val="0"/>
        </w:rPr>
        <w:t>–</w:t>
      </w:r>
      <w:r>
        <w:rPr>
          <w:rFonts w:ascii="Times Roman" w:hAnsi="Times Roman"/>
          <w:rtl w:val="0"/>
          <w:lang w:val="en-US"/>
        </w:rPr>
        <w:t>2025 cyber incidents have altered trust trajectories or how agent banking networks perform under real-world stress; primary data collection in Bangladesh remains thin compared to India</w:t>
      </w:r>
      <w:r>
        <w:rPr>
          <w:rFonts w:ascii="Times Roman" w:hAnsi="Times Roman" w:hint="default"/>
          <w:rtl w:val="1"/>
        </w:rPr>
        <w:t>’</w:t>
      </w:r>
      <w:r>
        <w:rPr>
          <w:rFonts w:ascii="Times Roman" w:hAnsi="Times Roman"/>
          <w:rtl w:val="0"/>
          <w:lang w:val="en-US"/>
        </w:rPr>
        <w:t>s UPI or Kenya</w:t>
      </w:r>
      <w:r>
        <w:rPr>
          <w:rFonts w:ascii="Times Roman" w:hAnsi="Times Roman" w:hint="default"/>
          <w:rtl w:val="1"/>
        </w:rPr>
        <w:t>’</w:t>
      </w:r>
      <w:r>
        <w:rPr>
          <w:rFonts w:ascii="Times Roman" w:hAnsi="Times Roman"/>
          <w:rtl w:val="0"/>
          <w:lang w:val="en-US"/>
        </w:rPr>
        <w:t xml:space="preserve">s M-Pesa ecosystems, and few studies track socio-economic outcomes (poverty, gender empowerment, productivity) beyond initial adoption metrics (Suri &amp; Jack, 2016; Khera et al., 2021). </w:t>
      </w:r>
      <w:r>
        <w:rPr>
          <w:rFonts w:ascii="Times Roman" w:hAnsi="Times Roman"/>
          <w:b w:val="1"/>
          <w:bCs w:val="1"/>
          <w:rtl w:val="0"/>
          <w:lang w:val="pt-PT"/>
        </w:rPr>
        <w:t>Contextual gaps</w:t>
      </w:r>
      <w:r>
        <w:rPr>
          <w:rFonts w:ascii="Times Roman" w:hAnsi="Times Roman"/>
          <w:rtl w:val="0"/>
          <w:lang w:val="en-US"/>
        </w:rPr>
        <w:t xml:space="preserve"> are stark for Bangladesh itself: despite its rapid MFS growth (bKash, Nagad, Rocket), the literature disproportionately privileges India, Pakistan, and Kenya, neglecting Bangladesh-specific dynamics such as state-backed Nagad competition, post-2016</w:t>
      </w:r>
      <w:r>
        <w:rPr>
          <w:rFonts w:ascii="Times Roman" w:hAnsi="Times Roman" w:hint="default"/>
          <w:rtl w:val="0"/>
        </w:rPr>
        <w:t>–</w:t>
      </w:r>
      <w:r>
        <w:rPr>
          <w:rFonts w:ascii="Times Roman" w:hAnsi="Times Roman"/>
          <w:rtl w:val="0"/>
          <w:lang w:val="en-US"/>
        </w:rPr>
        <w:t xml:space="preserve">2025 governance capacity constraints, rural last-mile quality variations, and the interplay between high mobile penetration and persistent gender/rural divides; comparative lessons exist but are rarely synthesized into actionable, context-sensitive models. </w:t>
      </w:r>
      <w:r>
        <w:rPr>
          <w:rFonts w:ascii="Times Roman" w:hAnsi="Times Roman"/>
          <w:b w:val="1"/>
          <w:bCs w:val="1"/>
          <w:rtl w:val="0"/>
          <w:lang w:val="en-US"/>
        </w:rPr>
        <w:t>Methodological gaps</w:t>
      </w:r>
      <w:r>
        <w:rPr>
          <w:rFonts w:ascii="Times Roman" w:hAnsi="Times Roman"/>
          <w:rtl w:val="0"/>
          <w:lang w:val="en-US"/>
        </w:rPr>
        <w:t xml:space="preserve"> include over-reliance on single-method (primarily SEM or survey) designs, absence of mixed-methods triangulation that combines quantitative adoption modeling with qualitative institutional analysis, and minimal application of bibliometric or scientometric techniques focused on South Asia/Bangladesh to map intellectual structures and emerging themes. These gaps are not merely additive but interactive: theoretical fragmentation perpetuates empirical blind spots, which in turn leave contextual nuances unaddressed and methodological innovation stifled. The current study directly addresses all four categories by (a) proposing and testing an integrated UTAUT2 + Institutional Theory + Digital Divide model, (b) collecting primary mixed-methods data in Bangladesh that explicitly captures post-2024</w:t>
      </w:r>
      <w:r>
        <w:rPr>
          <w:rFonts w:ascii="Times Roman" w:hAnsi="Times Roman" w:hint="default"/>
          <w:rtl w:val="0"/>
        </w:rPr>
        <w:t>–</w:t>
      </w:r>
      <w:r>
        <w:rPr>
          <w:rFonts w:ascii="Times Roman" w:hAnsi="Times Roman"/>
          <w:rtl w:val="0"/>
          <w:lang w:val="en-US"/>
        </w:rPr>
        <w:t>25 trust and governance dynamics, (c) centering the under-researched Bangladeshi context while drawing comparative insights, and (d) employing advanced analytical techniques (SEM for quantitative paths, thematic analysis for qualitative depth, and bibliometric mapping for field positioning). This multi-pronged approach ensures the thesis moves beyond descriptive validation to explanatory and prescriptive contributions with direct policy relevance for Bangladesh Bank, fintech providers, and regional regulators.</w:t>
      </w:r>
      <w:r>
        <w:rPr>
          <w:rFonts w:ascii="Times Roman" w:cs="Times Roman" w:hAnsi="Times Roman" w:eastAsia="Times Roman"/>
        </w:rPr>
        <w:drawing xmlns:a="http://schemas.openxmlformats.org/drawingml/2006/main">
          <wp:anchor distT="152400" distB="152400" distL="152400" distR="152400" simplePos="0" relativeHeight="251669504" behindDoc="0" locked="0" layoutInCell="1" allowOverlap="1">
            <wp:simplePos x="0" y="0"/>
            <wp:positionH relativeFrom="margin">
              <wp:posOffset>222264</wp:posOffset>
            </wp:positionH>
            <wp:positionV relativeFrom="line">
              <wp:posOffset>236500</wp:posOffset>
            </wp:positionV>
            <wp:extent cx="5662828" cy="3682537"/>
            <wp:effectExtent l="0" t="0" r="0" b="0"/>
            <wp:wrapThrough wrapText="bothSides" distL="152400" distR="152400">
              <wp:wrapPolygon edited="1">
                <wp:start x="0" y="0"/>
                <wp:lineTo x="21621" y="0"/>
                <wp:lineTo x="21621" y="21603"/>
                <wp:lineTo x="0" y="21603"/>
                <wp:lineTo x="0" y="0"/>
              </wp:wrapPolygon>
            </wp:wrapThrough>
            <wp:docPr id="1073741843"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43" name="pasted-movie.png" descr="pasted-movie.png"/>
                    <pic:cNvPicPr>
                      <a:picLocks noChangeAspect="1"/>
                    </pic:cNvPicPr>
                  </pic:nvPicPr>
                  <pic:blipFill>
                    <a:blip r:embed="rId18">
                      <a:extLst/>
                    </a:blip>
                    <a:stretch>
                      <a:fillRect/>
                    </a:stretch>
                  </pic:blipFill>
                  <pic:spPr>
                    <a:xfrm>
                      <a:off x="0" y="0"/>
                      <a:ext cx="5662828" cy="3682537"/>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i w:val="1"/>
          <w:iCs w:val="1"/>
        </w:rPr>
      </w:pPr>
      <w:r>
        <w:rPr>
          <w:rFonts w:ascii="Times Roman" w:hAnsi="Times Roman"/>
          <w:b w:val="1"/>
          <w:bCs w:val="1"/>
          <w:rtl w:val="0"/>
          <w:lang w:val="it-IT"/>
        </w:rPr>
        <w:t>Figure 3.3:</w:t>
      </w:r>
      <w:r>
        <w:rPr>
          <w:rFonts w:ascii="Times Roman" w:hAnsi="Times Roman"/>
          <w:rtl w:val="0"/>
        </w:rPr>
        <w:t xml:space="preserve"> </w:t>
      </w:r>
      <w:r>
        <w:rPr>
          <w:rFonts w:ascii="Times Roman" w:hAnsi="Times Roman"/>
          <w:i w:val="1"/>
          <w:iCs w:val="1"/>
          <w:rtl w:val="0"/>
          <w:lang w:val="en-US"/>
        </w:rPr>
        <w:t>Integrated Conceptual Model (UTAUT2 + Institutional Theory + Digital Divide)</w:t>
      </w:r>
      <w:r>
        <w:rPr>
          <w:rFonts w:ascii="Times Roman" w:hAnsi="Times Roman"/>
          <w:i w:val="1"/>
          <w:iCs w:val="1"/>
          <w:rtl w:val="0"/>
          <w:lang w:val="en-US"/>
        </w:rPr>
        <w:t>.</w:t>
      </w:r>
      <w:r>
        <w:rPr>
          <w:rFonts w:ascii="Times Roman" w:hAnsi="Times Roman"/>
          <w:b w:val="1"/>
          <w:bCs w:val="1"/>
          <w:i w:val="1"/>
          <w:iCs w:val="1"/>
          <w:rtl w:val="0"/>
          <w:lang w:val="it-IT"/>
        </w:rPr>
        <w:t>Scott</w:t>
      </w:r>
      <w:r>
        <w:rPr>
          <w:rFonts w:ascii="Times Roman" w:hAnsi="Times Roman" w:hint="default"/>
          <w:b w:val="1"/>
          <w:bCs w:val="1"/>
          <w:i w:val="1"/>
          <w:iCs w:val="1"/>
          <w:rtl w:val="1"/>
        </w:rPr>
        <w:t>’</w:t>
      </w:r>
      <w:r>
        <w:rPr>
          <w:rFonts w:ascii="Times Roman" w:hAnsi="Times Roman"/>
          <w:b w:val="1"/>
          <w:bCs w:val="1"/>
          <w:i w:val="1"/>
          <w:iCs w:val="1"/>
          <w:rtl w:val="0"/>
        </w:rPr>
        <w:t>s (2008)</w:t>
      </w:r>
    </w:p>
    <w:p>
      <w:pPr>
        <w:pStyle w:val="Default"/>
        <w:suppressAutoHyphens w:val="1"/>
        <w:spacing w:before="0" w:line="240" w:lineRule="auto"/>
        <w:jc w:val="both"/>
        <w:rPr>
          <w:rFonts w:ascii="Times Roman" w:cs="Times Roman" w:hAnsi="Times Roman" w:eastAsia="Times Roman"/>
          <w:b w:val="1"/>
          <w:bCs w:val="1"/>
          <w:i w:val="1"/>
          <w:i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3.3: Proposed Integrated Conceptual Framework, synthesizing UTAUT2 constructs, Scott</w:t>
      </w:r>
      <w:r>
        <w:rPr>
          <w:rFonts w:ascii="Times Roman" w:hAnsi="Times Roman" w:hint="default"/>
          <w:i w:val="1"/>
          <w:iCs w:val="1"/>
          <w:rtl w:val="1"/>
        </w:rPr>
        <w:t>’</w:t>
      </w:r>
      <w:r>
        <w:rPr>
          <w:rFonts w:ascii="Times Roman" w:hAnsi="Times Roman"/>
          <w:i w:val="1"/>
          <w:iCs w:val="1"/>
          <w:rtl w:val="0"/>
          <w:lang w:val="nl-NL"/>
        </w:rPr>
        <w:t>s (2008) Institutional Pillars, and van Dijk</w:t>
      </w:r>
      <w:r>
        <w:rPr>
          <w:rFonts w:ascii="Times Roman" w:hAnsi="Times Roman" w:hint="default"/>
          <w:i w:val="1"/>
          <w:iCs w:val="1"/>
          <w:rtl w:val="1"/>
        </w:rPr>
        <w:t>’</w:t>
      </w:r>
      <w:r>
        <w:rPr>
          <w:rFonts w:ascii="Times Roman" w:hAnsi="Times Roman"/>
          <w:i w:val="1"/>
          <w:iCs w:val="1"/>
          <w:rtl w:val="0"/>
          <w:lang w:val="en-US"/>
        </w:rPr>
        <w:t>s (2020) Digital Divide dimensions to predict e-banking adoption and socio-economic impacts in Bangladesh.</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3.8 Bibliometric and Scientometric Analysis of E-banking/Fintech Research in Bangladesh and South Asia (if extended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VOSviewer/Co-occurrence, Citation Networks)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Although not the primary focus of the present thesis, an extended bibliometric and scientometric lens applied to the 148 studies retained in the PRISMA review (Section 3.1) and supplementary Scopus/Web of Science data (2000</w:t>
      </w:r>
      <w:r>
        <w:rPr>
          <w:rFonts w:ascii="Times Roman" w:hAnsi="Times Roman" w:hint="default"/>
          <w:rtl w:val="0"/>
        </w:rPr>
        <w:t>–</w:t>
      </w:r>
      <w:r>
        <w:rPr>
          <w:rFonts w:ascii="Times Roman" w:hAnsi="Times Roman"/>
          <w:rtl w:val="0"/>
          <w:lang w:val="en-US"/>
        </w:rPr>
        <w:t xml:space="preserve">May 2026) illuminates the intellectual structure of e-banking/fintech research in Bangladesh and South Asia, revealing both maturation and persistent fragmentation that further justifies the current study. Global fintech adoption literature (analyzed via VOSviewer co-occurrence maps in recent syntheses) clusters around four dominant themes: technology acceptance models (TAM/UTAUT keywords co-occurring with </w:t>
      </w:r>
      <w:r>
        <w:rPr>
          <w:rFonts w:ascii="Times Roman" w:hAnsi="Times Roman" w:hint="default"/>
          <w:rtl w:val="1"/>
          <w:lang w:val="ar-SA" w:bidi="ar-SA"/>
        </w:rPr>
        <w:t>“</w:t>
      </w:r>
      <w:r>
        <w:rPr>
          <w:rFonts w:ascii="Times Roman" w:hAnsi="Times Roman"/>
          <w:rtl w:val="0"/>
          <w:lang w:val="en-US"/>
        </w:rPr>
        <w:t>perceived usefulness,</w:t>
      </w:r>
      <w:r>
        <w:rPr>
          <w:rFonts w:ascii="Times Roman" w:hAnsi="Times Roman" w:hint="default"/>
          <w:rtl w:val="0"/>
        </w:rPr>
        <w:t>” “</w:t>
      </w:r>
      <w:r>
        <w:rPr>
          <w:rFonts w:ascii="Times Roman" w:hAnsi="Times Roman"/>
          <w:rtl w:val="0"/>
          <w:lang w:val="en-US"/>
        </w:rPr>
        <w:t>trust,</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rPr>
        <w:t>risk</w:t>
      </w:r>
      <w:r>
        <w:rPr>
          <w:rFonts w:ascii="Times Roman" w:hAnsi="Times Roman" w:hint="default"/>
          <w:rtl w:val="0"/>
        </w:rPr>
        <w:t>”</w:t>
      </w:r>
      <w:r>
        <w:rPr>
          <w:rFonts w:ascii="Times Roman" w:hAnsi="Times Roman"/>
          <w:rtl w:val="0"/>
          <w:lang w:val="en-US"/>
        </w:rPr>
        <w:t>), financial inclusion outcomes (</w:t>
      </w:r>
      <w:r>
        <w:rPr>
          <w:rFonts w:ascii="Times Roman" w:hAnsi="Times Roman" w:hint="default"/>
          <w:rtl w:val="1"/>
          <w:lang w:val="ar-SA" w:bidi="ar-SA"/>
        </w:rPr>
        <w:t>“</w:t>
      </w:r>
      <w:r>
        <w:rPr>
          <w:rFonts w:ascii="Times Roman" w:hAnsi="Times Roman"/>
          <w:rtl w:val="0"/>
          <w:lang w:val="en-US"/>
        </w:rPr>
        <w:t>poverty reduction,</w:t>
      </w:r>
      <w:r>
        <w:rPr>
          <w:rFonts w:ascii="Times Roman" w:hAnsi="Times Roman" w:hint="default"/>
          <w:rtl w:val="0"/>
        </w:rPr>
        <w:t>” “</w:t>
      </w:r>
      <w:r>
        <w:rPr>
          <w:rFonts w:ascii="Times Roman" w:hAnsi="Times Roman"/>
          <w:rtl w:val="0"/>
          <w:lang w:val="en-US"/>
        </w:rPr>
        <w:t>women empowerment,</w:t>
      </w:r>
      <w:r>
        <w:rPr>
          <w:rFonts w:ascii="Times Roman" w:hAnsi="Times Roman" w:hint="default"/>
          <w:rtl w:val="0"/>
        </w:rPr>
        <w:t>” “</w:t>
      </w:r>
      <w:r>
        <w:rPr>
          <w:rFonts w:ascii="Times Roman" w:hAnsi="Times Roman"/>
          <w:rtl w:val="0"/>
          <w:lang w:val="en-US"/>
        </w:rPr>
        <w:t>GDP growth</w:t>
      </w:r>
      <w:r>
        <w:rPr>
          <w:rFonts w:ascii="Times Roman" w:hAnsi="Times Roman" w:hint="default"/>
          <w:rtl w:val="0"/>
        </w:rPr>
        <w:t>”</w:t>
      </w:r>
      <w:r>
        <w:rPr>
          <w:rFonts w:ascii="Times Roman" w:hAnsi="Times Roman"/>
          <w:rtl w:val="0"/>
          <w:lang w:val="en-US"/>
        </w:rPr>
        <w:t>), regulatory and institutional factors (</w:t>
      </w:r>
      <w:r>
        <w:rPr>
          <w:rFonts w:ascii="Times Roman" w:hAnsi="Times Roman" w:hint="default"/>
          <w:rtl w:val="1"/>
          <w:lang w:val="ar-SA" w:bidi="ar-SA"/>
        </w:rPr>
        <w:t>“</w:t>
      </w:r>
      <w:r>
        <w:rPr>
          <w:rFonts w:ascii="Times Roman" w:hAnsi="Times Roman"/>
          <w:rtl w:val="0"/>
          <w:lang w:val="nl-NL"/>
        </w:rPr>
        <w:t>open banking,</w:t>
      </w:r>
      <w:r>
        <w:rPr>
          <w:rFonts w:ascii="Times Roman" w:hAnsi="Times Roman" w:hint="default"/>
          <w:rtl w:val="0"/>
        </w:rPr>
        <w:t>” “</w:t>
      </w:r>
      <w:r>
        <w:rPr>
          <w:rFonts w:ascii="Times Roman" w:hAnsi="Times Roman"/>
          <w:rtl w:val="0"/>
          <w:lang w:val="en-US"/>
        </w:rPr>
        <w:t>CBDC,</w:t>
      </w:r>
      <w:r>
        <w:rPr>
          <w:rFonts w:ascii="Times Roman" w:hAnsi="Times Roman" w:hint="default"/>
          <w:rtl w:val="0"/>
        </w:rPr>
        <w:t>” “</w:t>
      </w:r>
      <w:r>
        <w:rPr>
          <w:rFonts w:ascii="Times Roman" w:hAnsi="Times Roman"/>
          <w:rtl w:val="0"/>
          <w:lang w:val="en-US"/>
        </w:rPr>
        <w:t>cybersecurity</w:t>
      </w:r>
      <w:r>
        <w:rPr>
          <w:rFonts w:ascii="Times Roman" w:hAnsi="Times Roman" w:hint="default"/>
          <w:rtl w:val="0"/>
        </w:rPr>
        <w:t>”</w:t>
      </w:r>
      <w:r>
        <w:rPr>
          <w:rFonts w:ascii="Times Roman" w:hAnsi="Times Roman"/>
          <w:rtl w:val="0"/>
          <w:lang w:val="en-US"/>
        </w:rPr>
        <w:t>), and innovation pathways (</w:t>
      </w:r>
      <w:r>
        <w:rPr>
          <w:rFonts w:ascii="Times Roman" w:hAnsi="Times Roman" w:hint="default"/>
          <w:rtl w:val="1"/>
          <w:lang w:val="ar-SA" w:bidi="ar-SA"/>
        </w:rPr>
        <w:t>“</w:t>
      </w:r>
      <w:r>
        <w:rPr>
          <w:rFonts w:ascii="Times Roman" w:hAnsi="Times Roman"/>
          <w:rtl w:val="0"/>
        </w:rPr>
        <w:t>AI,</w:t>
      </w:r>
      <w:r>
        <w:rPr>
          <w:rFonts w:ascii="Times Roman" w:hAnsi="Times Roman" w:hint="default"/>
          <w:rtl w:val="0"/>
        </w:rPr>
        <w:t>” “</w:t>
      </w:r>
      <w:r>
        <w:rPr>
          <w:rFonts w:ascii="Times Roman" w:hAnsi="Times Roman"/>
          <w:rtl w:val="0"/>
          <w:lang w:val="en-US"/>
        </w:rPr>
        <w:t>blockchain,</w:t>
      </w:r>
      <w:r>
        <w:rPr>
          <w:rFonts w:ascii="Times Roman" w:hAnsi="Times Roman" w:hint="default"/>
          <w:rtl w:val="0"/>
        </w:rPr>
        <w:t>” “</w:t>
      </w:r>
      <w:r>
        <w:rPr>
          <w:rFonts w:ascii="Times Roman" w:hAnsi="Times Roman"/>
          <w:rtl w:val="0"/>
          <w:lang w:val="it-IT"/>
        </w:rPr>
        <w:t>climate fintech</w:t>
      </w:r>
      <w:r>
        <w:rPr>
          <w:rFonts w:ascii="Times Roman" w:hAnsi="Times Roman" w:hint="default"/>
          <w:rtl w:val="0"/>
        </w:rPr>
        <w:t>”</w:t>
      </w:r>
      <w:r>
        <w:rPr>
          <w:rFonts w:ascii="Times Roman" w:hAnsi="Times Roman"/>
          <w:rtl w:val="0"/>
          <w:lang w:val="en-US"/>
        </w:rPr>
        <w:t>); citation networks show strong hubs in India (UPI-related papers) and Kenya (M-Pesa ecosystem studies), with Bangladesh appearing as a peripheral but growing node since 2015, primarily linked to bKash/MFS adoption and trust extensions (Acosta-Prado et al., 2024; Ghosh, 2024). Within South Asia specifically, co-word analysis of 200+ papers (2013</w:t>
      </w:r>
      <w:r>
        <w:rPr>
          <w:rFonts w:ascii="Times Roman" w:hAnsi="Times Roman" w:hint="default"/>
          <w:rtl w:val="0"/>
        </w:rPr>
        <w:t>–</w:t>
      </w:r>
      <w:r>
        <w:rPr>
          <w:rFonts w:ascii="Times Roman" w:hAnsi="Times Roman"/>
          <w:rtl w:val="0"/>
          <w:lang w:val="en-US"/>
        </w:rPr>
        <w:t xml:space="preserve">2026) identifies dense clusters around </w:t>
      </w:r>
      <w:r>
        <w:rPr>
          <w:rFonts w:ascii="Times Roman" w:hAnsi="Times Roman" w:hint="default"/>
          <w:rtl w:val="1"/>
          <w:lang w:val="ar-SA" w:bidi="ar-SA"/>
        </w:rPr>
        <w:t>“</w:t>
      </w:r>
      <w:r>
        <w:rPr>
          <w:rFonts w:ascii="Times Roman" w:hAnsi="Times Roman"/>
          <w:rtl w:val="0"/>
          <w:lang w:val="de-DE"/>
        </w:rPr>
        <w:t>UTAUT2,</w:t>
      </w:r>
      <w:r>
        <w:rPr>
          <w:rFonts w:ascii="Times Roman" w:hAnsi="Times Roman" w:hint="default"/>
          <w:rtl w:val="0"/>
        </w:rPr>
        <w:t>” “</w:t>
      </w:r>
      <w:r>
        <w:rPr>
          <w:rFonts w:ascii="Times Roman" w:hAnsi="Times Roman"/>
          <w:rtl w:val="0"/>
          <w:lang w:val="en-US"/>
        </w:rPr>
        <w:t>mobile banking,</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financial inclusion,</w:t>
      </w:r>
      <w:r>
        <w:rPr>
          <w:rFonts w:ascii="Times Roman" w:hAnsi="Times Roman" w:hint="default"/>
          <w:rtl w:val="0"/>
        </w:rPr>
        <w:t xml:space="preserve">” </w:t>
      </w:r>
      <w:r>
        <w:rPr>
          <w:rFonts w:ascii="Times Roman" w:hAnsi="Times Roman"/>
          <w:rtl w:val="0"/>
          <w:lang w:val="en-US"/>
        </w:rPr>
        <w:t>yet Bangladesh-specific output remains modest (approximately 15</w:t>
      </w:r>
      <w:r>
        <w:rPr>
          <w:rFonts w:ascii="Times Roman" w:hAnsi="Times Roman" w:hint="default"/>
          <w:rtl w:val="0"/>
        </w:rPr>
        <w:t>–</w:t>
      </w:r>
      <w:r>
        <w:rPr>
          <w:rFonts w:ascii="Times Roman" w:hAnsi="Times Roman"/>
          <w:rtl w:val="0"/>
          <w:lang w:val="en-US"/>
        </w:rPr>
        <w:t xml:space="preserve">20 high-quality empirical studies post-2015 versus 60+ for India), with limited cross-citation to institutional theory or digital divide frameworks; keyword co-occurrence reveals heavy emphasis on </w:t>
      </w:r>
      <w:r>
        <w:rPr>
          <w:rFonts w:ascii="Times Roman" w:hAnsi="Times Roman" w:hint="default"/>
          <w:rtl w:val="1"/>
          <w:lang w:val="ar-SA" w:bidi="ar-SA"/>
        </w:rPr>
        <w:t>“</w:t>
      </w:r>
      <w:r>
        <w:rPr>
          <w:rFonts w:ascii="Times Roman" w:hAnsi="Times Roman"/>
          <w:rtl w:val="0"/>
          <w:lang w:val="en-US"/>
        </w:rPr>
        <w:t>trust</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security</w:t>
      </w:r>
      <w:r>
        <w:rPr>
          <w:rFonts w:ascii="Times Roman" w:hAnsi="Times Roman" w:hint="default"/>
          <w:rtl w:val="0"/>
        </w:rPr>
        <w:t xml:space="preserve">” </w:t>
      </w:r>
      <w:r>
        <w:rPr>
          <w:rFonts w:ascii="Times Roman" w:hAnsi="Times Roman"/>
          <w:rtl w:val="0"/>
          <w:lang w:val="en-US"/>
        </w:rPr>
        <w:t xml:space="preserve">in Bangladeshi papers (reflecting post-incident concerns) but sparse linkages to </w:t>
      </w:r>
      <w:r>
        <w:rPr>
          <w:rFonts w:ascii="Times Roman" w:hAnsi="Times Roman" w:hint="default"/>
          <w:rtl w:val="1"/>
          <w:lang w:val="ar-SA" w:bidi="ar-SA"/>
        </w:rPr>
        <w:t>“</w:t>
      </w:r>
      <w:r>
        <w:rPr>
          <w:rFonts w:ascii="Times Roman" w:hAnsi="Times Roman"/>
          <w:rtl w:val="0"/>
          <w:lang w:val="en-US"/>
        </w:rPr>
        <w:t>regulatory enforcement,</w:t>
      </w:r>
      <w:r>
        <w:rPr>
          <w:rFonts w:ascii="Times Roman" w:hAnsi="Times Roman" w:hint="default"/>
          <w:rtl w:val="0"/>
        </w:rPr>
        <w:t>” “</w:t>
      </w:r>
      <w:r>
        <w:rPr>
          <w:rFonts w:ascii="Times Roman" w:hAnsi="Times Roman"/>
          <w:rtl w:val="0"/>
          <w:lang w:val="da-DK"/>
        </w:rPr>
        <w:t>gender divide,</w:t>
      </w:r>
      <w:r>
        <w:rPr>
          <w:rFonts w:ascii="Times Roman" w:hAnsi="Times Roman" w:hint="default"/>
          <w:rtl w:val="0"/>
        </w:rPr>
        <w:t xml:space="preserve">” </w:t>
      </w:r>
      <w:r>
        <w:rPr>
          <w:rFonts w:ascii="Times Roman" w:hAnsi="Times Roman"/>
          <w:rtl w:val="0"/>
        </w:rPr>
        <w:t xml:space="preserve">or </w:t>
      </w:r>
      <w:r>
        <w:rPr>
          <w:rFonts w:ascii="Times Roman" w:hAnsi="Times Roman" w:hint="default"/>
          <w:rtl w:val="1"/>
          <w:lang w:val="ar-SA" w:bidi="ar-SA"/>
        </w:rPr>
        <w:t>“</w:t>
      </w:r>
      <w:r>
        <w:rPr>
          <w:rFonts w:ascii="Times Roman" w:hAnsi="Times Roman"/>
          <w:rtl w:val="0"/>
        </w:rPr>
        <w:t>last-mile infrastructure.</w:t>
      </w:r>
      <w:r>
        <w:rPr>
          <w:rFonts w:ascii="Times Roman" w:hAnsi="Times Roman" w:hint="default"/>
          <w:rtl w:val="0"/>
        </w:rPr>
        <w:t xml:space="preserve">” </w:t>
      </w:r>
      <w:r>
        <w:rPr>
          <w:rFonts w:ascii="Times Roman" w:hAnsi="Times Roman"/>
          <w:rtl w:val="0"/>
          <w:lang w:val="en-US"/>
        </w:rPr>
        <w:t>Citation networks further expose weak international connectivity for Bangladeshi-authored work, with most references flowing outward to global meta-analyses (Montazemi &amp; Qahri-Saremi, 2015) rather than reciprocal influence, indicating an emerging rather than mature research community. These patterns confirm the gaps identified in Section 3.7: theoretical integration is absent, empirical depth on recent incidents and longitudinal outcomes is thin, contextual specificity for Bangladesh is underdeveloped, and methodological diversity (e.g., mixed-methods or advanced bibliometrics) is rare. The current thesis therefore positions itself at the intersection of these networks</w:t>
      </w:r>
      <w:r>
        <w:rPr>
          <w:rFonts w:ascii="Times Roman" w:hAnsi="Times Roman" w:hint="default"/>
          <w:rtl w:val="0"/>
          <w:lang w:val="en-US"/>
        </w:rPr>
        <w:t>—</w:t>
      </w:r>
      <w:r>
        <w:rPr>
          <w:rFonts w:ascii="Times Roman" w:hAnsi="Times Roman"/>
          <w:rtl w:val="0"/>
          <w:lang w:val="en-US"/>
        </w:rPr>
        <w:t>extending UTAUT2 with institutional and divide variables, generating new primary data that can seed future citation clusters, and applying mixed-methods rigor that bridges quantitative adoption modeling with qualitative governance analysis</w:t>
      </w:r>
      <w:r>
        <w:rPr>
          <w:rFonts w:ascii="Times Roman" w:hAnsi="Times Roman" w:hint="default"/>
          <w:rtl w:val="0"/>
          <w:lang w:val="en-US"/>
        </w:rPr>
        <w:t>—</w:t>
      </w:r>
      <w:r>
        <w:rPr>
          <w:rFonts w:ascii="Times Roman" w:hAnsi="Times Roman"/>
          <w:rtl w:val="0"/>
          <w:lang w:val="en-US"/>
        </w:rPr>
        <w:t>thereby contributing both substantively and structurally to the evolving South Asian fintech knowledge base.</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3.9 Research Gap Matrix and Positioning of Current Study</w:t>
      </w:r>
      <w:r>
        <w:rPr>
          <w:rFonts w:ascii="Times Roman" w:hAnsi="Times Roman" w:hint="default"/>
          <w:b w:val="1"/>
          <w:bCs w:val="1"/>
          <w:sz w:val="28"/>
          <w:szCs w:val="28"/>
          <w:rtl w:val="1"/>
        </w:rPr>
        <w:t>’</w:t>
      </w:r>
      <w:r>
        <w:rPr>
          <w:rFonts w:ascii="Times Roman" w:hAnsi="Times Roman"/>
          <w:b w:val="1"/>
          <w:bCs w:val="1"/>
          <w:sz w:val="28"/>
          <w:szCs w:val="28"/>
          <w:rtl w:val="0"/>
          <w:lang w:val="fr-FR"/>
        </w:rPr>
        <w:t>s Unique Contributions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following explicit Research Gap Matrix synthesizes the four gap categories with evidence from the systematic review and positions the current study</w:t>
      </w:r>
      <w:r>
        <w:rPr>
          <w:rFonts w:ascii="Times Roman" w:hAnsi="Times Roman" w:hint="default"/>
          <w:rtl w:val="1"/>
        </w:rPr>
        <w:t>’</w:t>
      </w:r>
      <w:r>
        <w:rPr>
          <w:rFonts w:ascii="Times Roman" w:hAnsi="Times Roman"/>
          <w:rtl w:val="0"/>
          <w:lang w:val="fr-FR"/>
        </w:rPr>
        <w:t>s unique contributions: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Theoretical Gap</w:t>
      </w:r>
      <w:r>
        <w:rPr>
          <w:rFonts w:ascii="Times Roman" w:hAnsi="Times Roman" w:hint="default"/>
          <w:rtl w:val="0"/>
          <w:lang w:val="en-US"/>
        </w:rPr>
        <w:t xml:space="preserve"> — </w:t>
      </w:r>
      <w:r>
        <w:rPr>
          <w:rFonts w:ascii="Times Roman" w:hAnsi="Times Roman"/>
          <w:rtl w:val="0"/>
          <w:lang w:val="en-US"/>
        </w:rPr>
        <w:t>Absence of integrated multi-level model combining UTAUT2 core constructs with Scott</w:t>
      </w:r>
      <w:r>
        <w:rPr>
          <w:rFonts w:ascii="Times Roman" w:hAnsi="Times Roman" w:hint="default"/>
          <w:rtl w:val="1"/>
        </w:rPr>
        <w:t>’</w:t>
      </w:r>
      <w:r>
        <w:rPr>
          <w:rFonts w:ascii="Times Roman" w:hAnsi="Times Roman"/>
          <w:rtl w:val="0"/>
          <w:lang w:val="en-US"/>
        </w:rPr>
        <w:t>s (2008) three institutional pillars and digital divide variables in emerging-market e-banking contexts.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Evidence</w:t>
      </w:r>
      <w:r>
        <w:rPr>
          <w:rFonts w:ascii="Times Roman" w:hAnsi="Times Roman" w:hint="default"/>
          <w:rtl w:val="0"/>
          <w:lang w:val="en-US"/>
        </w:rPr>
        <w:t xml:space="preserve"> — </w:t>
      </w:r>
      <w:r>
        <w:rPr>
          <w:rFonts w:ascii="Times Roman" w:hAnsi="Times Roman"/>
          <w:rtl w:val="0"/>
          <w:lang w:val="en-US"/>
        </w:rPr>
        <w:t>Isolated UTAUT2 validations exist (Sharmin et al., 2021; Chauhan et al., 2022), but no holistic synthesis with institutional voids or structural divides.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Current Study Contribution</w:t>
      </w:r>
      <w:r>
        <w:rPr>
          <w:rFonts w:ascii="Times Roman" w:hAnsi="Times Roman" w:hint="default"/>
          <w:rtl w:val="0"/>
          <w:lang w:val="en-US"/>
        </w:rPr>
        <w:t xml:space="preserve"> — </w:t>
      </w:r>
      <w:r>
        <w:rPr>
          <w:rFonts w:ascii="Times Roman" w:hAnsi="Times Roman"/>
          <w:rtl w:val="0"/>
          <w:lang w:val="en-US"/>
        </w:rPr>
        <w:t>Proposes and empirically tests the first such integrated conceptual model tailored to Bangladesh, generating novel path coefficients and moderation effects.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Empirical Gap</w:t>
      </w:r>
      <w:r>
        <w:rPr>
          <w:rFonts w:ascii="Times Roman" w:hAnsi="Times Roman" w:hint="default"/>
          <w:rtl w:val="0"/>
          <w:lang w:val="en-US"/>
        </w:rPr>
        <w:t xml:space="preserve"> — </w:t>
      </w:r>
      <w:r>
        <w:rPr>
          <w:rFonts w:ascii="Times Roman" w:hAnsi="Times Roman"/>
          <w:rtl w:val="0"/>
          <w:lang w:val="en-US"/>
        </w:rPr>
        <w:t>Scarcity of post-2024</w:t>
      </w:r>
      <w:r>
        <w:rPr>
          <w:rFonts w:ascii="Times Roman" w:hAnsi="Times Roman" w:hint="default"/>
          <w:rtl w:val="0"/>
        </w:rPr>
        <w:t>–</w:t>
      </w:r>
      <w:r>
        <w:rPr>
          <w:rFonts w:ascii="Times Roman" w:hAnsi="Times Roman"/>
          <w:rtl w:val="0"/>
          <w:lang w:val="en-US"/>
        </w:rPr>
        <w:t>25 incident-specific, longitudinal, or primary mixed-methods data on trust restoration, agent network performance, and socio-economic outcomes in Bangladesh.</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Evidence</w:t>
      </w:r>
      <w:r>
        <w:rPr>
          <w:rFonts w:ascii="Times Roman" w:hAnsi="Times Roman" w:hint="default"/>
          <w:rtl w:val="0"/>
          <w:lang w:val="en-US"/>
        </w:rPr>
        <w:t xml:space="preserve"> — </w:t>
      </w:r>
      <w:r>
        <w:rPr>
          <w:rFonts w:ascii="Times Roman" w:hAnsi="Times Roman"/>
          <w:rtl w:val="0"/>
          <w:lang w:val="en-US"/>
        </w:rPr>
        <w:t>Most studies pre-date recent cyber events; cross-sectional designs dominate; limited tracking of poverty/gender impacts beyond initial adoption.</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Current Study Contribution</w:t>
      </w:r>
      <w:r>
        <w:rPr>
          <w:rFonts w:ascii="Times Roman" w:hAnsi="Times Roman" w:hint="default"/>
          <w:rtl w:val="0"/>
          <w:lang w:val="en-US"/>
        </w:rPr>
        <w:t xml:space="preserve"> — </w:t>
      </w:r>
      <w:r>
        <w:rPr>
          <w:rFonts w:ascii="Times Roman" w:hAnsi="Times Roman"/>
          <w:rtl w:val="0"/>
          <w:lang w:val="en-US"/>
        </w:rPr>
        <w:t>Collects fresh primary data (survey n</w:t>
      </w:r>
      <w:r>
        <w:rPr>
          <w:rFonts w:ascii="Times Roman" w:hAnsi="Times Roman" w:hint="default"/>
          <w:rtl w:val="0"/>
        </w:rPr>
        <w:t>≈</w:t>
      </w:r>
      <w:r>
        <w:rPr>
          <w:rFonts w:ascii="Times Roman" w:hAnsi="Times Roman"/>
          <w:rtl w:val="0"/>
          <w:lang w:val="en-US"/>
        </w:rPr>
        <w:t>400 + qualitative interviews) explicitly capturing 2024</w:t>
      </w:r>
      <w:r>
        <w:rPr>
          <w:rFonts w:ascii="Times Roman" w:hAnsi="Times Roman" w:hint="default"/>
          <w:rtl w:val="0"/>
        </w:rPr>
        <w:t>–</w:t>
      </w:r>
      <w:r>
        <w:rPr>
          <w:rFonts w:ascii="Times Roman" w:hAnsi="Times Roman"/>
          <w:rtl w:val="0"/>
          <w:lang w:val="en-US"/>
        </w:rPr>
        <w:t>25 trust dynamics and post-adoption outcomes, enabling longitudinal-ready baseline for future research.</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pt-PT"/>
        </w:rPr>
        <w:t>Contextual Gap</w:t>
      </w:r>
      <w:r>
        <w:rPr>
          <w:rFonts w:ascii="Times Roman" w:hAnsi="Times Roman" w:hint="default"/>
          <w:rtl w:val="0"/>
          <w:lang w:val="en-US"/>
        </w:rPr>
        <w:t xml:space="preserve"> — </w:t>
      </w:r>
      <w:r>
        <w:rPr>
          <w:rFonts w:ascii="Times Roman" w:hAnsi="Times Roman"/>
          <w:rtl w:val="0"/>
          <w:lang w:val="en-US"/>
        </w:rPr>
        <w:t>Under-representation of Bangladesh-specific dynamics (agent banking dominance, state-backed competition, rural last-mile quality, post-incident governance capacity) relative to India UPI or Kenya M-Pesa literature.</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Evidence</w:t>
      </w:r>
      <w:r>
        <w:rPr>
          <w:rFonts w:ascii="Times Roman" w:hAnsi="Times Roman" w:hint="default"/>
          <w:rtl w:val="0"/>
          <w:lang w:val="en-US"/>
        </w:rPr>
        <w:t xml:space="preserve"> — </w:t>
      </w:r>
      <w:r>
        <w:rPr>
          <w:rFonts w:ascii="Times Roman" w:hAnsi="Times Roman"/>
          <w:rtl w:val="0"/>
          <w:lang w:val="en-US"/>
        </w:rPr>
        <w:t>Comparative reviews privilege India/Kenya; Bangladeshi studies remain fragmented and rarely synthesize regulatory milestones (2011</w:t>
      </w:r>
      <w:r>
        <w:rPr>
          <w:rFonts w:ascii="Times Roman" w:hAnsi="Times Roman" w:hint="default"/>
          <w:rtl w:val="0"/>
        </w:rPr>
        <w:t>–</w:t>
      </w:r>
      <w:r>
        <w:rPr>
          <w:rFonts w:ascii="Times Roman" w:hAnsi="Times Roman"/>
          <w:rtl w:val="0"/>
          <w:lang w:val="en-US"/>
        </w:rPr>
        <w:t>2026) with adoption barriers.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Current Study Contribution</w:t>
      </w:r>
      <w:r>
        <w:rPr>
          <w:rFonts w:ascii="Times Roman" w:hAnsi="Times Roman" w:hint="default"/>
          <w:rtl w:val="0"/>
          <w:lang w:val="en-US"/>
        </w:rPr>
        <w:t xml:space="preserve"> — </w:t>
      </w:r>
      <w:r>
        <w:rPr>
          <w:rFonts w:ascii="Times Roman" w:hAnsi="Times Roman"/>
          <w:rtl w:val="0"/>
          <w:lang w:val="en-US"/>
        </w:rPr>
        <w:t>Delivers the most comprehensive contextual synthesis to date (Sections 3.4</w:t>
      </w:r>
      <w:r>
        <w:rPr>
          <w:rFonts w:ascii="Times Roman" w:hAnsi="Times Roman" w:hint="default"/>
          <w:rtl w:val="0"/>
        </w:rPr>
        <w:t>–</w:t>
      </w:r>
      <w:r>
        <w:rPr>
          <w:rFonts w:ascii="Times Roman" w:hAnsi="Times Roman"/>
          <w:rtl w:val="0"/>
          <w:lang w:val="en-US"/>
        </w:rPr>
        <w:t>3.6) while centering primary investigation on under-studied Bangladeshi realities, yielding transferable yet locally grounded insights.</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Methodological Gap</w:t>
      </w:r>
      <w:r>
        <w:rPr>
          <w:rFonts w:ascii="Times Roman" w:hAnsi="Times Roman" w:hint="default"/>
          <w:rtl w:val="0"/>
          <w:lang w:val="en-US"/>
        </w:rPr>
        <w:t xml:space="preserve"> — </w:t>
      </w:r>
      <w:r>
        <w:rPr>
          <w:rFonts w:ascii="Times Roman" w:hAnsi="Times Roman"/>
          <w:rtl w:val="0"/>
          <w:lang w:val="en-US"/>
        </w:rPr>
        <w:t>Over-reliance on single-method quantitative designs; minimal mixed-methods triangulation or advanced bibliometric mapping focused on South Asia/Bangladesh.</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Evidence</w:t>
      </w:r>
      <w:r>
        <w:rPr>
          <w:rFonts w:ascii="Times Roman" w:hAnsi="Times Roman" w:hint="default"/>
          <w:rtl w:val="0"/>
          <w:lang w:val="en-US"/>
        </w:rPr>
        <w:t xml:space="preserve"> — </w:t>
      </w:r>
      <w:r>
        <w:rPr>
          <w:rFonts w:ascii="Times Roman" w:hAnsi="Times Roman"/>
          <w:rtl w:val="0"/>
          <w:lang w:val="en-US"/>
        </w:rPr>
        <w:t>SEM/survey dominance; few qualitative institutional analyses; bibliometric work global rather than regionally granular.</w:t>
      </w:r>
    </w:p>
    <w:p>
      <w:pPr>
        <w:pStyle w:val="Default"/>
        <w:suppressAutoHyphens w:val="1"/>
        <w:spacing w:before="0" w:after="240" w:line="240" w:lineRule="auto"/>
        <w:ind w:left="360"/>
        <w:jc w:val="both"/>
        <w:rPr>
          <w:rFonts w:ascii="Times Roman" w:cs="Times Roman" w:hAnsi="Times Roman" w:eastAsia="Times Roman"/>
        </w:rPr>
      </w:pPr>
      <w:r>
        <w:rPr>
          <w:rFonts w:ascii="Times Roman" w:hAnsi="Times Roman"/>
          <w:b w:val="1"/>
          <w:bCs w:val="1"/>
          <w:rtl w:val="0"/>
          <w:lang w:val="en-US"/>
        </w:rPr>
        <w:t>Current Study Contribution</w:t>
      </w:r>
      <w:r>
        <w:rPr>
          <w:rFonts w:ascii="Times Roman" w:hAnsi="Times Roman" w:hint="default"/>
          <w:rtl w:val="0"/>
          <w:lang w:val="en-US"/>
        </w:rPr>
        <w:t xml:space="preserve"> — </w:t>
      </w:r>
      <w:r>
        <w:rPr>
          <w:rFonts w:ascii="Times Roman" w:hAnsi="Times Roman"/>
          <w:rtl w:val="0"/>
          <w:lang w:val="en-US"/>
        </w:rPr>
        <w:t>Employs rigorous mixed-methods design (SEM + thematic analysis) plus extended bibliometric mapping (VOSviewer co-occurrence and citation networks), enhancing validity and providing a replicable template for regional scholarship.</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By systematically closing these gaps, the current thesis delivers a theoretically innovative, empirically robust, contextually rich, and methodologically pluralistic contribution that advances both academic understanding and practical policy design for e-banking and fintech in Bangladesh and comparable South Asian emerging economies.</w:t>
      </w:r>
    </w:p>
    <w:p>
      <w:pPr>
        <w:pStyle w:val="Default"/>
        <w:tabs>
          <w:tab w:val="left" w:pos="220"/>
          <w:tab w:val="left" w:pos="720"/>
        </w:tabs>
        <w:suppressAutoHyphens w:val="1"/>
        <w:spacing w:before="0" w:line="240" w:lineRule="auto"/>
        <w:ind w:left="720" w:hanging="720"/>
        <w:jc w:val="both"/>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both"/>
        <w:rPr>
          <w:rFonts w:ascii="Times Roman" w:cs="Times Roman" w:hAnsi="Times Roman" w:eastAsia="Times Roman"/>
          <w:i w:val="1"/>
          <w:iCs w:val="1"/>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4: E-BANKING LANDSCAPE AND CONTEXTUAL ANALYSIS IN BANGLADESH</w:t>
      </w:r>
    </w:p>
    <w:p>
      <w:pPr>
        <w:pStyle w:val="Default"/>
        <w:suppressAutoHyphens w:val="1"/>
        <w:spacing w:before="0" w:after="240" w:line="240" w:lineRule="auto"/>
        <w:jc w:val="left"/>
        <w:rPr>
          <w:rFonts w:ascii="Times Roman" w:cs="Times Roman" w:hAnsi="Times Roman" w:eastAsia="Times Roman"/>
          <w:b w:val="0"/>
          <w:bCs w:val="0"/>
          <w:sz w:val="28"/>
          <w:szCs w:val="28"/>
        </w:rPr>
      </w:pPr>
      <w:r>
        <w:rPr>
          <w:rFonts w:ascii="Times Roman" w:hAnsi="Times Roman"/>
          <w:b w:val="1"/>
          <w:bCs w:val="1"/>
          <w:sz w:val="28"/>
          <w:szCs w:val="28"/>
          <w:rtl w:val="0"/>
          <w:lang w:val="en-US"/>
        </w:rPr>
        <w:t>4.1 Overview of Bangladesh Banking Sector: Structure, Performance, Digital Maturity Index (2025</w:t>
      </w:r>
      <w:r>
        <w:rPr>
          <w:rFonts w:ascii="Times Roman" w:hAnsi="Times Roman" w:hint="default"/>
          <w:b w:val="1"/>
          <w:bCs w:val="1"/>
          <w:sz w:val="28"/>
          <w:szCs w:val="28"/>
          <w:rtl w:val="0"/>
        </w:rPr>
        <w:t>–</w:t>
      </w:r>
      <w:r>
        <w:rPr>
          <w:rFonts w:ascii="Times Roman" w:hAnsi="Times Roman"/>
          <w:b w:val="1"/>
          <w:bCs w:val="1"/>
          <w:sz w:val="28"/>
          <w:szCs w:val="28"/>
          <w:rtl w:val="0"/>
          <w:lang w:val="nl-NL"/>
        </w:rPr>
        <w:t>2026 Data)</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a-DK"/>
        </w:rPr>
        <w:t>Bangladesh</w:t>
      </w:r>
      <w:r>
        <w:rPr>
          <w:rFonts w:ascii="Times Roman" w:hAnsi="Times Roman" w:hint="default"/>
          <w:rtl w:val="1"/>
        </w:rPr>
        <w:t>’</w:t>
      </w:r>
      <w:r>
        <w:rPr>
          <w:rFonts w:ascii="Times Roman" w:hAnsi="Times Roman"/>
          <w:rtl w:val="0"/>
          <w:lang w:val="en-US"/>
        </w:rPr>
        <w:t>s banking sector in 2025</w:t>
      </w:r>
      <w:r>
        <w:rPr>
          <w:rFonts w:ascii="Times Roman" w:hAnsi="Times Roman" w:hint="default"/>
          <w:rtl w:val="0"/>
        </w:rPr>
        <w:t>–</w:t>
      </w:r>
      <w:r>
        <w:rPr>
          <w:rFonts w:ascii="Times Roman" w:hAnsi="Times Roman"/>
          <w:rtl w:val="0"/>
          <w:lang w:val="en-US"/>
        </w:rPr>
        <w:t>2026 comprises a multi-tiered structure dominated by 61 scheduled banks (including 6 state-owned commercial banks [SOCBs], 42 private commercial banks [PCBs], 9 foreign banks, and 4 specialized development banks), alongside 35 non-bank financial institutions (NBFIs), and a rapidly expanding non-bank mobile financial services (MFS) ecosystem led by bKash, Nagad, Rocket, and Upay, supported by over 23.9 million agent banking accounts as of December 2024. The sector</w:t>
      </w:r>
      <w:r>
        <w:rPr>
          <w:rFonts w:ascii="Times Roman" w:hAnsi="Times Roman" w:hint="default"/>
          <w:rtl w:val="1"/>
        </w:rPr>
        <w:t>’</w:t>
      </w:r>
      <w:r>
        <w:rPr>
          <w:rFonts w:ascii="Times Roman" w:hAnsi="Times Roman"/>
          <w:rtl w:val="0"/>
          <w:lang w:val="en-US"/>
        </w:rPr>
        <w:t>s asset base exceeds BDT 20 trillion, with PCBs holding the largest share (~70%), yet systemic vulnerabilities have intensified: non-performing loans (NPLs) reached 30.6% by December 2025 (peaking at 34% in June 2025 under stricter 90-day classification standards adopted in April 2025), aggregate capital adequacy ratios fell below regulatory minima in multiple institutions (reported 4.5</w:t>
      </w:r>
      <w:r>
        <w:rPr>
          <w:rFonts w:ascii="Times Roman" w:hAnsi="Times Roman" w:hint="default"/>
          <w:rtl w:val="0"/>
        </w:rPr>
        <w:t>–</w:t>
      </w:r>
      <w:r>
        <w:rPr>
          <w:rFonts w:ascii="Times Roman" w:hAnsi="Times Roman"/>
          <w:rtl w:val="0"/>
          <w:lang w:val="en-US"/>
        </w:rPr>
        <w:t>6.7% after deferred provisions), and private sector credit growth stagnated at 7.6% year-on-year (negative in real terms), reflecting undercapitalization, related-party lending, and weak supervision (IMF, 2026; World Bank, 2026). Profitability has eroded, with sector-wide return on assets (ROA) declining to 0.43% by mid-2023 and cost-to-income ratios rising to 54.2% for PCBs, exacerbated by liquidity support dependencies (1% of GDP) and deposit withdrawal restrictions in weak banks. In stark contrast, the digital financial ecosystem demonstrates exceptional scale and dynamism: MFS transaction volumes surged to BDT 17.37 lakh crore in 2024 (CAGR ~33% since 2015), with 238.7 million registered accounts handling approximately 8.61% of global daily mobile money transactions despite Bangladesh representing only 2.19% of world population; agent banking has expanded rural reach, while digital banking adoption indices correlate positively with ROA gains (0.114</w:t>
      </w:r>
      <w:r>
        <w:rPr>
          <w:rFonts w:ascii="Times Roman" w:hAnsi="Times Roman" w:hint="default"/>
          <w:rtl w:val="0"/>
        </w:rPr>
        <w:t>–</w:t>
      </w:r>
      <w:r>
        <w:rPr>
          <w:rFonts w:ascii="Times Roman" w:hAnsi="Times Roman"/>
          <w:rtl w:val="0"/>
          <w:lang w:val="en-US"/>
        </w:rPr>
        <w:t>0.161 percentage points per standard deviation increase), though high-NPL banks exhibit 1.4 standard deviation lower performance (Abdullah-Al-Kafe, 2026). Digital maturity, as measured by composite indices incorporating MFS penetration, internet banking usage, agent density, and cybersecurity readiness, places Bangladesh among top-10 global mobile money markets (GSMA, 2023</w:t>
      </w:r>
      <w:r>
        <w:rPr>
          <w:rFonts w:ascii="Times Roman" w:hAnsi="Times Roman" w:hint="default"/>
          <w:rtl w:val="0"/>
        </w:rPr>
        <w:t>–</w:t>
      </w:r>
      <w:r>
        <w:rPr>
          <w:rFonts w:ascii="Times Roman" w:hAnsi="Times Roman"/>
          <w:rtl w:val="0"/>
          <w:lang w:val="en-US"/>
        </w:rPr>
        <w:t>2025 benchmarks), yet lags in core banking system interoperability, RegTech integration, and risk-based supervision (shifted to 14 specialized departments effective January 2026). This duality</w:t>
      </w:r>
      <w:r>
        <w:rPr>
          <w:rFonts w:ascii="Times Roman" w:hAnsi="Times Roman" w:hint="default"/>
          <w:rtl w:val="0"/>
          <w:lang w:val="en-US"/>
        </w:rPr>
        <w:t>—</w:t>
      </w:r>
      <w:r>
        <w:rPr>
          <w:rFonts w:ascii="Times Roman" w:hAnsi="Times Roman"/>
          <w:rtl w:val="0"/>
          <w:lang w:val="en-US"/>
        </w:rPr>
        <w:t>stressed traditional banking juxtaposed against world-leading MFS scale</w:t>
      </w:r>
      <w:r>
        <w:rPr>
          <w:rFonts w:ascii="Times Roman" w:hAnsi="Times Roman" w:hint="default"/>
          <w:rtl w:val="0"/>
          <w:lang w:val="en-US"/>
        </w:rPr>
        <w:t>—</w:t>
      </w:r>
      <w:r>
        <w:rPr>
          <w:rFonts w:ascii="Times Roman" w:hAnsi="Times Roman"/>
          <w:rtl w:val="0"/>
          <w:lang w:val="en-US"/>
        </w:rPr>
        <w:t>underscores structural fragmentation, regulatory arbitrage risks between banks and MFS providers, and the urgent need for open banking frameworks (e.g., Binimoy platform) to harness digital infrastructure for inclusive, resilient growth amid macroeconomic headwinds.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4.2 Regulatory and Legal Framework</w:t>
      </w:r>
    </w:p>
    <w:p>
      <w:pPr>
        <w:pStyle w:val="Default"/>
        <w:suppressAutoHyphens w:val="1"/>
        <w:spacing w:before="0" w:after="240" w:line="240" w:lineRule="auto"/>
        <w:jc w:val="left"/>
        <w:rPr>
          <w:rFonts w:ascii="Times Roman" w:cs="Times Roman" w:hAnsi="Times Roman" w:eastAsia="Times Roman"/>
          <w:b w:val="0"/>
          <w:bCs w:val="0"/>
          <w:sz w:val="26"/>
          <w:szCs w:val="26"/>
        </w:rPr>
      </w:pPr>
      <w:r>
        <w:rPr>
          <w:rFonts w:ascii="Times Roman" w:hAnsi="Times Roman"/>
          <w:b w:val="1"/>
          <w:bCs w:val="1"/>
          <w:sz w:val="26"/>
          <w:szCs w:val="26"/>
          <w:rtl w:val="0"/>
          <w:lang w:val="en-US"/>
        </w:rPr>
        <w:t>4.2.1 Bangladesh Bank Guidelines, Payment and Settlement Systems Act 2009 (Amended), MFS Regulations 2022 &amp; Updates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foundational regulatory architecture for e-banking and payments in Bangladesh is anchored in the Payment and Settlement Systems Act, 2009 (substantially amended in 2024 to incorporate digital innovations and strengthen oversight), which empowers Bangladesh Bank (BB) to license, supervise, and regulate payment service providers (PSPs), payment system operators (PSOs), and MFS entities under Sections 18 and 37. Complementing this, the original 2011 MFS guidelines (updated comprehensively in 2022 and further refined through 2025</w:t>
      </w:r>
      <w:r>
        <w:rPr>
          <w:rFonts w:ascii="Times Roman" w:hAnsi="Times Roman" w:hint="default"/>
          <w:rtl w:val="0"/>
        </w:rPr>
        <w:t>–</w:t>
      </w:r>
      <w:r>
        <w:rPr>
          <w:rFonts w:ascii="Times Roman" w:hAnsi="Times Roman"/>
          <w:rtl w:val="0"/>
          <w:lang w:val="en-US"/>
        </w:rPr>
        <w:t>2026 circulars) established the dual bank/non-bank licensing model that enabled bKash</w:t>
      </w:r>
      <w:r>
        <w:rPr>
          <w:rFonts w:ascii="Times Roman" w:hAnsi="Times Roman" w:hint="default"/>
          <w:rtl w:val="1"/>
        </w:rPr>
        <w:t>’</w:t>
      </w:r>
      <w:r>
        <w:rPr>
          <w:rFonts w:ascii="Times Roman" w:hAnsi="Times Roman"/>
          <w:rtl w:val="0"/>
          <w:lang w:val="en-US"/>
        </w:rPr>
        <w:t>s 2011 launch and subsequent proliferation, mandating minimum capital, trust account segregation, agent due diligence, and interoperability requirements via the Binimoy platform. Agent banking guidelines (2013, revised 2014 and 2020) authorized third-party retail outlets to deliver cash-in/cash-out, account opening, and bill payments, expanding last-mile access to over 23.9 million accounts by 2024 while imposing know-your-customer (KYC), anti-money laundering (AML), and consumer protection obligations. Recent 2025</w:t>
      </w:r>
      <w:r>
        <w:rPr>
          <w:rFonts w:ascii="Times Roman" w:hAnsi="Times Roman" w:hint="default"/>
          <w:rtl w:val="0"/>
        </w:rPr>
        <w:t>–</w:t>
      </w:r>
      <w:r>
        <w:rPr>
          <w:rFonts w:ascii="Times Roman" w:hAnsi="Times Roman"/>
          <w:rtl w:val="0"/>
          <w:lang w:val="en-US"/>
        </w:rPr>
        <w:t xml:space="preserve">2026 updates include mandatory daily reporting on trust and settlement account balances for all MFS/PSP/PSO entities (effective January 2026 under Section 37(3)), stricter capital and personal liability provisions for PSO executives in the draft PSO Regulation 2025, and the </w:t>
      </w:r>
      <w:r>
        <w:rPr>
          <w:rFonts w:ascii="Times Roman" w:hAnsi="Times Roman" w:hint="default"/>
          <w:rtl w:val="1"/>
          <w:lang w:val="ar-SA" w:bidi="ar-SA"/>
        </w:rPr>
        <w:t>“</w:t>
      </w:r>
      <w:r>
        <w:rPr>
          <w:rFonts w:ascii="Times Roman" w:hAnsi="Times Roman"/>
          <w:rtl w:val="0"/>
          <w:lang w:val="en-US"/>
        </w:rPr>
        <w:t>Guidelines on Partner Network, Version 1.0 (2026)</w:t>
      </w:r>
      <w:r>
        <w:rPr>
          <w:rFonts w:ascii="Times Roman" w:hAnsi="Times Roman" w:hint="default"/>
          <w:rtl w:val="0"/>
        </w:rPr>
        <w:t xml:space="preserve">” </w:t>
      </w:r>
      <w:r>
        <w:rPr>
          <w:rFonts w:ascii="Times Roman" w:hAnsi="Times Roman"/>
          <w:rtl w:val="0"/>
          <w:lang w:val="en-US"/>
        </w:rPr>
        <w:t>to ensure secure inter-institutional digital connectivity. These frameworks have catalyzed inclusion</w:t>
      </w:r>
      <w:r>
        <w:rPr>
          <w:rFonts w:ascii="Times Roman" w:hAnsi="Times Roman" w:hint="default"/>
          <w:rtl w:val="0"/>
          <w:lang w:val="en-US"/>
        </w:rPr>
        <w:t>—</w:t>
      </w:r>
      <w:r>
        <w:rPr>
          <w:rFonts w:ascii="Times Roman" w:hAnsi="Times Roman"/>
          <w:rtl w:val="0"/>
          <w:lang w:val="en-US"/>
        </w:rPr>
        <w:t>registered MFS accounts reached 238.7 million by late 2024</w:t>
      </w:r>
      <w:r>
        <w:rPr>
          <w:rFonts w:ascii="Times Roman" w:hAnsi="Times Roman" w:hint="default"/>
          <w:rtl w:val="0"/>
          <w:lang w:val="en-US"/>
        </w:rPr>
        <w:t>—</w:t>
      </w:r>
      <w:r>
        <w:rPr>
          <w:rFonts w:ascii="Times Roman" w:hAnsi="Times Roman"/>
          <w:rtl w:val="0"/>
          <w:lang w:val="en-US"/>
        </w:rPr>
        <w:t>yet enforcement gaps persist, with limited real-time supervision of agent networks and uneven application of interoperability mandates contributing to market concentration risks around dominant players (bKash, Nagad, Rocket). The regulatory evolution reflects BB</w:t>
      </w:r>
      <w:r>
        <w:rPr>
          <w:rFonts w:ascii="Times Roman" w:hAnsi="Times Roman" w:hint="default"/>
          <w:rtl w:val="1"/>
        </w:rPr>
        <w:t>’</w:t>
      </w:r>
      <w:r>
        <w:rPr>
          <w:rFonts w:ascii="Times Roman" w:hAnsi="Times Roman"/>
          <w:rtl w:val="0"/>
          <w:lang w:val="en-US"/>
        </w:rPr>
        <w:t>s adaptive approach, balancing innovation with stability, but highlights capacity constraints in transitioning to fully risk-based supervision (implemented January 2026 across 12 Bank Supervision Departments plus technology-risk and digital-banking units).</w:t>
      </w:r>
    </w:p>
    <w:p>
      <w:pPr>
        <w:pStyle w:val="Default"/>
        <w:suppressAutoHyphens w:val="1"/>
        <w:spacing w:before="0" w:after="240" w:line="240" w:lineRule="auto"/>
        <w:jc w:val="left"/>
        <w:rPr>
          <w:rFonts w:ascii="Times Roman" w:cs="Times Roman" w:hAnsi="Times Roman" w:eastAsia="Times Roman"/>
          <w:b w:val="0"/>
          <w:bCs w:val="0"/>
          <w:sz w:val="26"/>
          <w:szCs w:val="26"/>
        </w:rPr>
      </w:pPr>
      <w:r>
        <w:rPr>
          <w:rFonts w:ascii="Times Roman" w:hAnsi="Times Roman"/>
          <w:b w:val="1"/>
          <w:bCs w:val="1"/>
          <w:sz w:val="26"/>
          <w:szCs w:val="26"/>
          <w:rtl w:val="0"/>
          <w:lang w:val="en-US"/>
        </w:rPr>
        <w:t>4.2.2 Digital Bank Guidelines Version 2 (2025): Branchless Model, Capital Requirements, Licensing Regime, Sandbox Provisions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e-DE"/>
        </w:rPr>
        <w:t>Bangladesh Bank</w:t>
      </w:r>
      <w:r>
        <w:rPr>
          <w:rFonts w:ascii="Times Roman" w:hAnsi="Times Roman" w:hint="default"/>
          <w:rtl w:val="1"/>
        </w:rPr>
        <w:t>’</w:t>
      </w:r>
      <w:r>
        <w:rPr>
          <w:rFonts w:ascii="Times Roman" w:hAnsi="Times Roman"/>
          <w:rtl w:val="0"/>
          <w:lang w:val="en-US"/>
        </w:rPr>
        <w:t>s Digital Bank Guidelines Version 2 (2025) represent a landmark evolution from the 2020 pilot framework, institutionalizing a fully branchless digital banking model to accelerate financial inclusion while imposing prudential safeguards. The guidelines define digital banks as entities delivering all services exclusively through electronic channels (mobile apps, internet, USSD, agent networks) without physical branches, requiring minimum paid-up capital of BDT 400</w:t>
      </w:r>
      <w:r>
        <w:rPr>
          <w:rFonts w:ascii="Times Roman" w:hAnsi="Times Roman" w:hint="default"/>
          <w:rtl w:val="0"/>
        </w:rPr>
        <w:t>–</w:t>
      </w:r>
      <w:r>
        <w:rPr>
          <w:rFonts w:ascii="Times Roman" w:hAnsi="Times Roman"/>
          <w:rtl w:val="0"/>
          <w:lang w:val="en-US"/>
        </w:rPr>
        <w:t>500 crore (higher for systemically important entities), robust core banking systems, and 100% digital onboarding via e-KYC/biometrics. The licensing regime operates through a two-stage process</w:t>
      </w:r>
      <w:r>
        <w:rPr>
          <w:rFonts w:ascii="Times Roman" w:hAnsi="Times Roman" w:hint="default"/>
          <w:rtl w:val="0"/>
          <w:lang w:val="en-US"/>
        </w:rPr>
        <w:t>—</w:t>
      </w:r>
      <w:r>
        <w:rPr>
          <w:rFonts w:ascii="Times Roman" w:hAnsi="Times Roman"/>
          <w:rtl w:val="0"/>
          <w:lang w:val="en-US"/>
        </w:rPr>
        <w:t>preliminary approval followed by full licensing after 12</w:t>
      </w:r>
      <w:r>
        <w:rPr>
          <w:rFonts w:ascii="Times Roman" w:hAnsi="Times Roman" w:hint="default"/>
          <w:rtl w:val="0"/>
        </w:rPr>
        <w:t>–</w:t>
      </w:r>
      <w:r>
        <w:rPr>
          <w:rFonts w:ascii="Times Roman" w:hAnsi="Times Roman"/>
          <w:rtl w:val="0"/>
          <w:lang w:val="en-US"/>
        </w:rPr>
        <w:t>18 months of sandbox testing</w:t>
      </w:r>
      <w:r>
        <w:rPr>
          <w:rFonts w:ascii="Times Roman" w:hAnsi="Times Roman" w:hint="default"/>
          <w:rtl w:val="0"/>
          <w:lang w:val="en-US"/>
        </w:rPr>
        <w:t>—</w:t>
      </w:r>
      <w:r>
        <w:rPr>
          <w:rFonts w:ascii="Times Roman" w:hAnsi="Times Roman"/>
          <w:rtl w:val="0"/>
          <w:lang w:val="en-US"/>
        </w:rPr>
        <w:t>open to both existing banks and new fintech entrants, with foreign equity caps aligned to Bank Company Act provisions. Sandbox provisions, expanded in Version 2, permit controlled experimentation with innovative products (e.g., AI-driven credit scoring, embedded finance, climate-linked products) under time-bound waivers of select prudential norms, subject to real-time data reporting and exit strategies. Capital requirements emphasize risk-weighted assets for digital lending and operational resilience, while governance mandates independent boards, chief technology officers, and cybersecurity certifications. These provisions directly address structural impediments identified in recent analyses (e.g., core banking fragmentation and regulatory arbitrage), positioning digital banks to complement rather than compete with MFS giants. Implementation has accelerated licensing applications in 2025</w:t>
      </w:r>
      <w:r>
        <w:rPr>
          <w:rFonts w:ascii="Times Roman" w:hAnsi="Times Roman" w:hint="default"/>
          <w:rtl w:val="0"/>
        </w:rPr>
        <w:t>–</w:t>
      </w:r>
      <w:r>
        <w:rPr>
          <w:rFonts w:ascii="Times Roman" w:hAnsi="Times Roman"/>
          <w:rtl w:val="0"/>
          <w:lang w:val="en-US"/>
        </w:rPr>
        <w:t>2026, with expectations of 3</w:t>
      </w:r>
      <w:r>
        <w:rPr>
          <w:rFonts w:ascii="Times Roman" w:hAnsi="Times Roman" w:hint="default"/>
          <w:rtl w:val="0"/>
        </w:rPr>
        <w:t>–</w:t>
      </w:r>
      <w:r>
        <w:rPr>
          <w:rFonts w:ascii="Times Roman" w:hAnsi="Times Roman"/>
          <w:rtl w:val="0"/>
          <w:lang w:val="en-US"/>
        </w:rPr>
        <w:t>5 operational digital banks by end-2026, fostering competition, lowering costs, and enhancing data-driven supervision under BB</w:t>
      </w:r>
      <w:r>
        <w:rPr>
          <w:rFonts w:ascii="Times Roman" w:hAnsi="Times Roman" w:hint="default"/>
          <w:rtl w:val="1"/>
        </w:rPr>
        <w:t>’</w:t>
      </w:r>
      <w:r>
        <w:rPr>
          <w:rFonts w:ascii="Times Roman" w:hAnsi="Times Roman"/>
          <w:rtl w:val="0"/>
          <w:lang w:val="en-US"/>
        </w:rPr>
        <w:t>s new Risk-Based Supervision (RBS) framework effective January 2026. Challenges remain in aligning capital buffers with high-NPL legacies and ensuring consumer protection in a branchless environment, yet the framework signals BB</w:t>
      </w:r>
      <w:r>
        <w:rPr>
          <w:rFonts w:ascii="Times Roman" w:hAnsi="Times Roman" w:hint="default"/>
          <w:rtl w:val="1"/>
        </w:rPr>
        <w:t>’</w:t>
      </w:r>
      <w:r>
        <w:rPr>
          <w:rFonts w:ascii="Times Roman" w:hAnsi="Times Roman"/>
          <w:rtl w:val="0"/>
          <w:lang w:val="en-US"/>
        </w:rPr>
        <w:t>s commitment to modernizing the sector amid macroeconomic stress.</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4.4:</w:t>
      </w:r>
      <w:r>
        <w:rPr>
          <w:rFonts w:ascii="Times Roman" w:hAnsi="Times Roman"/>
          <w:rtl w:val="0"/>
        </w:rPr>
        <w:t xml:space="preserve"> </w:t>
      </w:r>
      <w:r>
        <w:rPr>
          <w:rFonts w:ascii="Times Roman" w:hAnsi="Times Roman"/>
          <w:i w:val="1"/>
          <w:iCs w:val="1"/>
          <w:rtl w:val="0"/>
          <w:lang w:val="en-US"/>
        </w:rPr>
        <w:t>Regulatory Workflow for Digital Bank Licensing (Guidelines Version 2, 2025)</w:t>
      </w:r>
      <w:r>
        <w:rPr>
          <w:rFonts w:ascii="Times Roman" w:hAnsi="Times Roman"/>
          <w:i w:val="1"/>
          <w:iCs w:val="1"/>
          <w:rtl w:val="0"/>
          <w:lang w:val="en-US"/>
        </w:rPr>
        <w:t xml:space="preserve">. </w:t>
      </w:r>
      <w:r>
        <w:rPr>
          <w:rFonts w:ascii="Times Roman" w:hAnsi="Times Roman"/>
          <w:b w:val="1"/>
          <w:bCs w:val="1"/>
          <w:rtl w:val="0"/>
          <w:lang w:val="de-DE"/>
        </w:rPr>
        <w:t>Bank</w:t>
      </w:r>
      <w:r>
        <w:rPr>
          <w:rFonts w:ascii="Times Roman" w:cs="Times Roman" w:hAnsi="Times Roman" w:eastAsia="Times Roman"/>
          <w:b w:val="1"/>
          <w:bCs w:val="1"/>
        </w:rPr>
        <w:drawing xmlns:a="http://schemas.openxmlformats.org/drawingml/2006/main">
          <wp:anchor distT="152400" distB="152400" distL="152400" distR="152400" simplePos="0" relativeHeight="251673600" behindDoc="0" locked="0" layoutInCell="1" allowOverlap="1">
            <wp:simplePos x="0" y="0"/>
            <wp:positionH relativeFrom="margin">
              <wp:posOffset>279720</wp:posOffset>
            </wp:positionH>
            <wp:positionV relativeFrom="page">
              <wp:posOffset>720000</wp:posOffset>
            </wp:positionV>
            <wp:extent cx="5547784" cy="3976885"/>
            <wp:effectExtent l="0" t="0" r="0" b="0"/>
            <wp:wrapThrough wrapText="bothSides" distL="152400" distR="152400">
              <wp:wrapPolygon edited="1">
                <wp:start x="0" y="0"/>
                <wp:lineTo x="0" y="21599"/>
                <wp:lineTo x="21601" y="21599"/>
                <wp:lineTo x="21601" y="0"/>
                <wp:lineTo x="0" y="0"/>
              </wp:wrapPolygon>
            </wp:wrapThrough>
            <wp:docPr id="1073741844"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44" name="pasted-image.tiff" descr="pasted-image.tiff"/>
                    <pic:cNvPicPr>
                      <a:picLocks noChangeAspect="1"/>
                    </pic:cNvPicPr>
                  </pic:nvPicPr>
                  <pic:blipFill>
                    <a:blip r:embed="rId19">
                      <a:extLst/>
                    </a:blip>
                    <a:srcRect l="0" t="0" r="0" b="0"/>
                    <a:stretch>
                      <a:fillRect/>
                    </a:stretch>
                  </pic:blipFill>
                  <pic:spPr>
                    <a:xfrm>
                      <a:off x="0" y="0"/>
                      <a:ext cx="5547784" cy="3976885"/>
                    </a:xfrm>
                    <a:prstGeom prst="rect">
                      <a:avLst/>
                    </a:prstGeom>
                    <a:ln w="12700" cap="flat">
                      <a:noFill/>
                      <a:miter lim="400000"/>
                    </a:ln>
                    <a:effectLst/>
                  </pic:spPr>
                </pic:pic>
              </a:graphicData>
            </a:graphic>
          </wp:anchor>
        </w:drawing>
      </w:r>
      <w:r>
        <w:rPr>
          <w:rFonts w:ascii="Times Roman" w:hAnsi="Times Roman"/>
          <w:b w:val="1"/>
          <w:bCs w:val="1"/>
          <w:rtl w:val="0"/>
          <w:lang w:val="en-US"/>
        </w:rPr>
        <w:t xml:space="preserve"> for International Settlements. (2025).</w:t>
      </w:r>
    </w:p>
    <w:p>
      <w:pPr>
        <w:pStyle w:val="Default"/>
        <w:suppressAutoHyphens w:val="1"/>
        <w:spacing w:before="0" w:line="240" w:lineRule="auto"/>
        <w:jc w:val="center"/>
        <w:rPr>
          <w:rFonts w:ascii="Times Roman" w:cs="Times Roman" w:hAnsi="Times Roman" w:eastAsia="Times Roman"/>
          <w:b w:val="1"/>
          <w:b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4.4 maps the regulatory and operational pathway for establishing a branchless digital bank in Bangladesh under the 2025 Guidelines Version 2. The flow chart details the progression from preliminary applicant evaluation by Bangladesh Bank through the mandatory 12-to-18-month Sandbox Testing phase, concluding with full licensing, while highlighting continuous oversight mechanisms such as BFIU compliance and Risk-Based Supervision.</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left"/>
        <w:rPr>
          <w:rFonts w:ascii="Times Roman" w:cs="Times Roman" w:hAnsi="Times Roman" w:eastAsia="Times Roman"/>
          <w:b w:val="0"/>
          <w:bCs w:val="0"/>
          <w:sz w:val="26"/>
          <w:szCs w:val="26"/>
        </w:rPr>
      </w:pPr>
      <w:r>
        <w:rPr>
          <w:rFonts w:ascii="Times Roman" w:hAnsi="Times Roman"/>
          <w:b w:val="1"/>
          <w:bCs w:val="1"/>
          <w:sz w:val="26"/>
          <w:szCs w:val="26"/>
          <w:rtl w:val="0"/>
          <w:lang w:val="en-US"/>
        </w:rPr>
        <w:t>4.2.3 Cybersecurity, Data Privacy (Digital Security Act), Consumer Protection, and BFIU Role in AML/CFT &amp; Fraud Response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Cybersecurity and data privacy constitute critical pillars of Bangladesh</w:t>
      </w:r>
      <w:r>
        <w:rPr>
          <w:rFonts w:ascii="Times Roman" w:hAnsi="Times Roman" w:hint="default"/>
          <w:rtl w:val="1"/>
        </w:rPr>
        <w:t>’</w:t>
      </w:r>
      <w:r>
        <w:rPr>
          <w:rFonts w:ascii="Times Roman" w:hAnsi="Times Roman"/>
          <w:rtl w:val="0"/>
          <w:lang w:val="en-US"/>
        </w:rPr>
        <w:t>s e-banking regulatory ecosystem, governed by the Digital Security Act, 2018 (amended 2023</w:t>
      </w:r>
      <w:r>
        <w:rPr>
          <w:rFonts w:ascii="Times Roman" w:hAnsi="Times Roman" w:hint="default"/>
          <w:rtl w:val="0"/>
        </w:rPr>
        <w:t>–</w:t>
      </w:r>
      <w:r>
        <w:rPr>
          <w:rFonts w:ascii="Times Roman" w:hAnsi="Times Roman"/>
          <w:rtl w:val="0"/>
          <w:lang w:val="en-US"/>
        </w:rPr>
        <w:t>2025), which criminalizes unauthorized access, data breaches, and cyber fraud while mandating banks and MFS providers to implement multi-factor authentication, encryption standards, and incident reporting within 24</w:t>
      </w:r>
      <w:r>
        <w:rPr>
          <w:rFonts w:ascii="Times Roman" w:hAnsi="Times Roman" w:hint="default"/>
          <w:rtl w:val="0"/>
        </w:rPr>
        <w:t>–</w:t>
      </w:r>
      <w:r>
        <w:rPr>
          <w:rFonts w:ascii="Times Roman" w:hAnsi="Times Roman"/>
          <w:rtl w:val="0"/>
          <w:lang w:val="en-US"/>
        </w:rPr>
        <w:t>72 hours to Bangladesh Bank and the Bangladesh Financial Intelligence Unit (BFIU). BB circulars (2025</w:t>
      </w:r>
      <w:r>
        <w:rPr>
          <w:rFonts w:ascii="Times Roman" w:hAnsi="Times Roman" w:hint="default"/>
          <w:rtl w:val="0"/>
        </w:rPr>
        <w:t>–</w:t>
      </w:r>
      <w:r>
        <w:rPr>
          <w:rFonts w:ascii="Times Roman" w:hAnsi="Times Roman"/>
          <w:rtl w:val="0"/>
          <w:lang w:val="en-US"/>
        </w:rPr>
        <w:t>2026) require annual cybersecurity audits, penetration testing, and adoption of ISO 27001-equivalent frameworks, with specialized supervision now housed in dedicated technology-risk and digital-banking units under the January 2026 RBS restructuring. Consumer protection is reinforced through the Bank Company Act, 1991 (amended), MFS guidelines, and BB</w:t>
      </w:r>
      <w:r>
        <w:rPr>
          <w:rFonts w:ascii="Times Roman" w:hAnsi="Times Roman" w:hint="default"/>
          <w:rtl w:val="1"/>
        </w:rPr>
        <w:t>’</w:t>
      </w:r>
      <w:r>
        <w:rPr>
          <w:rFonts w:ascii="Times Roman" w:hAnsi="Times Roman"/>
          <w:rtl w:val="0"/>
        </w:rPr>
        <w:t>s 2022</w:t>
      </w:r>
      <w:r>
        <w:rPr>
          <w:rFonts w:ascii="Times Roman" w:hAnsi="Times Roman" w:hint="default"/>
          <w:rtl w:val="0"/>
        </w:rPr>
        <w:t>–</w:t>
      </w:r>
      <w:r>
        <w:rPr>
          <w:rFonts w:ascii="Times Roman" w:hAnsi="Times Roman"/>
          <w:rtl w:val="0"/>
          <w:lang w:val="en-US"/>
        </w:rPr>
        <w:t>2025 directives on grievance redressal portals, cooling-off periods for digital transactions, and liability caps for unauthorized transfers (capped at BDT 5,000</w:t>
      </w:r>
      <w:r>
        <w:rPr>
          <w:rFonts w:ascii="Times Roman" w:hAnsi="Times Roman" w:hint="default"/>
          <w:rtl w:val="0"/>
        </w:rPr>
        <w:t>–</w:t>
      </w:r>
      <w:r>
        <w:rPr>
          <w:rFonts w:ascii="Times Roman" w:hAnsi="Times Roman"/>
          <w:rtl w:val="0"/>
          <w:lang w:val="en-US"/>
        </w:rPr>
        <w:t xml:space="preserve">10,000 pending investigation). The BFIU, as the central AML/CFT authority under the Anti-Money Laundering Prevention Act, 2012 and Anti-Terrorism Act, 2009, plays a pivotal role in fraud response: its March 2026 </w:t>
      </w:r>
      <w:r>
        <w:rPr>
          <w:rFonts w:ascii="Times Roman" w:hAnsi="Times Roman" w:hint="default"/>
          <w:rtl w:val="1"/>
          <w:lang w:val="ar-SA" w:bidi="ar-SA"/>
        </w:rPr>
        <w:t>“</w:t>
      </w:r>
      <w:r>
        <w:rPr>
          <w:rFonts w:ascii="Times Roman" w:hAnsi="Times Roman"/>
          <w:rtl w:val="0"/>
          <w:lang w:val="en-US"/>
        </w:rPr>
        <w:t>Guidelines on Electronic Know Your Customer (e-KYC)</w:t>
      </w:r>
      <w:r>
        <w:rPr>
          <w:rFonts w:ascii="Times Roman" w:hAnsi="Times Roman" w:hint="default"/>
          <w:rtl w:val="0"/>
        </w:rPr>
        <w:t xml:space="preserve">” </w:t>
      </w:r>
      <w:r>
        <w:rPr>
          <w:rFonts w:ascii="Times Roman" w:hAnsi="Times Roman"/>
          <w:rtl w:val="0"/>
          <w:lang w:val="en-US"/>
        </w:rPr>
        <w:t>streamline onboarding for banks, insurance, and capital market entities while enforcing risk-based customer due diligence, with a hard deadline of 31 December 2026 for full compliance. BFIU circulars mandate transaction monitoring systems, suspicious transaction reporting (STRs), and integration with the National Data Exchange Platform, balancing inclusion objectives with stringent AML/CFT controls</w:t>
      </w:r>
      <w:r>
        <w:rPr>
          <w:rFonts w:ascii="Times Roman" w:hAnsi="Times Roman" w:hint="default"/>
          <w:rtl w:val="0"/>
          <w:lang w:val="en-US"/>
        </w:rPr>
        <w:t>—</w:t>
      </w:r>
      <w:r>
        <w:rPr>
          <w:rFonts w:ascii="Times Roman" w:hAnsi="Times Roman"/>
          <w:rtl w:val="0"/>
          <w:lang w:val="en-US"/>
        </w:rPr>
        <w:t>evident in recent directives requiring daily trust-account reporting and personal executive liability for shortfalls. Despite these advances, enforcement capacity remains strained: cyber incident response times average longer than regional peers, and coordination between BB supervision, BFIU, and law enforcement agencies requires further strengthening amid rising SIM-swap and phishing threats documented in 2024</w:t>
      </w:r>
      <w:r>
        <w:rPr>
          <w:rFonts w:ascii="Times Roman" w:hAnsi="Times Roman" w:hint="default"/>
          <w:rtl w:val="0"/>
        </w:rPr>
        <w:t>–</w:t>
      </w:r>
      <w:r>
        <w:rPr>
          <w:rFonts w:ascii="Times Roman" w:hAnsi="Times Roman"/>
          <w:rtl w:val="0"/>
          <w:lang w:val="en-US"/>
        </w:rPr>
        <w:t>2025. Collectively, this framework provides a robust legal foundation for secure digital finance, yet its effectiveness hinges on enhanced supervisory technology (RegTech), inter-agency data sharing, and capacity building</w:t>
      </w:r>
      <w:r>
        <w:rPr>
          <w:rFonts w:ascii="Times Roman" w:hAnsi="Times Roman" w:hint="default"/>
          <w:rtl w:val="0"/>
          <w:lang w:val="en-US"/>
        </w:rPr>
        <w:t>—</w:t>
      </w:r>
      <w:r>
        <w:rPr>
          <w:rFonts w:ascii="Times Roman" w:hAnsi="Times Roman"/>
          <w:rtl w:val="0"/>
          <w:lang w:val="en-US"/>
        </w:rPr>
        <w:t>areas the thesis</w:t>
      </w:r>
      <w:r>
        <w:rPr>
          <w:rFonts w:ascii="Times Roman" w:hAnsi="Times Roman" w:hint="default"/>
          <w:rtl w:val="1"/>
        </w:rPr>
        <w:t>’</w:t>
      </w:r>
      <w:r>
        <w:rPr>
          <w:rFonts w:ascii="Times Roman" w:hAnsi="Times Roman"/>
          <w:rtl w:val="0"/>
          <w:lang w:val="en-US"/>
        </w:rPr>
        <w:t>s empirical investigation will examine in depth to inform targeted reforms.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4.3 Current Status and Trends in E-banking Services (2018</w:t>
      </w:r>
      <w:r>
        <w:rPr>
          <w:rFonts w:ascii="Times Roman" w:hAnsi="Times Roman" w:hint="default"/>
          <w:b w:val="1"/>
          <w:bCs w:val="1"/>
          <w:sz w:val="28"/>
          <w:szCs w:val="28"/>
          <w:rtl w:val="0"/>
        </w:rPr>
        <w:t>–</w:t>
      </w:r>
      <w:r>
        <w:rPr>
          <w:rFonts w:ascii="Times Roman" w:hAnsi="Times Roman"/>
          <w:b w:val="1"/>
          <w:bCs w:val="1"/>
          <w:sz w:val="28"/>
          <w:szCs w:val="28"/>
          <w:rtl w:val="0"/>
          <w:lang w:val="en-US"/>
        </w:rPr>
        <w:t>2026 Statistics with Growth Trajectories)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4.3.1 Internet Banking: Transaction Volumes, 32%+ Surge, User Demographics &amp; Urban/Rural Split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Internet banking in Bangladesh has experienced sustained expansion since 2018, transitioning from a niche service offered primarily by foreign and large private commercial banks to a mainstream channel integrated with mobile apps and agent networks. Transaction volumes grew from approximately BDT 1.2 lakh crore in 2018 to over BDT 4.8 lakh crore by 2024, reflecting a compound annual growth rate (CAGR) of 26</w:t>
      </w:r>
      <w:r>
        <w:rPr>
          <w:rFonts w:ascii="Times Roman" w:hAnsi="Times Roman" w:hint="default"/>
          <w:rtl w:val="0"/>
        </w:rPr>
        <w:t>–</w:t>
      </w:r>
      <w:r>
        <w:rPr>
          <w:rFonts w:ascii="Times Roman" w:hAnsi="Times Roman"/>
          <w:rtl w:val="0"/>
          <w:lang w:val="en-US"/>
        </w:rPr>
        <w:t>28%, with a notable 32%+ year-on-year surge in 2024</w:t>
      </w:r>
      <w:r>
        <w:rPr>
          <w:rFonts w:ascii="Times Roman" w:hAnsi="Times Roman" w:hint="default"/>
          <w:rtl w:val="0"/>
        </w:rPr>
        <w:t>–</w:t>
      </w:r>
      <w:r>
        <w:rPr>
          <w:rFonts w:ascii="Times Roman" w:hAnsi="Times Roman"/>
          <w:rtl w:val="0"/>
          <w:lang w:val="en-US"/>
        </w:rPr>
        <w:t>2025 driven by post-COVID digital acceleration, government-to-person (G2P) disbursements, and enhanced security features (Bangladesh Bank, 2025). User demographics remain skewed toward urban, educated, higher-income males aged 25</w:t>
      </w:r>
      <w:r>
        <w:rPr>
          <w:rFonts w:ascii="Times Roman" w:hAnsi="Times Roman" w:hint="default"/>
          <w:rtl w:val="0"/>
        </w:rPr>
        <w:t>–</w:t>
      </w:r>
      <w:r>
        <w:rPr>
          <w:rFonts w:ascii="Times Roman" w:hAnsi="Times Roman"/>
          <w:rtl w:val="0"/>
          <w:lang w:val="en-US"/>
        </w:rPr>
        <w:t>45 (approximately 68% of active users per 2024 BB surveys), yet rural penetration has risen from 12% in 2018 to 29% in 2025 through agent-assisted onboarding and USSD fallbacks. The urban/rural split stands at roughly 71:29 in transaction value, with rural users exhibiting higher reliance on bill payments and remittances while urban cohorts dominate fund transfers and investment products. Key growth drivers include interoperability via the National Payment Switch Bangladesh (NPSB) and the Instant Digital Transaction Platform (IDTP/Binimoy), which reduced friction and enabled 24/7 real-time settlements. Despite progress, average transaction values remain modest (BDT 8,500</w:t>
      </w:r>
      <w:r>
        <w:rPr>
          <w:rFonts w:ascii="Times Roman" w:hAnsi="Times Roman" w:hint="default"/>
          <w:rtl w:val="0"/>
        </w:rPr>
        <w:t>–</w:t>
      </w:r>
      <w:r>
        <w:rPr>
          <w:rFonts w:ascii="Times Roman" w:hAnsi="Times Roman"/>
          <w:rtl w:val="0"/>
          <w:lang w:val="en-US"/>
        </w:rPr>
        <w:t>12,000), constrained by cybersecurity concerns and limited integration with core banking systems in smaller banks. Projections for 2026 anticipate another 25</w:t>
      </w:r>
      <w:r>
        <w:rPr>
          <w:rFonts w:ascii="Times Roman" w:hAnsi="Times Roman" w:hint="default"/>
          <w:rtl w:val="0"/>
        </w:rPr>
        <w:t>–</w:t>
      </w:r>
      <w:r>
        <w:rPr>
          <w:rFonts w:ascii="Times Roman" w:hAnsi="Times Roman"/>
          <w:rtl w:val="0"/>
          <w:lang w:val="en-US"/>
        </w:rPr>
        <w:t>30% volume increase, contingent on open banking pilots and biometric enhancements that could further bridge the demographic divide.</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 xml:space="preserve">4.3.2 Mobile Financial Services (MFS): bKash, Nagad, Rocket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Market Shares, Agent Networks (1.2M+), Use Cases, Interoperability via NPSB &amp; IDTP</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Mobile Financial Services (MFS) constitute the cornerstone of Bangladesh</w:t>
      </w:r>
      <w:r>
        <w:rPr>
          <w:rFonts w:ascii="Times Roman" w:hAnsi="Times Roman" w:hint="default"/>
          <w:rtl w:val="1"/>
        </w:rPr>
        <w:t>’</w:t>
      </w:r>
      <w:r>
        <w:rPr>
          <w:rFonts w:ascii="Times Roman" w:hAnsi="Times Roman"/>
          <w:rtl w:val="0"/>
          <w:lang w:val="en-US"/>
        </w:rPr>
        <w:t>s digital finance ecosystem, with registered accounts reaching 238.7 million by December 2024 (up from ~80 million in 2018) and transaction volumes surging from BDT 3.2 lakh crore in 2018 to BDT 17.37 lakh crore in 2024</w:t>
      </w:r>
      <w:r>
        <w:rPr>
          <w:rFonts w:ascii="Times Roman" w:hAnsi="Times Roman" w:hint="default"/>
          <w:rtl w:val="0"/>
          <w:lang w:val="en-US"/>
        </w:rPr>
        <w:t>—</w:t>
      </w:r>
      <w:r>
        <w:rPr>
          <w:rFonts w:ascii="Times Roman" w:hAnsi="Times Roman"/>
          <w:rtl w:val="0"/>
          <w:lang w:val="en-US"/>
        </w:rPr>
        <w:t>a CAGR exceeding 33%. Market shares are led by bKash (approximately 62</w:t>
      </w:r>
      <w:r>
        <w:rPr>
          <w:rFonts w:ascii="Times Roman" w:hAnsi="Times Roman" w:hint="default"/>
          <w:rtl w:val="0"/>
        </w:rPr>
        <w:t>–</w:t>
      </w:r>
      <w:r>
        <w:rPr>
          <w:rFonts w:ascii="Times Roman" w:hAnsi="Times Roman"/>
          <w:rtl w:val="0"/>
          <w:lang w:val="en-US"/>
        </w:rPr>
        <w:t>65% of active users and transaction value), followed by Nagad (18</w:t>
      </w:r>
      <w:r>
        <w:rPr>
          <w:rFonts w:ascii="Times Roman" w:hAnsi="Times Roman" w:hint="default"/>
          <w:rtl w:val="0"/>
        </w:rPr>
        <w:t>–</w:t>
      </w:r>
      <w:r>
        <w:rPr>
          <w:rFonts w:ascii="Times Roman" w:hAnsi="Times Roman"/>
          <w:rtl w:val="0"/>
          <w:lang w:val="en-US"/>
        </w:rPr>
        <w:t>22%, benefiting from state-backed postal infrastructure and aggressive fee reductions) and Rocket (8</w:t>
      </w:r>
      <w:r>
        <w:rPr>
          <w:rFonts w:ascii="Times Roman" w:hAnsi="Times Roman" w:hint="default"/>
          <w:rtl w:val="0"/>
        </w:rPr>
        <w:t>–</w:t>
      </w:r>
      <w:r>
        <w:rPr>
          <w:rFonts w:ascii="Times Roman" w:hAnsi="Times Roman"/>
          <w:rtl w:val="0"/>
          <w:lang w:val="en-US"/>
        </w:rPr>
        <w:t>10%), with smaller players (Upay, others) sharing the remainder. Agent networks have expanded dramatically to over 1.2 million points nationwide by mid-2025 (from ~0.5 million in 2018), enabling cash-in/cash-out, account opening, and merchant payments in remote areas and contributing to 23.9 million agent banking accounts. Primary use cases include person-to-person (P2P) transfers (45</w:t>
      </w:r>
      <w:r>
        <w:rPr>
          <w:rFonts w:ascii="Times Roman" w:hAnsi="Times Roman" w:hint="default"/>
          <w:rtl w:val="0"/>
        </w:rPr>
        <w:t>–</w:t>
      </w:r>
      <w:r>
        <w:rPr>
          <w:rFonts w:ascii="Times Roman" w:hAnsi="Times Roman"/>
          <w:rtl w:val="0"/>
          <w:lang w:val="en-US"/>
        </w:rPr>
        <w:t>50% of volume), utility and bill payments (25</w:t>
      </w:r>
      <w:r>
        <w:rPr>
          <w:rFonts w:ascii="Times Roman" w:hAnsi="Times Roman" w:hint="default"/>
          <w:rtl w:val="0"/>
        </w:rPr>
        <w:t>–</w:t>
      </w:r>
      <w:r>
        <w:rPr>
          <w:rFonts w:ascii="Times Roman" w:hAnsi="Times Roman"/>
          <w:rtl w:val="0"/>
          <w:lang w:val="en-US"/>
        </w:rPr>
        <w:t>28%), government transfers and salaries (12</w:t>
      </w:r>
      <w:r>
        <w:rPr>
          <w:rFonts w:ascii="Times Roman" w:hAnsi="Times Roman" w:hint="default"/>
          <w:rtl w:val="0"/>
        </w:rPr>
        <w:t>–</w:t>
      </w:r>
      <w:r>
        <w:rPr>
          <w:rFonts w:ascii="Times Roman" w:hAnsi="Times Roman"/>
          <w:rtl w:val="0"/>
          <w:lang w:val="en-US"/>
        </w:rPr>
        <w:t>15%), and merchant payments (8</w:t>
      </w:r>
      <w:r>
        <w:rPr>
          <w:rFonts w:ascii="Times Roman" w:hAnsi="Times Roman" w:hint="default"/>
          <w:rtl w:val="0"/>
        </w:rPr>
        <w:t>–</w:t>
      </w:r>
      <w:r>
        <w:rPr>
          <w:rFonts w:ascii="Times Roman" w:hAnsi="Times Roman"/>
          <w:rtl w:val="0"/>
          <w:lang w:val="en-US"/>
        </w:rPr>
        <w:t>10%), with emerging micro-savings and digital lending products gaining traction. Interoperability has improved markedly through the National Payment Switch Bangladesh (NPSB) and the Instant Digital Transaction Platform (IDTP/Binimoy), allowing seamless transfers across MFS providers and banks since 2022</w:t>
      </w:r>
      <w:r>
        <w:rPr>
          <w:rFonts w:ascii="Times Roman" w:hAnsi="Times Roman" w:hint="default"/>
          <w:rtl w:val="0"/>
        </w:rPr>
        <w:t>–</w:t>
      </w:r>
      <w:r>
        <w:rPr>
          <w:rFonts w:ascii="Times Roman" w:hAnsi="Times Roman"/>
          <w:rtl w:val="0"/>
          <w:lang w:val="en-US"/>
        </w:rPr>
        <w:t>2023 upgrades; daily cross-platform transactions now exceed 40% of total volume. Growth trajectories remain robust, with 2025</w:t>
      </w:r>
      <w:r>
        <w:rPr>
          <w:rFonts w:ascii="Times Roman" w:hAnsi="Times Roman" w:hint="default"/>
          <w:rtl w:val="0"/>
        </w:rPr>
        <w:t>–</w:t>
      </w:r>
      <w:r>
        <w:rPr>
          <w:rFonts w:ascii="Times Roman" w:hAnsi="Times Roman"/>
          <w:rtl w:val="0"/>
          <w:lang w:val="en-US"/>
        </w:rPr>
        <w:t>2026 projections forecasting 20</w:t>
      </w:r>
      <w:r>
        <w:rPr>
          <w:rFonts w:ascii="Times Roman" w:hAnsi="Times Roman" w:hint="default"/>
          <w:rtl w:val="0"/>
        </w:rPr>
        <w:t>–</w:t>
      </w:r>
      <w:r>
        <w:rPr>
          <w:rFonts w:ascii="Times Roman" w:hAnsi="Times Roman"/>
          <w:rtl w:val="0"/>
          <w:lang w:val="en-US"/>
        </w:rPr>
        <w:t>25% annual volume increases and 280+ million registered accounts by end-2026, though challenges of market concentration and agent quality persist. The ecosystem</w:t>
      </w:r>
      <w:r>
        <w:rPr>
          <w:rFonts w:ascii="Times Roman" w:hAnsi="Times Roman" w:hint="default"/>
          <w:rtl w:val="1"/>
        </w:rPr>
        <w:t>’</w:t>
      </w:r>
      <w:r>
        <w:rPr>
          <w:rFonts w:ascii="Times Roman" w:hAnsi="Times Roman"/>
          <w:rtl w:val="0"/>
          <w:lang w:val="it-IT"/>
        </w:rPr>
        <w:t>s scale</w:t>
      </w:r>
      <w:r>
        <w:rPr>
          <w:rFonts w:ascii="Times Roman" w:hAnsi="Times Roman" w:hint="default"/>
          <w:rtl w:val="0"/>
          <w:lang w:val="en-US"/>
        </w:rPr>
        <w:t>—</w:t>
      </w:r>
      <w:r>
        <w:rPr>
          <w:rFonts w:ascii="Times Roman" w:hAnsi="Times Roman"/>
          <w:rtl w:val="0"/>
          <w:lang w:val="en-US"/>
        </w:rPr>
        <w:t>handling ~8.61% of global daily mobile money transactions</w:t>
      </w:r>
      <w:r>
        <w:rPr>
          <w:rFonts w:ascii="Times Roman" w:hAnsi="Times Roman" w:hint="default"/>
          <w:rtl w:val="0"/>
          <w:lang w:val="en-US"/>
        </w:rPr>
        <w:t>—</w:t>
      </w:r>
      <w:r>
        <w:rPr>
          <w:rFonts w:ascii="Times Roman" w:hAnsi="Times Roman"/>
          <w:rtl w:val="0"/>
          <w:lang w:val="en-US"/>
        </w:rPr>
        <w:t>positions Bangladesh as a regional leader, yet sustaining momentum requires deeper integration with traditional banking and enhanced fraud mitigation.</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4.3.3 Card Payments, QR Codes, POS Terminals, and Instant Payment Systems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Card payments, QR code transactions, and point-of-sale (POS) terminals have grown steadily alongside MFS, supported by NPSB infrastructure and merchant digitization drives. Debit and credit card transactions rose from BDT 0.8 lakh crore in 2018 to approximately BDT 2.9 lakh crore in 2024 (CAGR ~24%), with contactless and QR-enabled payments accounting for over 55% of card volume by 2025 following widespread adoption of standardized QR codes (aligned with EMV and local specifications). POS terminals expanded from ~150,000 in 2018 to over 420,000 by mid-2025, concentrated in urban retail, supermarkets, and e-commerce, while rural deployment accelerated via agent-linked devices. Instant payment systems, primarily through NPSB and the Binimoy/IDTP platform, processed over 65% of digital retail payments in real time by 2025, enabling 24/7 bank-to-bank and bank-to-MFS transfers with near-zero failure rates. Growth was propelled by government mandates for digital acceptance in public services and merchant incentives (e.g., MDR waivers on low-value transactions). Urban areas dominate (78% of QR/POS volume), yet rural adoption surged 48% year-on-year in 2024</w:t>
      </w:r>
      <w:r>
        <w:rPr>
          <w:rFonts w:ascii="Times Roman" w:hAnsi="Times Roman" w:hint="default"/>
          <w:rtl w:val="0"/>
        </w:rPr>
        <w:t>–</w:t>
      </w:r>
      <w:r>
        <w:rPr>
          <w:rFonts w:ascii="Times Roman" w:hAnsi="Times Roman"/>
          <w:rtl w:val="0"/>
          <w:lang w:val="en-US"/>
        </w:rPr>
        <w:t>2025 through agent QR kits and USSD fallbacks. Projections for 2026 indicate continued 22</w:t>
      </w:r>
      <w:r>
        <w:rPr>
          <w:rFonts w:ascii="Times Roman" w:hAnsi="Times Roman" w:hint="default"/>
          <w:rtl w:val="0"/>
        </w:rPr>
        <w:t>–</w:t>
      </w:r>
      <w:r>
        <w:rPr>
          <w:rFonts w:ascii="Times Roman" w:hAnsi="Times Roman"/>
          <w:rtl w:val="0"/>
          <w:lang w:val="en-US"/>
        </w:rPr>
        <w:t>28% annual growth in card/QR volumes, driven by open banking APIs and biometric card issuance, potentially elevating the digital share of retail payments above 45% of total transaction value.</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4.3.4 Emerging Services: Digital Lending (Micro &amp; SME), Agent Banking Expansion, Open Banking Pilots, Biometric Authentication, CBDC Exploration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Emerging e-banking services are reshaping Bangladesh</w:t>
      </w:r>
      <w:r>
        <w:rPr>
          <w:rFonts w:ascii="Times Roman" w:hAnsi="Times Roman" w:hint="default"/>
          <w:rtl w:val="1"/>
        </w:rPr>
        <w:t>’</w:t>
      </w:r>
      <w:r>
        <w:rPr>
          <w:rFonts w:ascii="Times Roman" w:hAnsi="Times Roman"/>
          <w:rtl w:val="0"/>
          <w:lang w:val="en-US"/>
        </w:rPr>
        <w:t>s financial landscape, with digital lending (micro and SME) expanding rapidly through app-based platforms and alternative credit scoring. Digital micro-loans disbursed via MFS apps grew from negligible volumes in 2018 to over BDT 12,000 crore in 2024, targeting underserved segments with AI-driven scoring that reduced approval times to under 10 minutes; SME lending via embedded finance partnerships reached BDT 8,500 crore, though NPL risks in this segment remain elevated (12</w:t>
      </w:r>
      <w:r>
        <w:rPr>
          <w:rFonts w:ascii="Times Roman" w:hAnsi="Times Roman" w:hint="default"/>
          <w:rtl w:val="0"/>
        </w:rPr>
        <w:t>–</w:t>
      </w:r>
      <w:r>
        <w:rPr>
          <w:rFonts w:ascii="Times Roman" w:hAnsi="Times Roman"/>
          <w:rtl w:val="0"/>
          <w:lang w:val="en-US"/>
        </w:rPr>
        <w:t>15%). Agent banking has scaled to 23.9 million accounts by 2024 (from 0.31 million in 2015), with 2025</w:t>
      </w:r>
      <w:r>
        <w:rPr>
          <w:rFonts w:ascii="Times Roman" w:hAnsi="Times Roman" w:hint="default"/>
          <w:rtl w:val="0"/>
        </w:rPr>
        <w:t>–</w:t>
      </w:r>
      <w:r>
        <w:rPr>
          <w:rFonts w:ascii="Times Roman" w:hAnsi="Times Roman"/>
          <w:rtl w:val="0"/>
          <w:lang w:val="en-US"/>
        </w:rPr>
        <w:t>2026 expansion focusing on last-mile quality upgrades and integration with core banking for deposit mobilization. Open banking pilots, initiated under Bangladesh Bank</w:t>
      </w:r>
      <w:r>
        <w:rPr>
          <w:rFonts w:ascii="Times Roman" w:hAnsi="Times Roman" w:hint="default"/>
          <w:rtl w:val="1"/>
        </w:rPr>
        <w:t>’</w:t>
      </w:r>
      <w:r>
        <w:rPr>
          <w:rFonts w:ascii="Times Roman" w:hAnsi="Times Roman"/>
          <w:rtl w:val="0"/>
          <w:lang w:val="en-US"/>
        </w:rPr>
        <w:t>s 2024</w:t>
      </w:r>
      <w:r>
        <w:rPr>
          <w:rFonts w:ascii="Times Roman" w:hAnsi="Times Roman" w:hint="default"/>
          <w:rtl w:val="0"/>
        </w:rPr>
        <w:t>–</w:t>
      </w:r>
      <w:r>
        <w:rPr>
          <w:rFonts w:ascii="Times Roman" w:hAnsi="Times Roman"/>
          <w:rtl w:val="0"/>
          <w:lang w:val="en-US"/>
        </w:rPr>
        <w:t>2025 sandbox, enable secure API-based data sharing between banks and fintechs for personalized products, with initial participants reporting 18</w:t>
      </w:r>
      <w:r>
        <w:rPr>
          <w:rFonts w:ascii="Times Roman" w:hAnsi="Times Roman" w:hint="default"/>
          <w:rtl w:val="0"/>
        </w:rPr>
        <w:t>–</w:t>
      </w:r>
      <w:r>
        <w:rPr>
          <w:rFonts w:ascii="Times Roman" w:hAnsi="Times Roman"/>
          <w:rtl w:val="0"/>
          <w:lang w:val="en-US"/>
        </w:rPr>
        <w:t>25% improvements in customer acquisition. Biometric authentication (fingerprint, facial recognition, and e-KYC) has achieved near-universal adoption in new MFS onboarding since the 2026 e-KYC guidelines, reducing fraud incidents by an estimated 35</w:t>
      </w:r>
      <w:r>
        <w:rPr>
          <w:rFonts w:ascii="Times Roman" w:hAnsi="Times Roman" w:hint="default"/>
          <w:rtl w:val="0"/>
        </w:rPr>
        <w:t>–</w:t>
      </w:r>
      <w:r>
        <w:rPr>
          <w:rFonts w:ascii="Times Roman" w:hAnsi="Times Roman"/>
          <w:rtl w:val="0"/>
          <w:lang w:val="en-US"/>
        </w:rPr>
        <w:t>40% in pilot banks. CBDC exploration remains in the research phase, with Bangladesh Bank conducting feasibility studies (aligned with BIS and IMF frameworks) focused on wholesale applications and interoperability with existing MFS rails; a potential retail pilot is anticipated post-2027 pending regulatory and infrastructural readiness. These innovations signal a shift toward embedded, data-driven finance, with 2026 projections forecasting digital lending to exceed BDT 35,000 crore and open banking APIs covering 15</w:t>
      </w:r>
      <w:r>
        <w:rPr>
          <w:rFonts w:ascii="Times Roman" w:hAnsi="Times Roman" w:hint="default"/>
          <w:rtl w:val="0"/>
        </w:rPr>
        <w:t>–</w:t>
      </w:r>
      <w:r>
        <w:rPr>
          <w:rFonts w:ascii="Times Roman" w:hAnsi="Times Roman"/>
          <w:rtl w:val="0"/>
          <w:lang w:val="en-US"/>
        </w:rPr>
        <w:t>20% of bank customers, contingent on cybersecurity enhancements and inclusive design to bridge remaining divides.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70528" behindDoc="0" locked="0" layoutInCell="1" allowOverlap="1">
                <wp:simplePos x="0" y="0"/>
                <wp:positionH relativeFrom="margin">
                  <wp:posOffset>444514</wp:posOffset>
                </wp:positionH>
                <wp:positionV relativeFrom="line">
                  <wp:posOffset>289560</wp:posOffset>
                </wp:positionV>
                <wp:extent cx="5749187" cy="3999314"/>
                <wp:effectExtent l="0" t="0" r="0" b="0"/>
                <wp:wrapThrough wrapText="bothSides" distL="152400" distR="152400">
                  <wp:wrapPolygon edited="1">
                    <wp:start x="0" y="0"/>
                    <wp:lineTo x="21600" y="0"/>
                    <wp:lineTo x="21600" y="21600"/>
                    <wp:lineTo x="0" y="21600"/>
                    <wp:lineTo x="0" y="0"/>
                  </wp:wrapPolygon>
                </wp:wrapThrough>
                <wp:docPr id="1073741847" name="officeArt object" descr="pasted-image.tiff"/>
                <wp:cNvGraphicFramePr/>
                <a:graphic xmlns:a="http://schemas.openxmlformats.org/drawingml/2006/main">
                  <a:graphicData uri="http://schemas.microsoft.com/office/word/2010/wordprocessingGroup">
                    <wpg:wgp>
                      <wpg:cNvGrpSpPr/>
                      <wpg:grpSpPr>
                        <a:xfrm>
                          <a:off x="0" y="0"/>
                          <a:ext cx="5749187" cy="3999314"/>
                          <a:chOff x="0" y="0"/>
                          <a:chExt cx="5749186" cy="3999313"/>
                        </a:xfrm>
                      </wpg:grpSpPr>
                      <pic:pic xmlns:pic="http://schemas.openxmlformats.org/drawingml/2006/picture">
                        <pic:nvPicPr>
                          <pic:cNvPr id="1073741846" name="pasted-image.tiff" descr="pasted-image.tiff"/>
                          <pic:cNvPicPr>
                            <a:picLocks noChangeAspect="1"/>
                          </pic:cNvPicPr>
                        </pic:nvPicPr>
                        <pic:blipFill>
                          <a:blip r:embed="rId20">
                            <a:extLst/>
                          </a:blip>
                          <a:stretch>
                            <a:fillRect/>
                          </a:stretch>
                        </pic:blipFill>
                        <pic:spPr>
                          <a:xfrm>
                            <a:off x="127000" y="88900"/>
                            <a:ext cx="5495187" cy="3669114"/>
                          </a:xfrm>
                          <a:prstGeom prst="rect">
                            <a:avLst/>
                          </a:prstGeom>
                          <a:ln>
                            <a:noFill/>
                          </a:ln>
                          <a:effectLst/>
                        </pic:spPr>
                      </pic:pic>
                      <pic:pic xmlns:pic="http://schemas.openxmlformats.org/drawingml/2006/picture">
                        <pic:nvPicPr>
                          <pic:cNvPr id="1073741845" name="pasted-image.tiff" descr="pasted-image.tiff"/>
                          <pic:cNvPicPr>
                            <a:picLocks noChangeAspect="0"/>
                          </pic:cNvPicPr>
                        </pic:nvPicPr>
                        <pic:blipFill>
                          <a:blip r:embed="rId21">
                            <a:extLst/>
                          </a:blip>
                          <a:stretch>
                            <a:fillRect/>
                          </a:stretch>
                        </pic:blipFill>
                        <pic:spPr>
                          <a:xfrm>
                            <a:off x="0" y="0"/>
                            <a:ext cx="5749187" cy="3999314"/>
                          </a:xfrm>
                          <a:prstGeom prst="rect">
                            <a:avLst/>
                          </a:prstGeom>
                          <a:effectLst/>
                        </pic:spPr>
                      </pic:pic>
                    </wpg:wgp>
                  </a:graphicData>
                </a:graphic>
              </wp:anchor>
            </w:drawing>
          </mc:Choice>
          <mc:Fallback>
            <w:pict>
              <v:group id="_x0000_s1038" style="visibility:visible;position:absolute;margin-left:35.0pt;margin-top:22.8pt;width:452.7pt;height:314.9pt;z-index:251670528;mso-position-horizontal:absolute;mso-position-horizontal-relative:margin;mso-position-vertical:absolute;mso-position-vertical-relative:line;mso-wrap-distance-left:12.0pt;mso-wrap-distance-top:12.0pt;mso-wrap-distance-right:12.0pt;mso-wrap-distance-bottom:12.0pt;" coordorigin="0,0" coordsize="5749186,3999313">
                <w10:wrap type="through" side="bothSides" anchorx="margin"/>
                <v:shape id="_x0000_s1039" type="#_x0000_t75" style="position:absolute;left:127000;top:88900;width:5495186;height:3669113;">
                  <v:imagedata r:id="rId20" o:title="pasted-image.tiff"/>
                </v:shape>
                <v:shape id="_x0000_s1040" type="#_x0000_t75" style="position:absolute;left:0;top:0;width:5749186;height:3999313;">
                  <v:imagedata r:id="rId21" o:title=""/>
                </v:shape>
              </v:group>
            </w:pict>
          </mc:Fallback>
        </mc:AlternateConten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i w:val="1"/>
          <w:iCs w:val="1"/>
        </w:rPr>
      </w:pPr>
    </w:p>
    <w:p>
      <w:pPr>
        <w:pStyle w:val="Default"/>
        <w:suppressAutoHyphens w:val="1"/>
        <w:spacing w:before="0" w:line="240" w:lineRule="auto"/>
        <w:jc w:val="center"/>
        <w:rPr>
          <w:rFonts w:ascii="Times Roman" w:cs="Times Roman" w:hAnsi="Times Roman" w:eastAsia="Times Roman"/>
          <w:b w:val="1"/>
          <w:bCs w:val="1"/>
          <w:i w:val="1"/>
          <w:iCs w:val="1"/>
        </w:rPr>
      </w:pPr>
      <w:r>
        <w:rPr>
          <w:rFonts w:ascii="Times Roman" w:hAnsi="Times Roman"/>
          <w:b w:val="1"/>
          <w:bCs w:val="1"/>
          <w:rtl w:val="0"/>
          <w:lang w:val="it-IT"/>
        </w:rPr>
        <w:t>Figure 4.1:</w:t>
      </w:r>
      <w:r>
        <w:rPr>
          <w:rFonts w:ascii="Times Roman" w:hAnsi="Times Roman"/>
          <w:rtl w:val="0"/>
        </w:rPr>
        <w:t xml:space="preserve"> </w:t>
      </w:r>
      <w:r>
        <w:rPr>
          <w:rFonts w:ascii="Times Roman" w:hAnsi="Times Roman"/>
          <w:i w:val="1"/>
          <w:iCs w:val="1"/>
          <w:rtl w:val="0"/>
          <w:lang w:val="en-US"/>
        </w:rPr>
        <w:t>Transaction Value Growth Trajectories: Mobile Financial Services (MFS) vs. Internet Banking (2018</w:t>
      </w:r>
      <w:r>
        <w:rPr>
          <w:rFonts w:ascii="Times Roman" w:hAnsi="Times Roman" w:hint="default"/>
          <w:i w:val="1"/>
          <w:iCs w:val="1"/>
          <w:rtl w:val="0"/>
        </w:rPr>
        <w:t>–</w:t>
      </w:r>
      <w:r>
        <w:rPr>
          <w:rFonts w:ascii="Times Roman" w:hAnsi="Times Roman"/>
          <w:i w:val="1"/>
          <w:iCs w:val="1"/>
          <w:rtl w:val="0"/>
          <w:lang w:val="en-US"/>
        </w:rPr>
        <w:t>2024)</w:t>
      </w:r>
      <w:r>
        <w:rPr>
          <w:rFonts w:ascii="Times Roman" w:hAnsi="Times Roman"/>
          <w:i w:val="1"/>
          <w:iCs w:val="1"/>
          <w:rtl w:val="0"/>
          <w:lang w:val="en-US"/>
        </w:rPr>
        <w:t xml:space="preserve">. </w:t>
      </w:r>
      <w:r>
        <w:rPr>
          <w:rFonts w:ascii="Times Roman" w:hAnsi="Times Roman"/>
          <w:b w:val="1"/>
          <w:bCs w:val="1"/>
          <w:i w:val="1"/>
          <w:iCs w:val="1"/>
          <w:rtl w:val="0"/>
          <w:lang w:val="en-US"/>
        </w:rPr>
        <w:t>Bangladesh Financial Intelligence Unit (BFIU). (2024).</w:t>
      </w:r>
    </w:p>
    <w:p>
      <w:pPr>
        <w:pStyle w:val="Default"/>
        <w:suppressAutoHyphens w:val="1"/>
        <w:spacing w:before="0" w:line="240" w:lineRule="auto"/>
        <w:jc w:val="center"/>
        <w:rPr>
          <w:rFonts w:ascii="Times Roman" w:cs="Times Roman" w:hAnsi="Times Roman" w:eastAsia="Times Roman"/>
          <w:b w:val="1"/>
          <w:bCs w:val="1"/>
          <w:i w:val="1"/>
          <w:iCs w:val="1"/>
        </w:rPr>
      </w:pPr>
    </w:p>
    <w:p>
      <w:pPr>
        <w:pStyle w:val="Default"/>
        <w:suppressAutoHyphens w:val="1"/>
        <w:spacing w:before="0" w:line="240" w:lineRule="auto"/>
        <w:jc w:val="both"/>
        <w:rPr>
          <w:rFonts w:ascii="Times Roman" w:cs="Times Roman" w:hAnsi="Times Roman" w:eastAsia="Times Roman"/>
        </w:rPr>
      </w:pPr>
      <w:r>
        <w:rPr>
          <w:rFonts w:ascii="Times Roman" w:hAnsi="Times Roman"/>
          <w:b w:val="1"/>
          <w:bCs w:val="1"/>
          <w:rtl w:val="0"/>
          <w:lang w:val="en-US"/>
        </w:rPr>
        <w:t>Description:</w:t>
      </w:r>
      <w:r>
        <w:rPr>
          <w:rFonts w:ascii="Times Roman" w:hAnsi="Times Roman"/>
          <w:rtl w:val="0"/>
        </w:rPr>
        <w:t xml:space="preserve"> </w:t>
      </w:r>
      <w:r>
        <w:rPr>
          <w:rFonts w:ascii="Times Roman" w:hAnsi="Times Roman"/>
          <w:b w:val="1"/>
          <w:bCs w:val="1"/>
          <w:rtl w:val="0"/>
          <w:lang w:val="it-IT"/>
        </w:rPr>
        <w:t xml:space="preserve">Figure 4.1 </w:t>
      </w:r>
      <w:r>
        <w:rPr>
          <w:rFonts w:ascii="Times Roman" w:hAnsi="Times Roman"/>
          <w:rtl w:val="0"/>
          <w:lang w:val="en-US"/>
        </w:rPr>
        <w:t>illustrates the exponential growth of digital financial channels in Bangladesh from 2018 to 2024. The visualization highlights the dominance of the MFS sector, which surged past BDT 17 trillion by 2024, driven by the COVID-19 pandemic acceleration and post-2022 interoperability upgrades. Internet banking exhibits a steadier, yet parallel, upward trajectory, reflecting a combined transition toward a cashless ecosystem under the Smart Bangladesh 2041 vision.</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4.4 Key Market Players, Business Models, and Competitive Dynamics (Herfindahl-Hirschman Index for Market Concentration)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a-DK"/>
        </w:rPr>
        <w:t>Bangladesh</w:t>
      </w:r>
      <w:r>
        <w:rPr>
          <w:rFonts w:ascii="Times Roman" w:hAnsi="Times Roman" w:hint="default"/>
          <w:rtl w:val="1"/>
        </w:rPr>
        <w:t>’</w:t>
      </w:r>
      <w:r>
        <w:rPr>
          <w:rFonts w:ascii="Times Roman" w:hAnsi="Times Roman"/>
          <w:rtl w:val="0"/>
          <w:lang w:val="en-US"/>
        </w:rPr>
        <w:t>s e-banking and mobile financial services (MFS) landscape in 2025</w:t>
      </w:r>
      <w:r>
        <w:rPr>
          <w:rFonts w:ascii="Times Roman" w:hAnsi="Times Roman" w:hint="default"/>
          <w:rtl w:val="0"/>
        </w:rPr>
        <w:t>–</w:t>
      </w:r>
      <w:r>
        <w:rPr>
          <w:rFonts w:ascii="Times Roman" w:hAnsi="Times Roman"/>
          <w:rtl w:val="0"/>
          <w:lang w:val="en-US"/>
        </w:rPr>
        <w:t>2026 is characterized by high concentration among a few dominant players operating distinct yet overlapping business models, resulting in an oligopolistic structure with significant barriers to entry. The leading MFS provider, bKash (BRAC Bank</w:t>
      </w:r>
      <w:r>
        <w:rPr>
          <w:rFonts w:ascii="Times Roman" w:hAnsi="Times Roman" w:hint="default"/>
          <w:rtl w:val="0"/>
        </w:rPr>
        <w:t>–</w:t>
      </w:r>
      <w:r>
        <w:rPr>
          <w:rFonts w:ascii="Times Roman" w:hAnsi="Times Roman"/>
          <w:rtl w:val="0"/>
          <w:lang w:val="en-US"/>
        </w:rPr>
        <w:t>Money in Motion joint venture), commands approximately 62</w:t>
      </w:r>
      <w:r>
        <w:rPr>
          <w:rFonts w:ascii="Times Roman" w:hAnsi="Times Roman" w:hint="default"/>
          <w:rtl w:val="0"/>
        </w:rPr>
        <w:t>–</w:t>
      </w:r>
      <w:r>
        <w:rPr>
          <w:rFonts w:ascii="Times Roman" w:hAnsi="Times Roman"/>
          <w:rtl w:val="0"/>
          <w:lang w:val="en-US"/>
        </w:rPr>
        <w:t>65% market share in active users and transaction value, followed by Nagad (state-backed postal entity, 18</w:t>
      </w:r>
      <w:r>
        <w:rPr>
          <w:rFonts w:ascii="Times Roman" w:hAnsi="Times Roman" w:hint="default"/>
          <w:rtl w:val="0"/>
        </w:rPr>
        <w:t>–</w:t>
      </w:r>
      <w:r>
        <w:rPr>
          <w:rFonts w:ascii="Times Roman" w:hAnsi="Times Roman"/>
          <w:rtl w:val="0"/>
          <w:lang w:val="en-US"/>
        </w:rPr>
        <w:t>22% share) and Rocket (Dutch-Bangla Bank, 8</w:t>
      </w:r>
      <w:r>
        <w:rPr>
          <w:rFonts w:ascii="Times Roman" w:hAnsi="Times Roman" w:hint="default"/>
          <w:rtl w:val="0"/>
        </w:rPr>
        <w:t>–</w:t>
      </w:r>
      <w:r>
        <w:rPr>
          <w:rFonts w:ascii="Times Roman" w:hAnsi="Times Roman"/>
          <w:rtl w:val="0"/>
          <w:lang w:val="en-US"/>
        </w:rPr>
        <w:t xml:space="preserve">10% share), with smaller players (Upay and niche fintechs) accounting for the remainder. Traditional banks (e.g., Dutch-Bangla Bank, BRAC Bank, Islami Bank) compete through internet banking and card products but have ceded significant ground to non-bank MFS in retail payments and remittances. </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Business models diverge sharply: bKash and Nagad operate wallet-centric, agent-led models emphasizing low-value, high-frequency P2P transfers and cash-in/cash-out via 1.2+ million agents; Rocket integrates more closely with core banking for hybrid services; and emerging digital banks (under 2025 Guidelines Version 2) pursue fully branchless, app-first models with embedded lending and open APIs. Competitive dynamics are shaped by price competition (Nagad</w:t>
      </w:r>
      <w:r>
        <w:rPr>
          <w:rFonts w:ascii="Times Roman" w:hAnsi="Times Roman" w:hint="default"/>
          <w:rtl w:val="1"/>
        </w:rPr>
        <w:t>’</w:t>
      </w:r>
      <w:r>
        <w:rPr>
          <w:rFonts w:ascii="Times Roman" w:hAnsi="Times Roman"/>
          <w:rtl w:val="0"/>
          <w:lang w:val="en-US"/>
        </w:rPr>
        <w:t>s aggressive fee cuts), network effects (bKash</w:t>
      </w:r>
      <w:r>
        <w:rPr>
          <w:rFonts w:ascii="Times Roman" w:hAnsi="Times Roman" w:hint="default"/>
          <w:rtl w:val="1"/>
        </w:rPr>
        <w:t>’</w:t>
      </w:r>
      <w:r>
        <w:rPr>
          <w:rFonts w:ascii="Times Roman" w:hAnsi="Times Roman"/>
          <w:rtl w:val="0"/>
          <w:lang w:val="en-US"/>
        </w:rPr>
        <w:t xml:space="preserve">s agent density), and regulatory forbearance that has permitted non-bank dominance while recently mandating interoperability via NPSB and Binimoy/IDTP. </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Market concentration, measured by the Herfindahl-Hirschman Index (HHI), exceeds 2,800</w:t>
      </w:r>
      <w:r>
        <w:rPr>
          <w:rFonts w:ascii="Times Roman" w:hAnsi="Times Roman" w:hint="default"/>
          <w:rtl w:val="0"/>
        </w:rPr>
        <w:t>–</w:t>
      </w:r>
      <w:r>
        <w:rPr>
          <w:rFonts w:ascii="Times Roman" w:hAnsi="Times Roman"/>
          <w:rtl w:val="0"/>
          <w:lang w:val="en-US"/>
        </w:rPr>
        <w:t>3,200 in the MFS segment (well above the 2,500 threshold for high concentration), driven by bKash</w:t>
      </w:r>
      <w:r>
        <w:rPr>
          <w:rFonts w:ascii="Times Roman" w:hAnsi="Times Roman" w:hint="default"/>
          <w:rtl w:val="1"/>
        </w:rPr>
        <w:t>’</w:t>
      </w:r>
      <w:r>
        <w:rPr>
          <w:rFonts w:ascii="Times Roman" w:hAnsi="Times Roman"/>
          <w:rtl w:val="0"/>
          <w:lang w:val="en-US"/>
        </w:rPr>
        <w:t>s entrenched position and limited switching costs for users; the broader digital payments market (including cards and QR) shows moderate concentration (HHI ~1,800</w:t>
      </w:r>
      <w:r>
        <w:rPr>
          <w:rFonts w:ascii="Times Roman" w:hAnsi="Times Roman" w:hint="default"/>
          <w:rtl w:val="0"/>
        </w:rPr>
        <w:t>–</w:t>
      </w:r>
      <w:r>
        <w:rPr>
          <w:rFonts w:ascii="Times Roman" w:hAnsi="Times Roman"/>
          <w:rtl w:val="0"/>
          <w:lang w:val="en-US"/>
        </w:rPr>
        <w:t>2,200) due to growing bank-fintech partnerships. This structure delivers scale efficiencies and rapid inclusion but raises systemic risks, as evidenced by 2024</w:t>
      </w:r>
      <w:r>
        <w:rPr>
          <w:rFonts w:ascii="Times Roman" w:hAnsi="Times Roman" w:hint="default"/>
          <w:rtl w:val="0"/>
        </w:rPr>
        <w:t>–</w:t>
      </w:r>
      <w:r>
        <w:rPr>
          <w:rFonts w:ascii="Times Roman" w:hAnsi="Times Roman"/>
          <w:rtl w:val="0"/>
          <w:lang w:val="en-US"/>
        </w:rPr>
        <w:t>2025 analyses linking concentration to innovation stagnation and vulnerability to single-point failures (Abdullah-Al-Kafe, 2026; Bangladesh Bank, 2025). Recent regulatory moves</w:t>
      </w:r>
      <w:r>
        <w:rPr>
          <w:rFonts w:ascii="Times Roman" w:hAnsi="Times Roman" w:hint="default"/>
          <w:rtl w:val="0"/>
          <w:lang w:val="en-US"/>
        </w:rPr>
        <w:t>—</w:t>
      </w:r>
      <w:r>
        <w:rPr>
          <w:rFonts w:ascii="Times Roman" w:hAnsi="Times Roman"/>
          <w:rtl w:val="0"/>
          <w:lang w:val="en-US"/>
        </w:rPr>
        <w:t>stricter PSO capital requirements and sandbox incentives for new entrants</w:t>
      </w:r>
      <w:r>
        <w:rPr>
          <w:rFonts w:ascii="Times Roman" w:hAnsi="Times Roman" w:hint="default"/>
          <w:rtl w:val="0"/>
          <w:lang w:val="en-US"/>
        </w:rPr>
        <w:t>—</w:t>
      </w:r>
      <w:r>
        <w:rPr>
          <w:rFonts w:ascii="Times Roman" w:hAnsi="Times Roman"/>
          <w:rtl w:val="0"/>
          <w:lang w:val="en-US"/>
        </w:rPr>
        <w:t>are gradually eroding HHI, yet full contestability remains constrained by data advantages and agent lock-in effects held by incumbents.</w:t>
      </w:r>
      <w:r>
        <w:rPr>
          <w:rFonts w:ascii="Times Roman" w:cs="Times Roman" w:hAnsi="Times Roman" w:eastAsia="Times Roman"/>
        </w:rPr>
        <w:drawing xmlns:a="http://schemas.openxmlformats.org/drawingml/2006/main">
          <wp:anchor distT="152400" distB="152400" distL="152400" distR="152400" simplePos="0" relativeHeight="251671552" behindDoc="0" locked="0" layoutInCell="1" allowOverlap="1">
            <wp:simplePos x="0" y="0"/>
            <wp:positionH relativeFrom="margin">
              <wp:posOffset>870112</wp:posOffset>
            </wp:positionH>
            <wp:positionV relativeFrom="line">
              <wp:posOffset>204266</wp:posOffset>
            </wp:positionV>
            <wp:extent cx="4367133" cy="4458797"/>
            <wp:effectExtent l="0" t="0" r="0" b="0"/>
            <wp:wrapThrough wrapText="bothSides" distL="152400" distR="152400">
              <wp:wrapPolygon edited="1">
                <wp:start x="0" y="0"/>
                <wp:lineTo x="21601" y="0"/>
                <wp:lineTo x="21601" y="21600"/>
                <wp:lineTo x="0" y="21600"/>
                <wp:lineTo x="0" y="0"/>
              </wp:wrapPolygon>
            </wp:wrapThrough>
            <wp:docPr id="1073741848"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48" name="pasted-image.tiff" descr="pasted-image.tiff"/>
                    <pic:cNvPicPr>
                      <a:picLocks noChangeAspect="1"/>
                    </pic:cNvPicPr>
                  </pic:nvPicPr>
                  <pic:blipFill>
                    <a:blip r:embed="rId22">
                      <a:extLst/>
                    </a:blip>
                    <a:stretch>
                      <a:fillRect/>
                    </a:stretch>
                  </pic:blipFill>
                  <pic:spPr>
                    <a:xfrm>
                      <a:off x="0" y="0"/>
                      <a:ext cx="4367133" cy="4458797"/>
                    </a:xfrm>
                    <a:prstGeom prst="rect">
                      <a:avLst/>
                    </a:prstGeom>
                    <a:ln w="12700" cap="flat">
                      <a:noFill/>
                      <a:miter lim="400000"/>
                    </a:ln>
                    <a:effectLst/>
                  </pic:spPr>
                </pic:pic>
              </a:graphicData>
            </a:graphic>
          </wp:anchor>
        </w:drawing>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hAnsi="Times Roman"/>
          <w:b w:val="1"/>
          <w:bCs w:val="1"/>
          <w:rtl w:val="0"/>
          <w:lang w:val="it-IT"/>
        </w:rPr>
        <w:t>Figure 4.2:</w:t>
      </w:r>
      <w:r>
        <w:rPr>
          <w:rFonts w:ascii="Times Roman" w:hAnsi="Times Roman"/>
          <w:rtl w:val="0"/>
        </w:rPr>
        <w:t xml:space="preserve"> </w:t>
      </w:r>
      <w:r>
        <w:rPr>
          <w:rFonts w:ascii="Times Roman" w:hAnsi="Times Roman"/>
          <w:i w:val="1"/>
          <w:iCs w:val="1"/>
          <w:rtl w:val="0"/>
          <w:lang w:val="en-US"/>
        </w:rPr>
        <w:t>E-Banking Market Concentration and MFS</w:t>
      </w:r>
      <w:r>
        <w:rPr>
          <w:rFonts w:ascii="Times Roman" w:hAnsi="Times Roman"/>
          <w:i w:val="1"/>
          <w:iCs w:val="1"/>
          <w:rtl w:val="0"/>
          <w:lang w:val="en-US"/>
        </w:rPr>
        <w:t>.</w:t>
      </w:r>
      <w:r>
        <w:rPr>
          <w:rFonts w:ascii="Times Roman" w:hAnsi="Times Roman"/>
          <w:b w:val="1"/>
          <w:bCs w:val="1"/>
          <w:rtl w:val="0"/>
          <w:lang w:val="en-US"/>
        </w:rPr>
        <w:t xml:space="preserve"> </w:t>
      </w:r>
      <w:r>
        <w:rPr>
          <w:rFonts w:ascii="Times Roman" w:hAnsi="Times Roman"/>
          <w:b w:val="1"/>
          <w:bCs w:val="1"/>
          <w:rtl w:val="0"/>
          <w:lang w:val="en-US"/>
        </w:rPr>
        <w:t>Provider Share (2024-2025)</w:t>
      </w:r>
    </w:p>
    <w:p>
      <w:pPr>
        <w:pStyle w:val="Default"/>
        <w:suppressAutoHyphens w:val="1"/>
        <w:spacing w:before="0" w:line="240" w:lineRule="auto"/>
        <w:jc w:val="both"/>
        <w:rPr>
          <w:rFonts w:ascii="Times Roman" w:cs="Times Roman" w:hAnsi="Times Roman" w:eastAsia="Times Roman"/>
          <w:i w:val="1"/>
          <w:i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4.2 presents the market share distribution among primary Mobile Financial Services providers in Bangladesh. The highly concentrated oligopolistic structure is evident, with bKash commanding over 63% of the market. This visualization contextualizes the high HHI metrics and highlights the competitive dynamics shaped by incumbent network effects versus emerging pricing strategies from competitors like Nagad.</w:t>
      </w:r>
    </w:p>
    <w:p>
      <w:pPr>
        <w:pStyle w:val="Default"/>
        <w:suppressAutoHyphens w:val="1"/>
        <w:spacing w:before="0" w:line="240" w:lineRule="auto"/>
        <w:jc w:val="both"/>
        <w:rPr>
          <w:rFonts w:ascii="Times Roman" w:cs="Times Roman" w:hAnsi="Times Roman" w:eastAsia="Times Roman"/>
          <w:i w:val="1"/>
          <w:iCs w:val="1"/>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4.5 Digital Infrastructure Readiness: Internet/Smartphone Penetration (Urban vs Rural), 4G/5G Rollout, Cybersecurity Index, Power &amp; Network Reliability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Digital infrastructure readiness in Bangladesh exhibits a pronounced urban-rural divide that both enables and constrains e-banking scaling. Internet penetration stands at approximately 52</w:t>
      </w:r>
      <w:r>
        <w:rPr>
          <w:rFonts w:ascii="Times Roman" w:hAnsi="Times Roman" w:hint="default"/>
          <w:rtl w:val="0"/>
        </w:rPr>
        <w:t>–</w:t>
      </w:r>
      <w:r>
        <w:rPr>
          <w:rFonts w:ascii="Times Roman" w:hAnsi="Times Roman"/>
          <w:rtl w:val="0"/>
          <w:lang w:val="en-US"/>
        </w:rPr>
        <w:t>58% nationally in 2025</w:t>
      </w:r>
      <w:r>
        <w:rPr>
          <w:rFonts w:ascii="Times Roman" w:hAnsi="Times Roman" w:hint="default"/>
          <w:rtl w:val="0"/>
        </w:rPr>
        <w:t>–</w:t>
      </w:r>
      <w:r>
        <w:rPr>
          <w:rFonts w:ascii="Times Roman" w:hAnsi="Times Roman"/>
          <w:rtl w:val="0"/>
          <w:lang w:val="en-US"/>
        </w:rPr>
        <w:t>2026 (up from ~35% in 2018), with urban areas reaching 72</w:t>
      </w:r>
      <w:r>
        <w:rPr>
          <w:rFonts w:ascii="Times Roman" w:hAnsi="Times Roman" w:hint="default"/>
          <w:rtl w:val="0"/>
        </w:rPr>
        <w:t>–</w:t>
      </w:r>
      <w:r>
        <w:rPr>
          <w:rFonts w:ascii="Times Roman" w:hAnsi="Times Roman"/>
          <w:rtl w:val="0"/>
        </w:rPr>
        <w:t>78% versus 32</w:t>
      </w:r>
      <w:r>
        <w:rPr>
          <w:rFonts w:ascii="Times Roman" w:hAnsi="Times Roman" w:hint="default"/>
          <w:rtl w:val="0"/>
        </w:rPr>
        <w:t>–</w:t>
      </w:r>
      <w:r>
        <w:rPr>
          <w:rFonts w:ascii="Times Roman" w:hAnsi="Times Roman"/>
          <w:rtl w:val="0"/>
          <w:lang w:val="en-US"/>
        </w:rPr>
        <w:t>38% in rural zones, according to Bangladesh Bureau of Statistics and ITU-aligned surveys; smartphone ownership mirrors this pattern at 48</w:t>
      </w:r>
      <w:r>
        <w:rPr>
          <w:rFonts w:ascii="Times Roman" w:hAnsi="Times Roman" w:hint="default"/>
          <w:rtl w:val="0"/>
        </w:rPr>
        <w:t>–</w:t>
      </w:r>
      <w:r>
        <w:rPr>
          <w:rFonts w:ascii="Times Roman" w:hAnsi="Times Roman"/>
          <w:rtl w:val="0"/>
          <w:lang w:val="en-US"/>
        </w:rPr>
        <w:t>52% overall (68</w:t>
      </w:r>
      <w:r>
        <w:rPr>
          <w:rFonts w:ascii="Times Roman" w:hAnsi="Times Roman" w:hint="default"/>
          <w:rtl w:val="0"/>
        </w:rPr>
        <w:t>–</w:t>
      </w:r>
      <w:r>
        <w:rPr>
          <w:rFonts w:ascii="Times Roman" w:hAnsi="Times Roman"/>
          <w:rtl w:val="0"/>
        </w:rPr>
        <w:t>75% urban, 28</w:t>
      </w:r>
      <w:r>
        <w:rPr>
          <w:rFonts w:ascii="Times Roman" w:hAnsi="Times Roman" w:hint="default"/>
          <w:rtl w:val="0"/>
        </w:rPr>
        <w:t>–</w:t>
      </w:r>
      <w:r>
        <w:rPr>
          <w:rFonts w:ascii="Times Roman" w:hAnsi="Times Roman"/>
          <w:rtl w:val="0"/>
          <w:lang w:val="en-US"/>
        </w:rPr>
        <w:t>35% rural). The 4G network covers over 85% of the population (primarily via Grameenphone, Robi, Banglalink, and Teletalk), while 5G commercial rollout commenced in select Dhaka and Chattogram zones in late 2025, with nationwide expansion targeted for 2027</w:t>
      </w:r>
      <w:r>
        <w:rPr>
          <w:rFonts w:ascii="Times Roman" w:hAnsi="Times Roman" w:hint="default"/>
          <w:rtl w:val="0"/>
        </w:rPr>
        <w:t>–</w:t>
      </w:r>
      <w:r>
        <w:rPr>
          <w:rFonts w:ascii="Times Roman" w:hAnsi="Times Roman"/>
          <w:rtl w:val="0"/>
          <w:lang w:val="en-US"/>
        </w:rPr>
        <w:t>2028 under the Smart Bangladesh 2041 vision. Cybersecurity readiness remains moderate, with Bangladesh ranking 78</w:t>
      </w:r>
      <w:r>
        <w:rPr>
          <w:rFonts w:ascii="Times Roman" w:hAnsi="Times Roman" w:hint="default"/>
          <w:rtl w:val="0"/>
        </w:rPr>
        <w:t>–</w:t>
      </w:r>
      <w:r>
        <w:rPr>
          <w:rFonts w:ascii="Times Roman" w:hAnsi="Times Roman"/>
          <w:rtl w:val="0"/>
          <w:lang w:val="en-US"/>
        </w:rPr>
        <w:t>85th globally on the ITU Global Cybersecurity Index (2024</w:t>
      </w:r>
      <w:r>
        <w:rPr>
          <w:rFonts w:ascii="Times Roman" w:hAnsi="Times Roman" w:hint="default"/>
          <w:rtl w:val="0"/>
        </w:rPr>
        <w:t>–</w:t>
      </w:r>
      <w:r>
        <w:rPr>
          <w:rFonts w:ascii="Times Roman" w:hAnsi="Times Roman"/>
          <w:rtl w:val="0"/>
          <w:lang w:val="en-US"/>
        </w:rPr>
        <w:t>2025 edition), reflecting improved legal frameworks (Digital Security Act amendments) and Bangladesh Bank mandates for multi-factor authentication and incident reporting, yet hampered by skills shortages and legacy system vulnerabilities exposed in 2024</w:t>
      </w:r>
      <w:r>
        <w:rPr>
          <w:rFonts w:ascii="Times Roman" w:hAnsi="Times Roman" w:hint="default"/>
          <w:rtl w:val="0"/>
        </w:rPr>
        <w:t>–</w:t>
      </w:r>
      <w:r>
        <w:rPr>
          <w:rFonts w:ascii="Times Roman" w:hAnsi="Times Roman"/>
          <w:rtl w:val="0"/>
          <w:lang w:val="en-US"/>
        </w:rPr>
        <w:t>2025 incidents. Power and network reliability constitute persistent bottlenecks: rural areas experience 4</w:t>
      </w:r>
      <w:r>
        <w:rPr>
          <w:rFonts w:ascii="Times Roman" w:hAnsi="Times Roman" w:hint="default"/>
          <w:rtl w:val="0"/>
        </w:rPr>
        <w:t>–</w:t>
      </w:r>
      <w:r>
        <w:rPr>
          <w:rFonts w:ascii="Times Roman" w:hAnsi="Times Roman"/>
          <w:rtl w:val="0"/>
          <w:lang w:val="en-US"/>
        </w:rPr>
        <w:t>8 hours of daily outages (worse during monsoon seasons), while mobile network uptime averages 92</w:t>
      </w:r>
      <w:r>
        <w:rPr>
          <w:rFonts w:ascii="Times Roman" w:hAnsi="Times Roman" w:hint="default"/>
          <w:rtl w:val="0"/>
        </w:rPr>
        <w:t>–</w:t>
      </w:r>
      <w:r>
        <w:rPr>
          <w:rFonts w:ascii="Times Roman" w:hAnsi="Times Roman"/>
          <w:rtl w:val="0"/>
          <w:lang w:val="en-US"/>
        </w:rPr>
        <w:t>95% nationally but drops below 85% in remote regions, directly impacting USSD and app reliability for MFS users. These disparities explain much of the 29% rural share of internet banking transactions versus 71% urban (Section 4.3.1) and underscore why agent networks remain indispensable for last-mile delivery. Recent investments</w:t>
      </w:r>
      <w:r>
        <w:rPr>
          <w:rFonts w:ascii="Times Roman" w:hAnsi="Times Roman" w:hint="default"/>
          <w:rtl w:val="0"/>
          <w:lang w:val="en-US"/>
        </w:rPr>
        <w:t>—</w:t>
      </w:r>
      <w:r>
        <w:rPr>
          <w:rFonts w:ascii="Times Roman" w:hAnsi="Times Roman"/>
          <w:rtl w:val="0"/>
          <w:lang w:val="en-US"/>
        </w:rPr>
        <w:t>World Bank-supported broadband expansion and BB-mandated redundancy standards</w:t>
      </w:r>
      <w:r>
        <w:rPr>
          <w:rFonts w:ascii="Times Roman" w:hAnsi="Times Roman" w:hint="default"/>
          <w:rtl w:val="0"/>
          <w:lang w:val="en-US"/>
        </w:rPr>
        <w:t>—</w:t>
      </w:r>
      <w:r>
        <w:rPr>
          <w:rFonts w:ascii="Times Roman" w:hAnsi="Times Roman"/>
          <w:rtl w:val="0"/>
          <w:lang w:val="en-US"/>
        </w:rPr>
        <w:t>are narrowing gaps, with 2026 projections indicating 60</w:t>
      </w:r>
      <w:r>
        <w:rPr>
          <w:rFonts w:ascii="Times Roman" w:hAnsi="Times Roman" w:hint="default"/>
          <w:rtl w:val="0"/>
        </w:rPr>
        <w:t>–</w:t>
      </w:r>
      <w:r>
        <w:rPr>
          <w:rFonts w:ascii="Times Roman" w:hAnsi="Times Roman"/>
          <w:rtl w:val="0"/>
          <w:lang w:val="en-US"/>
        </w:rPr>
        <w:t>65% national internet penetration and 5G coverage reaching 25</w:t>
      </w:r>
      <w:r>
        <w:rPr>
          <w:rFonts w:ascii="Times Roman" w:hAnsi="Times Roman" w:hint="default"/>
          <w:rtl w:val="0"/>
        </w:rPr>
        <w:t>–</w:t>
      </w:r>
      <w:r>
        <w:rPr>
          <w:rFonts w:ascii="Times Roman" w:hAnsi="Times Roman"/>
          <w:rtl w:val="0"/>
          <w:lang w:val="en-US"/>
        </w:rPr>
        <w:t>30% of urban populations, yet full parity with regional peers (India, Indonesia) will require sustained public-private infrastructure commitments.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4.3: </w:t>
      </w:r>
      <w:r>
        <w:rPr>
          <w:rFonts w:ascii="Times Roman" w:hAnsi="Times Roman"/>
          <w:i w:val="1"/>
          <w:iCs w:val="1"/>
          <w:rtl w:val="0"/>
          <w:lang w:val="en-US"/>
        </w:rPr>
        <w:t>The Digital Divide: Urban vs. Rural Infrastructure and E-banking Readiness</w:t>
      </w:r>
      <w:r>
        <w:rPr>
          <w:rFonts w:ascii="Times Roman" w:hAnsi="Times Roman"/>
          <w:i w:val="1"/>
          <w:iCs w:val="1"/>
          <w:rtl w:val="0"/>
          <w:lang w:val="en-US"/>
        </w:rPr>
        <w:t xml:space="preserve">. </w:t>
      </w:r>
      <w:r>
        <w:rPr>
          <w:rFonts w:ascii="Times Roman" w:hAnsi="Times Roman"/>
          <w:b w:val="1"/>
          <w:bCs w:val="1"/>
          <w:rtl w:val="0"/>
        </w:rPr>
        <w:t>BSS.</w:t>
      </w:r>
      <w:r>
        <w:rPr>
          <w:rFonts w:ascii="Times Roman" w:cs="Times Roman" w:hAnsi="Times Roman" w:eastAsia="Times Roman"/>
          <w:b w:val="1"/>
          <w:bCs w:val="1"/>
        </w:rPr>
        <mc:AlternateContent>
          <mc:Choice Requires="wpg">
            <w:drawing xmlns:a="http://schemas.openxmlformats.org/drawingml/2006/main">
              <wp:anchor distT="152400" distB="152400" distL="152400" distR="152400" simplePos="0" relativeHeight="251672576" behindDoc="0" locked="0" layoutInCell="1" allowOverlap="1">
                <wp:simplePos x="0" y="0"/>
                <wp:positionH relativeFrom="margin">
                  <wp:posOffset>486602</wp:posOffset>
                </wp:positionH>
                <wp:positionV relativeFrom="page">
                  <wp:posOffset>1069030</wp:posOffset>
                </wp:positionV>
                <wp:extent cx="5665012" cy="3977907"/>
                <wp:effectExtent l="0" t="0" r="0" b="0"/>
                <wp:wrapThrough wrapText="bothSides" distL="152400" distR="152400">
                  <wp:wrapPolygon edited="1">
                    <wp:start x="0" y="0"/>
                    <wp:lineTo x="21600" y="0"/>
                    <wp:lineTo x="21600" y="21600"/>
                    <wp:lineTo x="0" y="21600"/>
                    <wp:lineTo x="0" y="0"/>
                  </wp:wrapPolygon>
                </wp:wrapThrough>
                <wp:docPr id="1073741851" name="officeArt object" descr="pasted-image.tiff"/>
                <wp:cNvGraphicFramePr/>
                <a:graphic xmlns:a="http://schemas.openxmlformats.org/drawingml/2006/main">
                  <a:graphicData uri="http://schemas.microsoft.com/office/word/2010/wordprocessingGroup">
                    <wpg:wgp>
                      <wpg:cNvGrpSpPr/>
                      <wpg:grpSpPr>
                        <a:xfrm>
                          <a:off x="0" y="0"/>
                          <a:ext cx="5665012" cy="3977907"/>
                          <a:chOff x="0" y="0"/>
                          <a:chExt cx="5665011" cy="3977906"/>
                        </a:xfrm>
                      </wpg:grpSpPr>
                      <pic:pic xmlns:pic="http://schemas.openxmlformats.org/drawingml/2006/picture">
                        <pic:nvPicPr>
                          <pic:cNvPr id="1073741850" name="pasted-image.tiff" descr="pasted-image.tiff"/>
                          <pic:cNvPicPr>
                            <a:picLocks noChangeAspect="1"/>
                          </pic:cNvPicPr>
                        </pic:nvPicPr>
                        <pic:blipFill>
                          <a:blip r:embed="rId23">
                            <a:extLst/>
                          </a:blip>
                          <a:stretch>
                            <a:fillRect/>
                          </a:stretch>
                        </pic:blipFill>
                        <pic:spPr>
                          <a:xfrm>
                            <a:off x="127000" y="88900"/>
                            <a:ext cx="5411012" cy="3647707"/>
                          </a:xfrm>
                          <a:prstGeom prst="rect">
                            <a:avLst/>
                          </a:prstGeom>
                          <a:ln>
                            <a:noFill/>
                          </a:ln>
                          <a:effectLst/>
                        </pic:spPr>
                      </pic:pic>
                      <pic:pic xmlns:pic="http://schemas.openxmlformats.org/drawingml/2006/picture">
                        <pic:nvPicPr>
                          <pic:cNvPr id="1073741849" name="pasted-image.tiff" descr="pasted-image.tiff"/>
                          <pic:cNvPicPr>
                            <a:picLocks noChangeAspect="0"/>
                          </pic:cNvPicPr>
                        </pic:nvPicPr>
                        <pic:blipFill>
                          <a:blip r:embed="rId24">
                            <a:extLst/>
                          </a:blip>
                          <a:stretch>
                            <a:fillRect/>
                          </a:stretch>
                        </pic:blipFill>
                        <pic:spPr>
                          <a:xfrm>
                            <a:off x="0" y="0"/>
                            <a:ext cx="5665012" cy="3977907"/>
                          </a:xfrm>
                          <a:prstGeom prst="rect">
                            <a:avLst/>
                          </a:prstGeom>
                          <a:effectLst/>
                        </pic:spPr>
                      </pic:pic>
                    </wpg:wgp>
                  </a:graphicData>
                </a:graphic>
              </wp:anchor>
            </w:drawing>
          </mc:Choice>
          <mc:Fallback>
            <w:pict>
              <v:group id="_x0000_s1041" style="visibility:visible;position:absolute;margin-left:38.3pt;margin-top:84.2pt;width:446.1pt;height:313.2pt;z-index:251672576;mso-position-horizontal:absolute;mso-position-horizontal-relative:margin;mso-position-vertical:absolute;mso-position-vertical-relative:page;mso-wrap-distance-left:12.0pt;mso-wrap-distance-top:12.0pt;mso-wrap-distance-right:12.0pt;mso-wrap-distance-bottom:12.0pt;" coordorigin="0,0" coordsize="5665012,3977906">
                <w10:wrap type="through" side="bothSides" anchorx="margin" anchory="page"/>
                <v:shape id="_x0000_s1042" type="#_x0000_t75" style="position:absolute;left:127000;top:88900;width:5411012;height:3647706;">
                  <v:imagedata r:id="rId23" o:title="pasted-image.tiff"/>
                </v:shape>
                <v:shape id="_x0000_s1043" type="#_x0000_t75" style="position:absolute;left:0;top:0;width:5665012;height:3977906;">
                  <v:imagedata r:id="rId24" o:title=""/>
                </v:shape>
              </v:group>
            </w:pict>
          </mc:Fallback>
        </mc:AlternateContent>
      </w:r>
      <w:r>
        <w:rPr>
          <w:rFonts w:ascii="Times Roman" w:hAnsi="Times Roman"/>
          <w:b w:val="1"/>
          <w:bCs w:val="1"/>
          <w:rtl w:val="0"/>
          <w:lang w:val="en-US"/>
        </w:rPr>
        <w:t xml:space="preserve"> (2025, June 2).</w:t>
      </w: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4.3 depicts the infrastructural and demographic disparities between urban and rural demographics in Bangladesh. The grouped metrics highlight that while 4G coverage is expanding nationwide, the conversion into active smartphone ownership and internet banking usage remains heavily skewed toward urban centers, underscoring the critical reliance on agent banking networks for rural last-mile delivery.</w:t>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4.6 National Digital Initiatives and Their Impact: Digital Bangladesh </w:t>
      </w:r>
      <w:r>
        <w:rPr>
          <w:rFonts w:ascii="Arial Unicode MS" w:cs="Arial Unicode MS" w:hAnsi="Arial Unicode MS" w:eastAsia="Arial Unicode MS" w:hint="default"/>
          <w:b w:val="0"/>
          <w:bCs w:val="0"/>
          <w:i w:val="0"/>
          <w:iCs w:val="0"/>
          <w:sz w:val="28"/>
          <w:szCs w:val="28"/>
          <w:rtl w:val="0"/>
        </w:rPr>
        <w:t>→</w:t>
      </w:r>
      <w:r>
        <w:rPr>
          <w:rFonts w:ascii="Times Roman" w:hAnsi="Times Roman"/>
          <w:b w:val="1"/>
          <w:bCs w:val="1"/>
          <w:sz w:val="28"/>
          <w:szCs w:val="28"/>
          <w:rtl w:val="0"/>
        </w:rPr>
        <w:t xml:space="preserve"> </w:t>
      </w:r>
      <w:r>
        <w:rPr>
          <w:rFonts w:ascii="Times Roman" w:hAnsi="Times Roman"/>
          <w:b w:val="1"/>
          <w:bCs w:val="1"/>
          <w:sz w:val="28"/>
          <w:szCs w:val="28"/>
          <w:rtl w:val="0"/>
          <w:lang w:val="en-US"/>
        </w:rPr>
        <w:t>Smart Bangladesh 2041, Cashless Economy Roadmap 2030, Financial Inclusion Strategy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a-DK"/>
        </w:rPr>
        <w:t>Bangladesh</w:t>
      </w:r>
      <w:r>
        <w:rPr>
          <w:rFonts w:ascii="Times Roman" w:hAnsi="Times Roman" w:hint="default"/>
          <w:rtl w:val="1"/>
        </w:rPr>
        <w:t>’</w:t>
      </w:r>
      <w:r>
        <w:rPr>
          <w:rFonts w:ascii="Times Roman" w:hAnsi="Times Roman"/>
          <w:rtl w:val="0"/>
          <w:lang w:val="en-US"/>
        </w:rPr>
        <w:t>s national digital agenda has evolved from the 2009 Digital Bangladesh vision into the more ambitious Smart Bangladesh 2041 framework, positioning e-banking as a central pillar for achieving upper-middle-income status. The transition emphasizes four pillars</w:t>
      </w:r>
      <w:r>
        <w:rPr>
          <w:rFonts w:ascii="Times Roman" w:hAnsi="Times Roman" w:hint="default"/>
          <w:rtl w:val="0"/>
          <w:lang w:val="en-US"/>
        </w:rPr>
        <w:t>—</w:t>
      </w:r>
      <w:r>
        <w:rPr>
          <w:rFonts w:ascii="Times Roman" w:hAnsi="Times Roman"/>
          <w:rtl w:val="0"/>
          <w:lang w:val="en-US"/>
        </w:rPr>
        <w:t>Smart Citizen, Smart Government, Smart Economy, and Smart Society</w:t>
      </w:r>
      <w:r>
        <w:rPr>
          <w:rFonts w:ascii="Times Roman" w:hAnsi="Times Roman" w:hint="default"/>
          <w:rtl w:val="0"/>
          <w:lang w:val="en-US"/>
        </w:rPr>
        <w:t>—</w:t>
      </w:r>
      <w:r>
        <w:rPr>
          <w:rFonts w:ascii="Times Roman" w:hAnsi="Times Roman"/>
          <w:rtl w:val="0"/>
          <w:lang w:val="en-US"/>
        </w:rPr>
        <w:t>with digital finance explicitly targeted to deliver 80</w:t>
      </w:r>
      <w:r>
        <w:rPr>
          <w:rFonts w:ascii="Times Roman" w:hAnsi="Times Roman" w:hint="default"/>
          <w:rtl w:val="0"/>
        </w:rPr>
        <w:t>–</w:t>
      </w:r>
      <w:r>
        <w:rPr>
          <w:rFonts w:ascii="Times Roman" w:hAnsi="Times Roman"/>
          <w:rtl w:val="0"/>
          <w:lang w:val="en-US"/>
        </w:rPr>
        <w:t>85% financial inclusion by 2030 and near-cashless transactions (cash share &lt;25% of retail payments) by 2041. The Cashless Economy Roadmap 2030, launched under Bangladesh Bank and Ministry of Finance coordination, sets milestones including mandatory digital acceptance for government payments (achieved 92% by 2025), interoperability mandates across all licensed providers, and incentives for QR/POS adoption, building directly on MFS scale (238.7 million accounts) and NPSB/IDTP infrastructure. The Financial Inclusion Strategy (updated 2023</w:t>
      </w:r>
      <w:r>
        <w:rPr>
          <w:rFonts w:ascii="Times Roman" w:hAnsi="Times Roman" w:hint="default"/>
          <w:rtl w:val="0"/>
        </w:rPr>
        <w:t>–</w:t>
      </w:r>
      <w:r>
        <w:rPr>
          <w:rFonts w:ascii="Times Roman" w:hAnsi="Times Roman"/>
          <w:rtl w:val="0"/>
          <w:lang w:val="en-US"/>
        </w:rPr>
        <w:t>2025) prioritizes gender and rural targeting through agent banking expansion, e-KYC simplification (full rollout by December 2026), and digital literacy programs, aligning with global benchmarks such as the World Bank</w:t>
      </w:r>
      <w:r>
        <w:rPr>
          <w:rFonts w:ascii="Times Roman" w:hAnsi="Times Roman" w:hint="default"/>
          <w:rtl w:val="1"/>
        </w:rPr>
        <w:t>’</w:t>
      </w:r>
      <w:r>
        <w:rPr>
          <w:rFonts w:ascii="Times Roman" w:hAnsi="Times Roman"/>
          <w:rtl w:val="0"/>
          <w:lang w:val="en-US"/>
        </w:rPr>
        <w:t>s Universal Financial Access goals. Impacts to date are substantial: MFS-driven inclusion rose from ~25% in 2015 to 55</w:t>
      </w:r>
      <w:r>
        <w:rPr>
          <w:rFonts w:ascii="Times Roman" w:hAnsi="Times Roman" w:hint="default"/>
          <w:rtl w:val="0"/>
        </w:rPr>
        <w:t>–</w:t>
      </w:r>
      <w:r>
        <w:rPr>
          <w:rFonts w:ascii="Times Roman" w:hAnsi="Times Roman"/>
          <w:rtl w:val="0"/>
          <w:lang w:val="en-US"/>
        </w:rPr>
        <w:t>60% by 2025, with G2P transfers and remittances accelerating formalization; however, gaps persist in usage quality (many accounts remain dormant) and product diversity (limited savings/credit integration). Smart Bangladesh 2041 further integrates climate fintech and open data platforms, with pilot programs demonstrating 15</w:t>
      </w:r>
      <w:r>
        <w:rPr>
          <w:rFonts w:ascii="Times Roman" w:hAnsi="Times Roman" w:hint="default"/>
          <w:rtl w:val="0"/>
        </w:rPr>
        <w:t>–</w:t>
      </w:r>
      <w:r>
        <w:rPr>
          <w:rFonts w:ascii="Times Roman" w:hAnsi="Times Roman"/>
          <w:rtl w:val="0"/>
          <w:lang w:val="en-US"/>
        </w:rPr>
        <w:t>25% efficiency gains in targeted districts. These initiatives have demonstrably amplified the growth trajectories documented in Section 4.3, yet success hinges on addressing infrastructure divides (Section 4.5) and governance capacity</w:t>
      </w:r>
      <w:r>
        <w:rPr>
          <w:rFonts w:ascii="Times Roman" w:hAnsi="Times Roman" w:hint="default"/>
          <w:rtl w:val="0"/>
          <w:lang w:val="en-US"/>
        </w:rPr>
        <w:t>—</w:t>
      </w:r>
      <w:r>
        <w:rPr>
          <w:rFonts w:ascii="Times Roman" w:hAnsi="Times Roman"/>
          <w:rtl w:val="0"/>
          <w:lang w:val="en-US"/>
        </w:rPr>
        <w:t>areas where 2024</w:t>
      </w:r>
      <w:r>
        <w:rPr>
          <w:rFonts w:ascii="Times Roman" w:hAnsi="Times Roman" w:hint="default"/>
          <w:rtl w:val="0"/>
        </w:rPr>
        <w:t>–</w:t>
      </w:r>
      <w:r>
        <w:rPr>
          <w:rFonts w:ascii="Times Roman" w:hAnsi="Times Roman"/>
          <w:rtl w:val="0"/>
          <w:lang w:val="en-US"/>
        </w:rPr>
        <w:t>2026 political and regulatory resets (Section 4.7) offer renewed momentum.</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4.7 Impact of Macro Events: COVID-19 Acceleration (2020</w:t>
      </w:r>
      <w:r>
        <w:rPr>
          <w:rFonts w:ascii="Times Roman" w:hAnsi="Times Roman" w:hint="default"/>
          <w:b w:val="1"/>
          <w:bCs w:val="1"/>
          <w:sz w:val="28"/>
          <w:szCs w:val="28"/>
          <w:rtl w:val="0"/>
        </w:rPr>
        <w:t>–</w:t>
      </w:r>
      <w:r>
        <w:rPr>
          <w:rFonts w:ascii="Times Roman" w:hAnsi="Times Roman"/>
          <w:b w:val="1"/>
          <w:bCs w:val="1"/>
          <w:sz w:val="28"/>
          <w:szCs w:val="28"/>
          <w:rtl w:val="0"/>
          <w:lang w:val="en-US"/>
        </w:rPr>
        <w:t>2022), 2024 Political Transition &amp; Governance Reset, Inflation/Liquidity Pressures (2024</w:t>
      </w:r>
      <w:r>
        <w:rPr>
          <w:rFonts w:ascii="Times Roman" w:hAnsi="Times Roman" w:hint="default"/>
          <w:b w:val="1"/>
          <w:bCs w:val="1"/>
          <w:sz w:val="28"/>
          <w:szCs w:val="28"/>
          <w:rtl w:val="0"/>
        </w:rPr>
        <w:t>–</w:t>
      </w:r>
      <w:r>
        <w:rPr>
          <w:rFonts w:ascii="Times Roman" w:hAnsi="Times Roman"/>
          <w:b w:val="1"/>
          <w:bCs w:val="1"/>
          <w:sz w:val="28"/>
          <w:szCs w:val="28"/>
          <w:rtl w:val="0"/>
        </w:rPr>
        <w:t>2026)</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Macro events have profoundly shaped Bangladesh</w:t>
      </w:r>
      <w:r>
        <w:rPr>
          <w:rFonts w:ascii="Times Roman" w:hAnsi="Times Roman" w:hint="default"/>
          <w:rtl w:val="1"/>
        </w:rPr>
        <w:t>’</w:t>
      </w:r>
      <w:r>
        <w:rPr>
          <w:rFonts w:ascii="Times Roman" w:hAnsi="Times Roman"/>
          <w:rtl w:val="0"/>
          <w:lang w:val="en-US"/>
        </w:rPr>
        <w:t>s e-banking trajectory, with COVID-19 (2020</w:t>
      </w:r>
      <w:r>
        <w:rPr>
          <w:rFonts w:ascii="Times Roman" w:hAnsi="Times Roman" w:hint="default"/>
          <w:rtl w:val="0"/>
        </w:rPr>
        <w:t>–</w:t>
      </w:r>
      <w:r>
        <w:rPr>
          <w:rFonts w:ascii="Times Roman" w:hAnsi="Times Roman"/>
          <w:rtl w:val="0"/>
          <w:lang w:val="en-US"/>
        </w:rPr>
        <w:t>2022) acting as the primary accelerator: MFS transaction volumes doubled from BDT 6.8 lakh crore (2019) to BDT 13.5+ lakh crore (2022), driven by lockdowns, G2P stimulus, and contactless mandates, while internet banking adoption surged 45</w:t>
      </w:r>
      <w:r>
        <w:rPr>
          <w:rFonts w:ascii="Times Roman" w:hAnsi="Times Roman" w:hint="default"/>
          <w:rtl w:val="0"/>
        </w:rPr>
        <w:t>–</w:t>
      </w:r>
      <w:r>
        <w:rPr>
          <w:rFonts w:ascii="Times Roman" w:hAnsi="Times Roman"/>
          <w:rtl w:val="0"/>
          <w:lang w:val="en-US"/>
        </w:rPr>
        <w:t>55% among previously hesitant urban users. The pandemic exposed and then mitigated digital divides, with rural agent usage rising 60% as physical branches closed. The 2024 political transition and subsequent governance reset introduced regulatory dynamism</w:t>
      </w:r>
      <w:r>
        <w:rPr>
          <w:rFonts w:ascii="Times Roman" w:hAnsi="Times Roman" w:hint="default"/>
          <w:rtl w:val="0"/>
          <w:lang w:val="en-US"/>
        </w:rPr>
        <w:t>—</w:t>
      </w:r>
      <w:r>
        <w:rPr>
          <w:rFonts w:ascii="Times Roman" w:hAnsi="Times Roman"/>
          <w:rtl w:val="0"/>
          <w:lang w:val="en-US"/>
        </w:rPr>
        <w:t>evident in Digital Bank Guidelines Version 2 (2025), Risk-Based Supervision restructuring (January 2026), and enhanced BFIU e-KYC rules</w:t>
      </w:r>
      <w:r>
        <w:rPr>
          <w:rFonts w:ascii="Times Roman" w:hAnsi="Times Roman" w:hint="default"/>
          <w:rtl w:val="0"/>
          <w:lang w:val="en-US"/>
        </w:rPr>
        <w:t>—</w:t>
      </w:r>
      <w:r>
        <w:rPr>
          <w:rFonts w:ascii="Times Roman" w:hAnsi="Times Roman"/>
          <w:rtl w:val="0"/>
          <w:lang w:val="en-US"/>
        </w:rPr>
        <w:t>yet also triggered short-term uncertainty that temporarily slowed private credit growth to 7.6% y-o-y and elevated NPLs to 30.6% by December 2025. Inflation and liquidity pressures (2024</w:t>
      </w:r>
      <w:r>
        <w:rPr>
          <w:rFonts w:ascii="Times Roman" w:hAnsi="Times Roman" w:hint="default"/>
          <w:rtl w:val="0"/>
        </w:rPr>
        <w:t>–</w:t>
      </w:r>
      <w:r>
        <w:rPr>
          <w:rFonts w:ascii="Times Roman" w:hAnsi="Times Roman"/>
          <w:rtl w:val="0"/>
          <w:lang w:val="en-US"/>
        </w:rPr>
        <w:t>2026), fueled by global commodity shocks, energy subsidies, and banking sector stress (capital adequacy below minima in multiple institutions), have exerted dual effects: they have incentivized digital channels for cost efficiency (households shifting to MFS for remittances amid 8</w:t>
      </w:r>
      <w:r>
        <w:rPr>
          <w:rFonts w:ascii="Times Roman" w:hAnsi="Times Roman" w:hint="default"/>
          <w:rtl w:val="0"/>
        </w:rPr>
        <w:t>–</w:t>
      </w:r>
      <w:r>
        <w:rPr>
          <w:rFonts w:ascii="Times Roman" w:hAnsi="Times Roman"/>
          <w:rtl w:val="0"/>
          <w:lang w:val="en-US"/>
        </w:rPr>
        <w:t>10% inflation) while constraining credit expansion and increasing risk aversion among lenders. IMF and World Bank assessments (2026) note that digital finance has partially cushioned macro headwinds by lowering transaction costs 76</w:t>
      </w:r>
      <w:r>
        <w:rPr>
          <w:rFonts w:ascii="Times Roman" w:hAnsi="Times Roman" w:hint="default"/>
          <w:rtl w:val="0"/>
        </w:rPr>
        <w:t>–</w:t>
      </w:r>
      <w:r>
        <w:rPr>
          <w:rFonts w:ascii="Times Roman" w:hAnsi="Times Roman"/>
          <w:rtl w:val="0"/>
          <w:lang w:val="en-US"/>
        </w:rPr>
        <w:t>92% and enabling faster G2P delivery, yet high NPL legacies and liquidity support dependencies (1% of GDP) risk crowding out productive digital lending. Overall, these events have accelerated structural shifts toward MFS dominance and regulatory modernization while highlighting the sector</w:t>
      </w:r>
      <w:r>
        <w:rPr>
          <w:rFonts w:ascii="Times Roman" w:hAnsi="Times Roman" w:hint="default"/>
          <w:rtl w:val="1"/>
        </w:rPr>
        <w:t>’</w:t>
      </w:r>
      <w:r>
        <w:rPr>
          <w:rFonts w:ascii="Times Roman" w:hAnsi="Times Roman"/>
          <w:rtl w:val="0"/>
          <w:lang w:val="en-US"/>
        </w:rPr>
        <w:t>s resilience and remaining vulnerabilities.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4.8 Strategic Analysis: PESTLE / SWOT-TOWS of Bangladesh E-banking Ecosystem (Opportunities vs Threats Matrix)</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PESTLE analysis of Bangladesh</w:t>
      </w:r>
      <w:r>
        <w:rPr>
          <w:rFonts w:ascii="Times Roman" w:hAnsi="Times Roman" w:hint="default"/>
          <w:rtl w:val="1"/>
        </w:rPr>
        <w:t>’</w:t>
      </w:r>
      <w:r>
        <w:rPr>
          <w:rFonts w:ascii="Times Roman" w:hAnsi="Times Roman"/>
          <w:rtl w:val="0"/>
          <w:lang w:val="en-US"/>
        </w:rPr>
        <w:t xml:space="preserve">s e-banking ecosystem reveals favorable political support (post-2024 governance reset and Smart Bangladesh 2041 alignment) but economic headwinds from inflation, NPLs, and liquidity stress; social opportunities in youth and female inclusion contrast with persistent rural/gender divides; technological strengths in MFS scale and 4G coverage are tempered by cybersecurity gaps and infrastructure unreliability; legal frameworks (Payment Systems Act amendments, Digital Bank Guidelines 2025, Digital Security Act) provide enabling structure yet suffer enforcement capacity constraints; and environmental linkages (climate fintech for green micro-credit) offer emerging niches. The SWOT-TOWS matrix translates these into actionable strategies: </w:t>
      </w:r>
      <w:r>
        <w:rPr>
          <w:rFonts w:ascii="Times Roman" w:hAnsi="Times Roman"/>
          <w:b w:val="1"/>
          <w:bCs w:val="1"/>
          <w:rtl w:val="0"/>
          <w:lang w:val="en-US"/>
        </w:rPr>
        <w:t>Strengths</w:t>
      </w:r>
      <w:r>
        <w:rPr>
          <w:rFonts w:ascii="Times Roman" w:hAnsi="Times Roman"/>
          <w:rtl w:val="0"/>
          <w:lang w:val="en-US"/>
        </w:rPr>
        <w:t xml:space="preserve"> (world-leading MFS scale, 1.2M+ agent network, high mobile penetration) can exploit </w:t>
      </w:r>
      <w:r>
        <w:rPr>
          <w:rFonts w:ascii="Times Roman" w:hAnsi="Times Roman"/>
          <w:b w:val="1"/>
          <w:bCs w:val="1"/>
          <w:rtl w:val="0"/>
          <w:lang w:val="en-US"/>
        </w:rPr>
        <w:t>Opportunities</w:t>
      </w:r>
      <w:r>
        <w:rPr>
          <w:rFonts w:ascii="Times Roman" w:hAnsi="Times Roman"/>
          <w:rtl w:val="0"/>
          <w:lang w:val="en-US"/>
        </w:rPr>
        <w:t xml:space="preserve"> (open banking APIs, AI/biometric lending, CBDC pilots, climate fintech) via aggressive interoperability mandates and sandbox expansion (S-O strategies). </w:t>
      </w:r>
      <w:r>
        <w:rPr>
          <w:rFonts w:ascii="Times Roman" w:hAnsi="Times Roman"/>
          <w:b w:val="1"/>
          <w:bCs w:val="1"/>
          <w:rtl w:val="0"/>
          <w:lang w:val="en-US"/>
        </w:rPr>
        <w:t>Weaknesses</w:t>
      </w:r>
      <w:r>
        <w:rPr>
          <w:rFonts w:ascii="Times Roman" w:hAnsi="Times Roman"/>
          <w:rtl w:val="0"/>
          <w:lang w:val="en-US"/>
        </w:rPr>
        <w:t xml:space="preserve"> (market concentration HHI &gt;2,800, digital literacy gaps, NPL drag on bank digitalization) must be mitigated against </w:t>
      </w:r>
      <w:r>
        <w:rPr>
          <w:rFonts w:ascii="Times Roman" w:hAnsi="Times Roman"/>
          <w:b w:val="1"/>
          <w:bCs w:val="1"/>
          <w:rtl w:val="0"/>
          <w:lang w:val="en-US"/>
        </w:rPr>
        <w:t>Threats</w:t>
      </w:r>
      <w:r>
        <w:rPr>
          <w:rFonts w:ascii="Times Roman" w:hAnsi="Times Roman"/>
          <w:rtl w:val="0"/>
          <w:lang w:val="en-US"/>
        </w:rPr>
        <w:t xml:space="preserve"> (cyber incidents, regulatory arbitrage, macroeconomic volatility) through RegTech adoption, gender-targeted literacy programs, and diversified funding (W-T strategies). </w:t>
      </w:r>
      <w:r>
        <w:rPr>
          <w:rFonts w:ascii="Times Roman" w:hAnsi="Times Roman"/>
          <w:b w:val="1"/>
          <w:bCs w:val="1"/>
          <w:rtl w:val="0"/>
          <w:lang w:val="de-DE"/>
        </w:rPr>
        <w:t>S-T strategies</w:t>
      </w:r>
      <w:r>
        <w:rPr>
          <w:rFonts w:ascii="Times Roman" w:hAnsi="Times Roman"/>
          <w:rtl w:val="0"/>
          <w:lang w:val="en-US"/>
        </w:rPr>
        <w:t xml:space="preserve"> leverage strengths to counter threats (e.g., bKash-scale cybersecurity investments and agent networks for rural resilience). </w:t>
      </w:r>
      <w:r>
        <w:rPr>
          <w:rFonts w:ascii="Times Roman" w:hAnsi="Times Roman"/>
          <w:b w:val="1"/>
          <w:bCs w:val="1"/>
          <w:rtl w:val="0"/>
          <w:lang w:val="de-DE"/>
        </w:rPr>
        <w:t>W-O strategies</w:t>
      </w:r>
      <w:r>
        <w:rPr>
          <w:rFonts w:ascii="Times Roman" w:hAnsi="Times Roman"/>
          <w:rtl w:val="0"/>
          <w:lang w:val="en-US"/>
        </w:rPr>
        <w:t xml:space="preserve"> convert weaknesses into opportunities (e.g., converting high-NPL banks into digital lending platforms via alternative scoring). The matrix underscores that Bangladesh</w:t>
      </w:r>
      <w:r>
        <w:rPr>
          <w:rFonts w:ascii="Times Roman" w:hAnsi="Times Roman" w:hint="default"/>
          <w:rtl w:val="1"/>
        </w:rPr>
        <w:t>’</w:t>
      </w:r>
      <w:r>
        <w:rPr>
          <w:rFonts w:ascii="Times Roman" w:hAnsi="Times Roman"/>
          <w:rtl w:val="0"/>
          <w:lang w:val="en-US"/>
        </w:rPr>
        <w:t>s ecosystem is positioned for accelerated inclusive growth if governance reforms (Section 4.7) and infrastructure investments (Section 4.5) keep pace with technological momentum, with the integrated model proposed in Chapter 2 offering a diagnostic tool for prioritizing interventions.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4.9 Digital Financial Inclusion Metrics &amp; Benchmarking (Findex 2025, GSMA Mobile Money Indicators, Gender &amp; Rural Gaps)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a-DK"/>
        </w:rPr>
        <w:t>Bangladesh</w:t>
      </w:r>
      <w:r>
        <w:rPr>
          <w:rFonts w:ascii="Times Roman" w:hAnsi="Times Roman" w:hint="default"/>
          <w:rtl w:val="1"/>
        </w:rPr>
        <w:t>’</w:t>
      </w:r>
      <w:r>
        <w:rPr>
          <w:rFonts w:ascii="Times Roman" w:hAnsi="Times Roman"/>
          <w:rtl w:val="0"/>
          <w:lang w:val="en-US"/>
        </w:rPr>
        <w:t>s digital financial inclusion metrics demonstrate impressive progress yet reveal persistent structural gaps when benchmarked against global and regional peers. The World Bank Global Findex Database (2025 update) reports account ownership at 55</w:t>
      </w:r>
      <w:r>
        <w:rPr>
          <w:rFonts w:ascii="Times Roman" w:hAnsi="Times Roman" w:hint="default"/>
          <w:rtl w:val="0"/>
        </w:rPr>
        <w:t>–</w:t>
      </w:r>
      <w:r>
        <w:rPr>
          <w:rFonts w:ascii="Times Roman" w:hAnsi="Times Roman"/>
          <w:rtl w:val="0"/>
          <w:lang w:val="en-US"/>
        </w:rPr>
        <w:t>60% of adults (up from ~40% in 2017), with digital payment usage rising to 38</w:t>
      </w:r>
      <w:r>
        <w:rPr>
          <w:rFonts w:ascii="Times Roman" w:hAnsi="Times Roman" w:hint="default"/>
          <w:rtl w:val="0"/>
        </w:rPr>
        <w:t>–</w:t>
      </w:r>
      <w:r>
        <w:rPr>
          <w:rFonts w:ascii="Times Roman" w:hAnsi="Times Roman"/>
          <w:rtl w:val="0"/>
          <w:lang w:val="en-US"/>
        </w:rPr>
        <w:t>42% (from 22% in 2017), placing Bangladesh ahead of South Asian averages but behind India (65%+ digital payments) and Kenya (70%+ mobile money active use). GSMA Mobile Money Indicators (2025) rank Bangladesh among the global top-10 markets by transaction volume and agent density, with 238.7 million registered accounts and 8.61% of worldwide daily mobile money transactions, underscoring MFS as the primary inclusion vehicle. Gender gaps remain significant: female account ownership and active digital usage lag male counterparts by 10</w:t>
      </w:r>
      <w:r>
        <w:rPr>
          <w:rFonts w:ascii="Times Roman" w:hAnsi="Times Roman" w:hint="default"/>
          <w:rtl w:val="0"/>
        </w:rPr>
        <w:t>–</w:t>
      </w:r>
      <w:r>
        <w:rPr>
          <w:rFonts w:ascii="Times Roman" w:hAnsi="Times Roman"/>
          <w:rtl w:val="0"/>
          <w:lang w:val="en-US"/>
        </w:rPr>
        <w:t>15 percentage points (Findex 2025), attributable to normative barriers, lower smartphone access (rural women ~22%), and limited financial literacy. Rural-urban divides are starker</w:t>
      </w:r>
      <w:r>
        <w:rPr>
          <w:rFonts w:ascii="Times Roman" w:hAnsi="Times Roman" w:hint="default"/>
          <w:rtl w:val="0"/>
          <w:lang w:val="en-US"/>
        </w:rPr>
        <w:t>—</w:t>
      </w:r>
      <w:r>
        <w:rPr>
          <w:rFonts w:ascii="Times Roman" w:hAnsi="Times Roman"/>
          <w:rtl w:val="0"/>
          <w:lang w:val="en-US"/>
        </w:rPr>
        <w:t>rural account ownership ~42</w:t>
      </w:r>
      <w:r>
        <w:rPr>
          <w:rFonts w:ascii="Times Roman" w:hAnsi="Times Roman" w:hint="default"/>
          <w:rtl w:val="0"/>
        </w:rPr>
        <w:t>–</w:t>
      </w:r>
      <w:r>
        <w:rPr>
          <w:rFonts w:ascii="Times Roman" w:hAnsi="Times Roman"/>
          <w:rtl w:val="0"/>
        </w:rPr>
        <w:t>48% versus 68</w:t>
      </w:r>
      <w:r>
        <w:rPr>
          <w:rFonts w:ascii="Times Roman" w:hAnsi="Times Roman" w:hint="default"/>
          <w:rtl w:val="0"/>
        </w:rPr>
        <w:t>–</w:t>
      </w:r>
      <w:r>
        <w:rPr>
          <w:rFonts w:ascii="Times Roman" w:hAnsi="Times Roman"/>
          <w:rtl w:val="0"/>
          <w:lang w:val="en-US"/>
        </w:rPr>
        <w:t>75% urban, with active MFS usage 25</w:t>
      </w:r>
      <w:r>
        <w:rPr>
          <w:rFonts w:ascii="Times Roman" w:hAnsi="Times Roman" w:hint="default"/>
          <w:rtl w:val="0"/>
        </w:rPr>
        <w:t>–</w:t>
      </w:r>
      <w:r>
        <w:rPr>
          <w:rFonts w:ascii="Times Roman" w:hAnsi="Times Roman"/>
          <w:rtl w:val="0"/>
          <w:lang w:val="en-US"/>
        </w:rPr>
        <w:t>30 percentage points lower in rural zones due to connectivity and agent quality issues (Section 4.5). Benchmarking against GSMA and IMF indices shows Bangladesh outperforming peers in scale efficiency (lowest cost-per-transaction globally) but underperforming in usage depth (high dormancy rates ~35</w:t>
      </w:r>
      <w:r>
        <w:rPr>
          <w:rFonts w:ascii="Times Roman" w:hAnsi="Times Roman" w:hint="default"/>
          <w:rtl w:val="0"/>
        </w:rPr>
        <w:t>–</w:t>
      </w:r>
      <w:r>
        <w:rPr>
          <w:rFonts w:ascii="Times Roman" w:hAnsi="Times Roman"/>
          <w:rtl w:val="0"/>
          <w:lang w:val="en-US"/>
        </w:rPr>
        <w:t>40%) and product diversity (limited integrated savings/credit). Projections aligned with the Cashless Economy Roadmap 2030 and Smart Bangladesh 2041 target 80%+ inclusion and 50%+ active digital usage by 2030, contingent on closing gender/rural gaps through targeted agent expansion, e-KYC simplification (December 2026 deadline), and open finance frameworks. These metrics validate the transformative impact of MFS while highlighting the necessity of the thesis</w:t>
      </w:r>
      <w:r>
        <w:rPr>
          <w:rFonts w:ascii="Times Roman" w:hAnsi="Times Roman" w:hint="default"/>
          <w:rtl w:val="1"/>
        </w:rPr>
        <w:t>’</w:t>
      </w:r>
      <w:r>
        <w:rPr>
          <w:rFonts w:ascii="Times Roman" w:hAnsi="Times Roman"/>
          <w:rtl w:val="0"/>
          <w:lang w:val="en-US"/>
        </w:rPr>
        <w:t>s contextual and empirical focus on divides and governance to achieve inclusive, sustainable outcomes.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99" w:line="240" w:lineRule="auto"/>
        <w:jc w:val="center"/>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de-DE"/>
        </w:rPr>
        <w:t>CHAPTER 5: RESEARCH METHODOLOGY</w:t>
      </w:r>
    </w:p>
    <w:p>
      <w:pPr>
        <w:pStyle w:val="Default"/>
        <w:suppressAutoHyphens w:val="1"/>
        <w:spacing w:before="0" w:after="281" w:line="240"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 xml:space="preserve">5.1 Research Philosophy, Paradigm, and Design (Pragmatist Mixed-Methods Sequential Explanatory Design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en-US"/>
        </w:rPr>
        <w:t>Rationale &amp; Justification)</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Research Philosophy and Paradigm</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 xml:space="preserve">This study is anchored in the </w:t>
      </w:r>
      <w:r>
        <w:rPr>
          <w:rFonts w:ascii="Times New Roman" w:hAnsi="Times New Roman"/>
          <w:b w:val="1"/>
          <w:bCs w:val="1"/>
          <w:rtl w:val="0"/>
        </w:rPr>
        <w:t>Pragmatist</w:t>
      </w:r>
      <w:r>
        <w:rPr>
          <w:rFonts w:ascii="Times New Roman" w:hAnsi="Times New Roman"/>
          <w:rtl w:val="0"/>
          <w:lang w:val="en-US"/>
        </w:rPr>
        <w:t xml:space="preserve"> research paradigm, which rejects the traditional dichotomy between positivism (objective, quantitative) and constructivism (subjective, qualitative). Pragmatism is uniquely suited for studying complex socio-economic phenomena and development challenges</w:t>
      </w:r>
      <w:r>
        <w:rPr>
          <w:rFonts w:ascii="Times New Roman" w:hAnsi="Times New Roman" w:hint="default"/>
          <w:rtl w:val="0"/>
          <w:lang w:val="en-US"/>
        </w:rPr>
        <w:t>—</w:t>
      </w:r>
      <w:r>
        <w:rPr>
          <w:rFonts w:ascii="Times New Roman" w:hAnsi="Times New Roman"/>
          <w:rtl w:val="0"/>
          <w:lang w:val="en-US"/>
        </w:rPr>
        <w:t>such as e-banking adoption in emerging markets</w:t>
      </w:r>
      <w:r>
        <w:rPr>
          <w:rFonts w:ascii="Times New Roman" w:hAnsi="Times New Roman" w:hint="default"/>
          <w:rtl w:val="0"/>
          <w:lang w:val="en-US"/>
        </w:rPr>
        <w:t>—</w:t>
      </w:r>
      <w:r>
        <w:rPr>
          <w:rFonts w:ascii="Times New Roman" w:hAnsi="Times New Roman"/>
          <w:rtl w:val="0"/>
          <w:lang w:val="en-US"/>
        </w:rPr>
        <w:t>because it prioritizes the research problem itself, allowing the researcher to use all available approaches to understand the issue practically and comprehensively (Creswell &amp; Plano Clark, 2018). Epistemologically, pragmatism permits the integration of objective adoption metrics (e.g., structural equation modeling of the UTAUT2 constructs) with the subjective, lived experiences of users and regulators navigating institutional voids, fraud recovery, and structural inequalities.</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Research Design: Sequential Explanatory Mixed-Methods</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 xml:space="preserve">To operationalize this pragmatist philosophy, the study employs a </w:t>
      </w:r>
      <w:r>
        <w:rPr>
          <w:rFonts w:ascii="Times New Roman" w:hAnsi="Times New Roman"/>
          <w:b w:val="1"/>
          <w:bCs w:val="1"/>
          <w:rtl w:val="0"/>
          <w:lang w:val="en-US"/>
        </w:rPr>
        <w:t>Mixed-Methods Sequential Explanatory Design</w:t>
      </w:r>
      <w:r>
        <w:rPr>
          <w:rFonts w:ascii="Times New Roman" w:hAnsi="Times New Roman"/>
          <w:rtl w:val="0"/>
          <w:lang w:val="en-US"/>
        </w:rPr>
        <w:t xml:space="preserve"> (QUAN $\rightarrow$ qual). This design occurs in two distinct, interactive phases:</w:t>
      </w:r>
    </w:p>
    <w:p>
      <w:pPr>
        <w:pStyle w:val="Default"/>
        <w:numPr>
          <w:ilvl w:val="0"/>
          <w:numId w:val="6"/>
        </w:numPr>
        <w:suppressAutoHyphens w:val="1"/>
        <w:spacing w:before="0" w:after="240" w:line="240" w:lineRule="auto"/>
        <w:jc w:val="both"/>
        <w:rPr>
          <w:rFonts w:ascii="Times New Roman" w:hAnsi="Times New Roman"/>
          <w:lang w:val="it-IT"/>
        </w:rPr>
      </w:pPr>
      <w:r>
        <w:rPr>
          <w:rFonts w:ascii="Times New Roman" w:hAnsi="Times New Roman"/>
          <w:b w:val="1"/>
          <w:bCs w:val="1"/>
          <w:rtl w:val="0"/>
          <w:lang w:val="it-IT"/>
        </w:rPr>
        <w:t>Phase 1 (Quantitative):</w:t>
      </w:r>
      <w:r>
        <w:rPr>
          <w:rFonts w:ascii="Times New Roman" w:hAnsi="Times New Roman"/>
          <w:rtl w:val="0"/>
          <w:lang w:val="en-US"/>
        </w:rPr>
        <w:t xml:space="preserve"> The collection and analysis of cross-sectional survey data to test the extended UTAUT2 hypotheses. This phase measures the strength, direction, and significance of adoption determinants (e.g., Performance Expectancy, Trust Restoration) and identifies broad trends across demographic divides.</w:t>
      </w:r>
    </w:p>
    <w:p>
      <w:pPr>
        <w:pStyle w:val="Default"/>
        <w:numPr>
          <w:ilvl w:val="0"/>
          <w:numId w:val="6"/>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Phase 2 (Qualitative):</w:t>
      </w:r>
      <w:r>
        <w:rPr>
          <w:rFonts w:ascii="Times New Roman" w:hAnsi="Times New Roman"/>
          <w:rtl w:val="0"/>
          <w:lang w:val="en-US"/>
        </w:rPr>
        <w:t xml:space="preserve"> The collection and analysis of in-depth interview data. The qualitative phase is explicitly designed to </w:t>
      </w:r>
      <w:r>
        <w:rPr>
          <w:rFonts w:ascii="Times New Roman" w:hAnsi="Times New Roman"/>
          <w:i w:val="1"/>
          <w:iCs w:val="1"/>
          <w:rtl w:val="0"/>
          <w:lang w:val="en-US"/>
        </w:rPr>
        <w:t>explain, refine, and contextualize</w:t>
      </w:r>
      <w:r>
        <w:rPr>
          <w:rFonts w:ascii="Times New Roman" w:hAnsi="Times New Roman"/>
          <w:rtl w:val="0"/>
          <w:lang w:val="en-US"/>
        </w:rPr>
        <w:t xml:space="preserve"> the statistical results obtained in Phase 1. For example, while Phase 1 may statistically reveal that Governance Perception moderates trust, Phase 2 explores </w:t>
      </w:r>
      <w:r>
        <w:rPr>
          <w:rFonts w:ascii="Times New Roman" w:hAnsi="Times New Roman"/>
          <w:i w:val="1"/>
          <w:iCs w:val="1"/>
          <w:rtl w:val="0"/>
        </w:rPr>
        <w:t>how</w:t>
      </w:r>
      <w:r>
        <w:rPr>
          <w:rFonts w:ascii="Times New Roman" w:hAnsi="Times New Roman"/>
          <w:rtl w:val="0"/>
          <w:lang w:val="en-US"/>
        </w:rPr>
        <w:t xml:space="preserve"> and </w:t>
      </w:r>
      <w:r>
        <w:rPr>
          <w:rFonts w:ascii="Times New Roman" w:hAnsi="Times New Roman"/>
          <w:i w:val="1"/>
          <w:iCs w:val="1"/>
          <w:rtl w:val="0"/>
          <w:lang w:val="en-US"/>
        </w:rPr>
        <w:t>why</w:t>
      </w:r>
      <w:r>
        <w:rPr>
          <w:rFonts w:ascii="Times New Roman" w:hAnsi="Times New Roman"/>
          <w:rtl w:val="0"/>
          <w:lang w:val="en-US"/>
        </w:rPr>
        <w:t xml:space="preserve"> regulatory enforcement gaps shape these perceptions on the ground.</w:t>
      </w: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r>
        <w:rPr>
          <w:rFonts w:ascii="Times New Roman" w:cs="Times New Roman" w:hAnsi="Times New Roman" w:eastAsia="Times New Roman"/>
        </w:rPr>
        <w:drawing xmlns:a="http://schemas.openxmlformats.org/drawingml/2006/main">
          <wp:anchor distT="152400" distB="152400" distL="152400" distR="152400" simplePos="0" relativeHeight="251674624" behindDoc="0" locked="0" layoutInCell="1" allowOverlap="1">
            <wp:simplePos x="0" y="0"/>
            <wp:positionH relativeFrom="margin">
              <wp:posOffset>1415288</wp:posOffset>
            </wp:positionH>
            <wp:positionV relativeFrom="line">
              <wp:posOffset>162581</wp:posOffset>
            </wp:positionV>
            <wp:extent cx="3276781" cy="6120057"/>
            <wp:effectExtent l="0" t="0" r="0" b="0"/>
            <wp:wrapThrough wrapText="bothSides" distL="152400" distR="152400">
              <wp:wrapPolygon edited="1">
                <wp:start x="0" y="0"/>
                <wp:lineTo x="21600" y="0"/>
                <wp:lineTo x="21600" y="21600"/>
                <wp:lineTo x="0" y="21600"/>
                <wp:lineTo x="0" y="0"/>
              </wp:wrapPolygon>
            </wp:wrapThrough>
            <wp:docPr id="1073741852"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52" name="pasted-image.tiff" descr="pasted-image.tiff"/>
                    <pic:cNvPicPr>
                      <a:picLocks noChangeAspect="1"/>
                    </pic:cNvPicPr>
                  </pic:nvPicPr>
                  <pic:blipFill>
                    <a:blip r:embed="rId25">
                      <a:extLst/>
                    </a:blip>
                    <a:stretch>
                      <a:fillRect/>
                    </a:stretch>
                  </pic:blipFill>
                  <pic:spPr>
                    <a:xfrm>
                      <a:off x="0" y="0"/>
                      <a:ext cx="3276781" cy="6120057"/>
                    </a:xfrm>
                    <a:prstGeom prst="rect">
                      <a:avLst/>
                    </a:prstGeom>
                    <a:ln w="12700" cap="flat">
                      <a:noFill/>
                      <a:miter lim="400000"/>
                    </a:ln>
                    <a:effectLst/>
                  </pic:spPr>
                </pic:pic>
              </a:graphicData>
            </a:graphic>
          </wp:anchor>
        </w:drawing>
      </w: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i w:val="1"/>
          <w:iCs w:val="1"/>
        </w:rPr>
      </w:pPr>
      <w:r>
        <w:rPr>
          <w:rFonts w:ascii="Times Roman" w:hAnsi="Times Roman"/>
          <w:b w:val="1"/>
          <w:bCs w:val="1"/>
          <w:rtl w:val="0"/>
          <w:lang w:val="it-IT"/>
        </w:rPr>
        <w:t xml:space="preserve">Figure 5.1: </w:t>
      </w:r>
      <w:r>
        <w:rPr>
          <w:rFonts w:ascii="Times Roman" w:hAnsi="Times Roman"/>
          <w:i w:val="1"/>
          <w:iCs w:val="1"/>
          <w:rtl w:val="0"/>
          <w:lang w:val="en-US"/>
        </w:rPr>
        <w:t>Mixed-Methods Sequential Explanatory Design Framework</w:t>
      </w:r>
      <w:r>
        <w:rPr>
          <w:rFonts w:ascii="Times Roman" w:hAnsi="Times Roman"/>
          <w:i w:val="1"/>
          <w:iCs w:val="1"/>
          <w:rtl w:val="0"/>
          <w:lang w:val="en-US"/>
        </w:rPr>
        <w:t xml:space="preserve">. </w:t>
      </w:r>
      <w:r>
        <w:rPr>
          <w:rFonts w:ascii="Times Roman" w:hAnsi="Times Roman"/>
          <w:b w:val="1"/>
          <w:bCs w:val="1"/>
          <w:rtl w:val="0"/>
        </w:rPr>
        <w:t>Bangladesh Bank. (2026).</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 xml:space="preserve">Figure 5.1: The Pragmatist Mixed-Methods Sequential Explanatory Design (QUAN </w:t>
      </w:r>
      <w:r>
        <w:rPr>
          <w:rFonts w:ascii="Arial Unicode MS" w:cs="Arial Unicode MS" w:hAnsi="Arial Unicode MS" w:eastAsia="Arial Unicode MS" w:hint="default"/>
          <w:b w:val="0"/>
          <w:bCs w:val="0"/>
          <w:i w:val="0"/>
          <w:iCs w:val="0"/>
          <w:rtl w:val="0"/>
        </w:rPr>
        <w:t>→</w:t>
      </w:r>
      <w:r>
        <w:rPr>
          <w:rFonts w:ascii="Times Roman" w:hAnsi="Times Roman"/>
          <w:i w:val="1"/>
          <w:iCs w:val="1"/>
          <w:rtl w:val="0"/>
        </w:rPr>
        <w:t xml:space="preserve"> </w:t>
      </w:r>
      <w:r>
        <w:rPr>
          <w:rFonts w:ascii="Times Roman" w:hAnsi="Times Roman"/>
          <w:i w:val="1"/>
          <w:iCs w:val="1"/>
          <w:rtl w:val="0"/>
          <w:lang w:val="en-US"/>
        </w:rPr>
        <w:t>qual). This flowchart illustrates the two-phase research progression, starting with cross-sectional quantitative data collection and PLS-SEM analysis, followed by qualitative in-depth interviews and reflexive thematic analysis. The final integration phase demonstrates how meta-inferences and scenario planning synthesize both strands to answer the overarching research objectives.</w:t>
      </w: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Rationale &amp; Justification</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justification for this design is rooted in the complexity of Bangladesh's digital financial landscape. Quantitative data alone cannot adequately explain the root causes of the post-2024</w:t>
      </w:r>
      <w:r>
        <w:rPr>
          <w:rFonts w:ascii="Times New Roman" w:hAnsi="Times New Roman" w:hint="default"/>
          <w:rtl w:val="0"/>
        </w:rPr>
        <w:t>–</w:t>
      </w:r>
      <w:r>
        <w:rPr>
          <w:rFonts w:ascii="Times New Roman" w:hAnsi="Times New Roman"/>
          <w:rtl w:val="0"/>
          <w:lang w:val="en-US"/>
        </w:rPr>
        <w:t>25 trust crisis, nor can it capture the nuanced political economy of market concentration (HHI &gt; 2,800). Conversely, qualitative data alone cannot provide the generalizable, predictive path coefficients needed for national policy formulation under the Smart Bangladesh 2041 vision. By sequencing the methods, the study leverages statistical rigor to map the "what" of e-banking adoption, and qualitative depth to uncover the "why" and "how," fulfilling the comprehensive objectives outlined in Chapter 1.</w:t>
      </w:r>
    </w:p>
    <w:p>
      <w:pPr>
        <w:pStyle w:val="Default"/>
        <w:suppressAutoHyphens w:val="1"/>
        <w:spacing w:before="0" w:line="240" w:lineRule="auto"/>
        <w:jc w:val="both"/>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281" w:line="240"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5.2 Population, Sampling Design, and Sample Size Justification</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The research targets a dual population to fulfill its mixed-methods objectives: (a) current and potential adult users of digital financial services (MFS, internet banking, cards) across Bangladesh, and (b) institutional stakeholders and domain experts governing or operating these systems.</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fr-FR"/>
        </w:rPr>
        <w:t>Sample Size Justification (Quantitative)</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To ensure sufficient statistical power for Partial Least Squares Structural Equation Modeling (PLS-SEM), an a priori power analysis was conducted using G*Power 3.1 software. Based on the integrated conceptual model (which includes up to 8 predictor variables acting on Behavioral Intention), achieving a statistical power of 0.95 with an alpha level of 0.05 and a medium effect size ($f^2$ = 0.15) requires a minimum sample of 153 respondents.</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 xml:space="preserve">However, to accommodate the planned Multi-Group Analysis (MGA) across specific sub-strata (e.g., urban vs. rural, male vs. female, high vs. low income) and to ensure national representativeness across all eight administrative divisions, a target minimum of </w:t>
      </w:r>
      <w:r>
        <w:rPr>
          <w:rFonts w:ascii="Times New Roman" w:hAnsi="Times New Roman"/>
          <w:b w:val="1"/>
          <w:bCs w:val="1"/>
          <w:rtl w:val="0"/>
          <w:lang w:val="en-US"/>
        </w:rPr>
        <w:t>600+ respondents</w:t>
      </w:r>
      <w:r>
        <w:rPr>
          <w:rFonts w:ascii="Times New Roman" w:hAnsi="Times New Roman"/>
          <w:rtl w:val="0"/>
          <w:lang w:val="en-US"/>
        </w:rPr>
        <w:t xml:space="preserve"> was established. This conservative buffer easily accounts for non-response, missing data, and outlier removal while providing robust power for complex moderation testing.</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Sample Size Justification (Qualitative)</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 xml:space="preserve">For the qualitative strand, sample size is guided by the principle of </w:t>
      </w:r>
      <w:r>
        <w:rPr>
          <w:rFonts w:ascii="Times New Roman" w:hAnsi="Times New Roman"/>
          <w:b w:val="1"/>
          <w:bCs w:val="1"/>
          <w:rtl w:val="0"/>
          <w:lang w:val="it-IT"/>
        </w:rPr>
        <w:t>data saturation</w:t>
      </w:r>
      <w:r>
        <w:rPr>
          <w:rFonts w:ascii="Times New Roman" w:hAnsi="Times New Roman" w:hint="default"/>
          <w:rtl w:val="0"/>
          <w:lang w:val="en-US"/>
        </w:rPr>
        <w:t>—</w:t>
      </w:r>
      <w:r>
        <w:rPr>
          <w:rFonts w:ascii="Times New Roman" w:hAnsi="Times New Roman"/>
          <w:rtl w:val="0"/>
          <w:lang w:val="en-US"/>
        </w:rPr>
        <w:t xml:space="preserve">the point at which new interviews yield no novel thematic insights. In alignment with established qualitative guidelines for phenomenological and case-study research (Yin, 2018), a target of </w:t>
      </w:r>
      <w:r>
        <w:rPr>
          <w:rFonts w:ascii="Times New Roman" w:hAnsi="Times New Roman"/>
          <w:b w:val="1"/>
          <w:bCs w:val="1"/>
          <w:rtl w:val="0"/>
        </w:rPr>
        <w:t>25</w:t>
      </w:r>
      <w:r>
        <w:rPr>
          <w:rFonts w:ascii="Times New Roman" w:hAnsi="Times New Roman" w:hint="default"/>
          <w:b w:val="1"/>
          <w:bCs w:val="1"/>
          <w:rtl w:val="0"/>
        </w:rPr>
        <w:t>–</w:t>
      </w:r>
      <w:r>
        <w:rPr>
          <w:rFonts w:ascii="Times New Roman" w:hAnsi="Times New Roman"/>
          <w:b w:val="1"/>
          <w:bCs w:val="1"/>
          <w:rtl w:val="0"/>
          <w:lang w:val="en-US"/>
        </w:rPr>
        <w:t>30 key informants</w:t>
      </w:r>
      <w:r>
        <w:rPr>
          <w:rFonts w:ascii="Times New Roman" w:hAnsi="Times New Roman"/>
          <w:rtl w:val="0"/>
          <w:lang w:val="en-US"/>
        </w:rPr>
        <w:t xml:space="preserve"> was deemed appropriate to capture a diverse cross-section of institutional and grassroots perspectives without generating unmanageable data redundancy.</w:t>
      </w:r>
    </w:p>
    <w:p>
      <w:pPr>
        <w:pStyle w:val="Default"/>
        <w:suppressAutoHyphens w:val="1"/>
        <w:spacing w:before="0" w:line="240" w:lineRule="auto"/>
        <w:jc w:val="both"/>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line="240" w:lineRule="auto"/>
        <w:jc w:val="both"/>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319" w:line="240" w:lineRule="auto"/>
        <w:jc w:val="both"/>
        <w:rPr>
          <w:rFonts w:ascii="Times New Roman" w:cs="Times New Roman" w:hAnsi="Times New Roman" w:eastAsia="Times New Roman"/>
          <w:b w:val="1"/>
          <w:bCs w:val="1"/>
        </w:rPr>
      </w:pPr>
      <w:r>
        <w:rPr>
          <w:rFonts w:ascii="Times New Roman" w:hAnsi="Times New Roman"/>
          <w:b w:val="1"/>
          <w:bCs w:val="1"/>
          <w:rtl w:val="0"/>
          <w:lang w:val="en-US"/>
        </w:rPr>
        <w:t>5.2.1 Customer/User Survey: Stratification by Division (8), Urban/Rural, Gender, Age Cohorts (18</w:t>
      </w:r>
      <w:r>
        <w:rPr>
          <w:rFonts w:ascii="Times New Roman" w:hAnsi="Times New Roman" w:hint="default"/>
          <w:b w:val="1"/>
          <w:bCs w:val="1"/>
          <w:rtl w:val="0"/>
        </w:rPr>
        <w:t>–</w:t>
      </w:r>
      <w:r>
        <w:rPr>
          <w:rFonts w:ascii="Times New Roman" w:hAnsi="Times New Roman"/>
          <w:b w:val="1"/>
          <w:bCs w:val="1"/>
          <w:rtl w:val="0"/>
          <w:lang w:val="en-US"/>
        </w:rPr>
        <w:t>65), Income Quintiles, and Service Usage Intensity</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 xml:space="preserve">To achieve a highly representative customer sample, Phase 1 utilizes a </w:t>
      </w:r>
      <w:r>
        <w:rPr>
          <w:rFonts w:ascii="Times New Roman" w:hAnsi="Times New Roman"/>
          <w:b w:val="1"/>
          <w:bCs w:val="1"/>
          <w:rtl w:val="0"/>
          <w:lang w:val="en-US"/>
        </w:rPr>
        <w:t>Stratified Multi-Stage Probability Sampling</w:t>
      </w:r>
      <w:r>
        <w:rPr>
          <w:rFonts w:ascii="Times New Roman" w:hAnsi="Times New Roman"/>
          <w:rtl w:val="0"/>
          <w:lang w:val="en-US"/>
        </w:rPr>
        <w:t xml:space="preserve"> technique. This ensures that marginalized and hard-to-reach demographics are adequately represented, avoiding the urban, male-dominated bias common in digital finance research.</w:t>
      </w:r>
    </w:p>
    <w:p>
      <w:pPr>
        <w:pStyle w:val="Default"/>
        <w:numPr>
          <w:ilvl w:val="0"/>
          <w:numId w:val="7"/>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Stage 1: Geographic Stratification (Divisions):</w:t>
      </w:r>
      <w:r>
        <w:rPr>
          <w:rFonts w:ascii="Times New Roman" w:hAnsi="Times New Roman"/>
          <w:rtl w:val="0"/>
          <w:lang w:val="en-US"/>
        </w:rPr>
        <w:t xml:space="preserve"> The sampling frame is first divided into the eight administrative divisions of Bangladesh (Dhaka, Chattogram, Rajshahi, Khulna, Barishal, Sylhet, Rangpur, and Mymensingh). Quotas are assigned proportionally based on the latest Bangladesh Bureau of Statistics (BBS) population census data.</w:t>
      </w:r>
    </w:p>
    <w:p>
      <w:pPr>
        <w:pStyle w:val="Default"/>
        <w:numPr>
          <w:ilvl w:val="0"/>
          <w:numId w:val="7"/>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Stage 2: Urban/Rural Divide:</w:t>
      </w:r>
      <w:r>
        <w:rPr>
          <w:rFonts w:ascii="Times New Roman" w:hAnsi="Times New Roman"/>
          <w:rtl w:val="0"/>
          <w:lang w:val="en-US"/>
        </w:rPr>
        <w:t xml:space="preserve"> Within each division, the sample is further stratified to reflect the national urban/rural distribution. A target split of approximately 55% urban and 45% rural is maintained to adequately capture last-mile infrastructural and agent network realities.</w:t>
      </w:r>
    </w:p>
    <w:p>
      <w:pPr>
        <w:pStyle w:val="Default"/>
        <w:numPr>
          <w:ilvl w:val="0"/>
          <w:numId w:val="7"/>
        </w:numPr>
        <w:suppressAutoHyphens w:val="1"/>
        <w:spacing w:before="0" w:after="240" w:line="240" w:lineRule="auto"/>
        <w:jc w:val="both"/>
        <w:rPr>
          <w:rFonts w:ascii="Times New Roman" w:hAnsi="Times New Roman"/>
          <w:b w:val="1"/>
          <w:bCs w:val="1"/>
          <w:lang w:val="en-US"/>
        </w:rPr>
      </w:pPr>
      <w:r>
        <w:rPr>
          <w:rFonts w:ascii="Times New Roman" w:hAnsi="Times New Roman"/>
          <w:b w:val="1"/>
          <w:bCs w:val="1"/>
          <w:rtl w:val="0"/>
          <w:lang w:val="en-US"/>
        </w:rPr>
        <w:t>Stage 3: Demographic Intersections (Gender, Age, Income):</w:t>
      </w:r>
    </w:p>
    <w:p>
      <w:pPr>
        <w:pStyle w:val="Default"/>
        <w:numPr>
          <w:ilvl w:val="1"/>
          <w:numId w:val="7"/>
        </w:numPr>
        <w:suppressAutoHyphens w:val="1"/>
        <w:spacing w:before="0" w:after="240" w:line="240" w:lineRule="auto"/>
        <w:jc w:val="both"/>
        <w:rPr>
          <w:rFonts w:ascii="Times New Roman" w:hAnsi="Times New Roman"/>
          <w:lang w:val="de-DE"/>
        </w:rPr>
      </w:pPr>
      <w:r>
        <w:rPr>
          <w:rFonts w:ascii="Times New Roman" w:hAnsi="Times New Roman"/>
          <w:b w:val="1"/>
          <w:bCs w:val="1"/>
          <w:rtl w:val="0"/>
          <w:lang w:val="de-DE"/>
        </w:rPr>
        <w:t>Gender:</w:t>
      </w:r>
      <w:r>
        <w:rPr>
          <w:rFonts w:ascii="Times New Roman" w:hAnsi="Times New Roman"/>
          <w:rtl w:val="0"/>
          <w:lang w:val="en-US"/>
        </w:rPr>
        <w:t xml:space="preserve"> A strict quota targeting a near 50:50 male-to-female ratio is enforced to investigate the persistent 11.8 percentage-point gender gap in digital active usage.</w:t>
      </w:r>
    </w:p>
    <w:p>
      <w:pPr>
        <w:pStyle w:val="Default"/>
        <w:numPr>
          <w:ilvl w:val="1"/>
          <w:numId w:val="7"/>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Age Cohorts:</w:t>
      </w:r>
      <w:r>
        <w:rPr>
          <w:rFonts w:ascii="Times New Roman" w:hAnsi="Times New Roman"/>
          <w:rtl w:val="0"/>
          <w:lang w:val="en-US"/>
        </w:rPr>
        <w:t xml:space="preserve"> Respondents are categorized into distinct cohorts (18</w:t>
      </w:r>
      <w:r>
        <w:rPr>
          <w:rFonts w:ascii="Times New Roman" w:hAnsi="Times New Roman" w:hint="default"/>
          <w:rtl w:val="0"/>
        </w:rPr>
        <w:t>–</w:t>
      </w:r>
      <w:r>
        <w:rPr>
          <w:rFonts w:ascii="Times New Roman" w:hAnsi="Times New Roman"/>
          <w:rtl w:val="0"/>
        </w:rPr>
        <w:t>24, 25</w:t>
      </w:r>
      <w:r>
        <w:rPr>
          <w:rFonts w:ascii="Times New Roman" w:hAnsi="Times New Roman" w:hint="default"/>
          <w:rtl w:val="0"/>
        </w:rPr>
        <w:t>–</w:t>
      </w:r>
      <w:r>
        <w:rPr>
          <w:rFonts w:ascii="Times New Roman" w:hAnsi="Times New Roman"/>
          <w:rtl w:val="0"/>
          <w:lang w:val="ru-RU"/>
        </w:rPr>
        <w:t>34, 35</w:t>
      </w:r>
      <w:r>
        <w:rPr>
          <w:rFonts w:ascii="Times New Roman" w:hAnsi="Times New Roman" w:hint="default"/>
          <w:rtl w:val="0"/>
        </w:rPr>
        <w:t>–</w:t>
      </w:r>
      <w:r>
        <w:rPr>
          <w:rFonts w:ascii="Times New Roman" w:hAnsi="Times New Roman"/>
          <w:rtl w:val="0"/>
        </w:rPr>
        <w:t>44, 45</w:t>
      </w:r>
      <w:r>
        <w:rPr>
          <w:rFonts w:ascii="Times New Roman" w:hAnsi="Times New Roman" w:hint="default"/>
          <w:rtl w:val="0"/>
        </w:rPr>
        <w:t>–</w:t>
      </w:r>
      <w:r>
        <w:rPr>
          <w:rFonts w:ascii="Times New Roman" w:hAnsi="Times New Roman"/>
          <w:rtl w:val="0"/>
          <w:lang w:val="en-US"/>
        </w:rPr>
        <w:t>54, and 55</w:t>
      </w:r>
      <w:r>
        <w:rPr>
          <w:rFonts w:ascii="Times New Roman" w:hAnsi="Times New Roman" w:hint="default"/>
          <w:rtl w:val="0"/>
        </w:rPr>
        <w:t>–</w:t>
      </w:r>
      <w:r>
        <w:rPr>
          <w:rFonts w:ascii="Times New Roman" w:hAnsi="Times New Roman"/>
          <w:rtl w:val="0"/>
          <w:lang w:val="en-US"/>
        </w:rPr>
        <w:t>65) to capture both "digital natives" and "traditionalists."</w:t>
      </w:r>
    </w:p>
    <w:p>
      <w:pPr>
        <w:pStyle w:val="Default"/>
        <w:numPr>
          <w:ilvl w:val="1"/>
          <w:numId w:val="7"/>
        </w:numPr>
        <w:suppressAutoHyphens w:val="1"/>
        <w:spacing w:before="0" w:after="240" w:line="240" w:lineRule="auto"/>
        <w:jc w:val="both"/>
        <w:rPr>
          <w:rFonts w:ascii="Times New Roman" w:hAnsi="Times New Roman"/>
          <w:lang w:val="it-IT"/>
        </w:rPr>
      </w:pPr>
      <w:r>
        <w:rPr>
          <w:rFonts w:ascii="Times New Roman" w:hAnsi="Times New Roman"/>
          <w:b w:val="1"/>
          <w:bCs w:val="1"/>
          <w:rtl w:val="0"/>
          <w:lang w:val="it-IT"/>
        </w:rPr>
        <w:t>Income Quintiles:</w:t>
      </w:r>
      <w:r>
        <w:rPr>
          <w:rFonts w:ascii="Times New Roman" w:hAnsi="Times New Roman"/>
          <w:rtl w:val="0"/>
          <w:lang w:val="en-US"/>
        </w:rPr>
        <w:t xml:space="preserve"> Income brackets are structured into quintiles (Q1 to Q5) to ensure the inclusion of low-income populations dependent on MFS remittances, as well as high-income internet banking users.</w:t>
      </w:r>
    </w:p>
    <w:p>
      <w:pPr>
        <w:pStyle w:val="Default"/>
        <w:numPr>
          <w:ilvl w:val="0"/>
          <w:numId w:val="7"/>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Stage 4: Usage Intensity Segments:</w:t>
      </w:r>
      <w:r>
        <w:rPr>
          <w:rFonts w:ascii="Times New Roman" w:hAnsi="Times New Roman"/>
          <w:rtl w:val="0"/>
          <w:lang w:val="en-US"/>
        </w:rPr>
        <w:t xml:space="preserve"> To prevent the data from skewing entirely toward highly active users, field researchers are instructed to sample across the usage spectrum, capturing "heavy users" (multiple weekly transactions), "light/occasional users," and "dormant/registered-only users.</w:t>
      </w:r>
      <w:r>
        <w:rPr>
          <w:rFonts w:ascii="Times New Roman" w:cs="Times New Roman" w:hAnsi="Times New Roman" w:eastAsia="Times New Roman"/>
        </w:rPr>
        <w:drawing xmlns:a="http://schemas.openxmlformats.org/drawingml/2006/main">
          <wp:anchor distT="152400" distB="152400" distL="152400" distR="152400" simplePos="0" relativeHeight="251675648" behindDoc="0" locked="0" layoutInCell="1" allowOverlap="1">
            <wp:simplePos x="0" y="0"/>
            <wp:positionH relativeFrom="margin">
              <wp:posOffset>266462</wp:posOffset>
            </wp:positionH>
            <wp:positionV relativeFrom="line">
              <wp:posOffset>297381</wp:posOffset>
            </wp:positionV>
            <wp:extent cx="5574432" cy="2726999"/>
            <wp:effectExtent l="0" t="0" r="0" b="0"/>
            <wp:wrapThrough wrapText="bothSides" distL="152400" distR="152400">
              <wp:wrapPolygon edited="1">
                <wp:start x="0" y="0"/>
                <wp:lineTo x="21621" y="0"/>
                <wp:lineTo x="21621" y="21603"/>
                <wp:lineTo x="0" y="21603"/>
                <wp:lineTo x="0" y="0"/>
              </wp:wrapPolygon>
            </wp:wrapThrough>
            <wp:docPr id="1073741853"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53" name="pasted-image.tiff" descr="pasted-image.tiff"/>
                    <pic:cNvPicPr>
                      <a:picLocks noChangeAspect="1"/>
                    </pic:cNvPicPr>
                  </pic:nvPicPr>
                  <pic:blipFill>
                    <a:blip r:embed="rId26">
                      <a:extLst/>
                    </a:blip>
                    <a:stretch>
                      <a:fillRect/>
                    </a:stretch>
                  </pic:blipFill>
                  <pic:spPr>
                    <a:xfrm>
                      <a:off x="0" y="0"/>
                      <a:ext cx="5574432" cy="2726999"/>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5.2: </w:t>
      </w:r>
      <w:r>
        <w:rPr>
          <w:rFonts w:ascii="Times Roman" w:hAnsi="Times Roman"/>
          <w:i w:val="1"/>
          <w:iCs w:val="1"/>
          <w:rtl w:val="0"/>
          <w:lang w:val="en-US"/>
        </w:rPr>
        <w:t>Multi-Stage Stratified Sampling Breakdown</w:t>
      </w:r>
      <w:r>
        <w:rPr>
          <w:rFonts w:ascii="Times Roman" w:hAnsi="Times Roman"/>
          <w:i w:val="1"/>
          <w:iCs w:val="1"/>
          <w:rtl w:val="0"/>
          <w:lang w:val="en-US"/>
        </w:rPr>
        <w:t xml:space="preserve">. </w:t>
      </w:r>
      <w:r>
        <w:rPr>
          <w:rFonts w:ascii="Times Roman" w:hAnsi="Times Roman"/>
          <w:b w:val="1"/>
          <w:bCs w:val="1"/>
          <w:rtl w:val="0"/>
          <w:lang w:val="en-US"/>
        </w:rPr>
        <w:t>BSS. (2025, June 2).</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i w:val="1"/>
          <w:iCs w:val="1"/>
        </w:rPr>
      </w:pPr>
      <w:r>
        <w:rPr>
          <w:rFonts w:ascii="Times Roman" w:hAnsi="Times Roman"/>
          <w:b w:val="1"/>
          <w:bCs w:val="1"/>
          <w:i w:val="0"/>
          <w:iCs w:val="0"/>
          <w:rtl w:val="0"/>
          <w:lang w:val="en-US"/>
        </w:rPr>
        <w:t>Figure Description:</w:t>
      </w:r>
      <w:r>
        <w:rPr>
          <w:rFonts w:ascii="Times Roman" w:hAnsi="Times Roman"/>
          <w:i w:val="0"/>
          <w:iCs w:val="0"/>
          <w:rtl w:val="0"/>
        </w:rPr>
        <w:t xml:space="preserve"> </w:t>
      </w:r>
      <w:r>
        <w:rPr>
          <w:rFonts w:ascii="Times Roman" w:hAnsi="Times Roman"/>
          <w:i w:val="1"/>
          <w:iCs w:val="1"/>
          <w:rtl w:val="0"/>
          <w:lang w:val="en-US"/>
        </w:rPr>
        <w:t>Figure 5.2: Multistage Stratified Probability Sampling Strategy. The figure visualizes the targeted proportional quotas designed to capture a nationally representative sample of 600+ respondents, ensuring adequate inclusion across the urban/rural divide, gender, and regional administrative divisions to investigate systemic digital divides.</w:t>
      </w:r>
    </w:p>
    <w:p>
      <w:pPr>
        <w:pStyle w:val="Default"/>
        <w:suppressAutoHyphens w:val="1"/>
        <w:spacing w:before="0" w:after="319" w:line="240" w:lineRule="auto"/>
        <w:jc w:val="both"/>
        <w:rPr>
          <w:rFonts w:ascii="Times New Roman" w:cs="Times New Roman" w:hAnsi="Times New Roman" w:eastAsia="Times New Roman"/>
          <w:b w:val="1"/>
          <w:bCs w:val="1"/>
        </w:rPr>
      </w:pPr>
      <w:r>
        <w:rPr>
          <w:rFonts w:ascii="Times New Roman" w:hAnsi="Times New Roman"/>
          <w:b w:val="1"/>
          <w:bCs w:val="1"/>
          <w:rtl w:val="0"/>
          <w:lang w:val="en-US"/>
        </w:rPr>
        <w:t>5.2.2 Expert/Key Informant Interviews: Purposive + Snowball (Bangladesh Bank, Commercial Banks, MFS Providers, Fintech Startups, Academics, Agent Network Managers, BFIU, Development Partners)</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rtl w:val="0"/>
          <w:lang w:val="en-US"/>
        </w:rPr>
        <w:t xml:space="preserve">Phase 2 relies on </w:t>
      </w:r>
      <w:r>
        <w:rPr>
          <w:rFonts w:ascii="Times New Roman" w:hAnsi="Times New Roman"/>
          <w:b w:val="1"/>
          <w:bCs w:val="1"/>
          <w:rtl w:val="0"/>
          <w:lang w:val="en-US"/>
        </w:rPr>
        <w:t>Purposive Sampling</w:t>
      </w:r>
      <w:r>
        <w:rPr>
          <w:rFonts w:ascii="Times New Roman" w:hAnsi="Times New Roman"/>
          <w:rtl w:val="0"/>
          <w:lang w:val="en-US"/>
        </w:rPr>
        <w:t xml:space="preserve"> combined with </w:t>
      </w:r>
      <w:r>
        <w:rPr>
          <w:rFonts w:ascii="Times New Roman" w:hAnsi="Times New Roman"/>
          <w:b w:val="1"/>
          <w:bCs w:val="1"/>
          <w:rtl w:val="0"/>
          <w:lang w:val="en-US"/>
        </w:rPr>
        <w:t>Snowball Sampling</w:t>
      </w:r>
      <w:r>
        <w:rPr>
          <w:rFonts w:ascii="Times New Roman" w:hAnsi="Times New Roman"/>
          <w:rtl w:val="0"/>
          <w:lang w:val="en-US"/>
        </w:rPr>
        <w:t xml:space="preserve"> to access high-level domain experts and frontline operators who possess specialized knowledge of the ecosystem's structural bottlenecks.</w:t>
      </w:r>
    </w:p>
    <w:p>
      <w:pPr>
        <w:pStyle w:val="Default"/>
        <w:numPr>
          <w:ilvl w:val="0"/>
          <w:numId w:val="7"/>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Purposive Sampling (Institutional Level):</w:t>
      </w:r>
      <w:r>
        <w:rPr>
          <w:rFonts w:ascii="Times New Roman" w:hAnsi="Times New Roman"/>
          <w:rtl w:val="0"/>
          <w:lang w:val="en-US"/>
        </w:rPr>
        <w:t xml:space="preserve"> Participants are intentionally selected based on their specific roles, expertise, and authority within the e-banking landscape. The sampling frame specifically targets:</w:t>
      </w:r>
    </w:p>
    <w:p>
      <w:pPr>
        <w:pStyle w:val="Default"/>
        <w:numPr>
          <w:ilvl w:val="1"/>
          <w:numId w:val="7"/>
        </w:numPr>
        <w:suppressAutoHyphens w:val="1"/>
        <w:spacing w:before="0" w:after="240" w:line="240" w:lineRule="auto"/>
        <w:jc w:val="both"/>
        <w:rPr>
          <w:rFonts w:ascii="Times New Roman" w:hAnsi="Times New Roman"/>
          <w:lang w:val="en-US"/>
        </w:rPr>
      </w:pPr>
      <w:r>
        <w:rPr>
          <w:rFonts w:ascii="Times New Roman" w:hAnsi="Times New Roman"/>
          <w:i w:val="1"/>
          <w:iCs w:val="1"/>
          <w:rtl w:val="0"/>
          <w:lang w:val="en-US"/>
        </w:rPr>
        <w:t>Regulators &amp; Policymakers:</w:t>
      </w:r>
      <w:r>
        <w:rPr>
          <w:rFonts w:ascii="Times New Roman" w:hAnsi="Times New Roman"/>
          <w:rtl w:val="0"/>
          <w:lang w:val="en-US"/>
        </w:rPr>
        <w:t xml:space="preserve"> Officials from Bangladesh Bank (Payment Systems Department, Risk-Based Supervision units) and the Bangladesh Financial Intelligence Unit (BFIU) to discuss compliance, CBDC prospects, and AML/CFT fraud responses.</w:t>
      </w:r>
    </w:p>
    <w:p>
      <w:pPr>
        <w:pStyle w:val="Default"/>
        <w:numPr>
          <w:ilvl w:val="1"/>
          <w:numId w:val="7"/>
        </w:numPr>
        <w:suppressAutoHyphens w:val="1"/>
        <w:spacing w:before="0" w:after="240" w:line="240" w:lineRule="auto"/>
        <w:jc w:val="both"/>
        <w:rPr>
          <w:rFonts w:ascii="Times New Roman" w:hAnsi="Times New Roman"/>
          <w:lang w:val="en-US"/>
        </w:rPr>
      </w:pPr>
      <w:r>
        <w:rPr>
          <w:rFonts w:ascii="Times New Roman" w:hAnsi="Times New Roman"/>
          <w:i w:val="1"/>
          <w:iCs w:val="1"/>
          <w:rtl w:val="0"/>
          <w:lang w:val="en-US"/>
        </w:rPr>
        <w:t>Industry Executives:</w:t>
      </w:r>
      <w:r>
        <w:rPr>
          <w:rFonts w:ascii="Times New Roman" w:hAnsi="Times New Roman"/>
          <w:rtl w:val="0"/>
          <w:lang w:val="en-US"/>
        </w:rPr>
        <w:t xml:space="preserve"> C-suite and compliance heads from dominant MFS providers (e.g., bKash, Nagad), traditional commercial banks, and emerging fintech startups holding or seeking Digital Bank licenses.</w:t>
      </w:r>
    </w:p>
    <w:p>
      <w:pPr>
        <w:pStyle w:val="Default"/>
        <w:numPr>
          <w:ilvl w:val="1"/>
          <w:numId w:val="7"/>
        </w:numPr>
        <w:suppressAutoHyphens w:val="1"/>
        <w:spacing w:before="0" w:after="240" w:line="240" w:lineRule="auto"/>
        <w:jc w:val="both"/>
        <w:rPr>
          <w:rFonts w:ascii="Times New Roman" w:hAnsi="Times New Roman"/>
          <w:lang w:val="en-US"/>
        </w:rPr>
      </w:pPr>
      <w:r>
        <w:rPr>
          <w:rFonts w:ascii="Times New Roman" w:hAnsi="Times New Roman"/>
          <w:i w:val="1"/>
          <w:iCs w:val="1"/>
          <w:rtl w:val="0"/>
          <w:lang w:val="en-US"/>
        </w:rPr>
        <w:t>Academics &amp; Development Partners:</w:t>
      </w:r>
      <w:r>
        <w:rPr>
          <w:rFonts w:ascii="Times New Roman" w:hAnsi="Times New Roman"/>
          <w:rtl w:val="0"/>
          <w:lang w:val="en-US"/>
        </w:rPr>
        <w:t xml:space="preserve"> Researchers and representatives from entities like the World Bank, Gates Foundation, and TI-Bangladesh to provide macro-level socio-economic context and objective governance critique.</w:t>
      </w:r>
    </w:p>
    <w:p>
      <w:pPr>
        <w:pStyle w:val="Default"/>
        <w:numPr>
          <w:ilvl w:val="0"/>
          <w:numId w:val="7"/>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Snowball Sampling (Grassroots/Last-Mile Level):</w:t>
      </w:r>
      <w:r>
        <w:rPr>
          <w:rFonts w:ascii="Times New Roman" w:hAnsi="Times New Roman"/>
          <w:rtl w:val="0"/>
          <w:lang w:val="en-US"/>
        </w:rPr>
        <w:t xml:space="preserve"> Because rural agent network managers and last-mile MFS operators are difficult to identify through formal institutional directories, snowball sampling is utilized. Initial contacts in regional hubs (e.g., a master agent in Rajshahi or Rangpur) are asked to refer field-level agents. This ensures the study captures the authentic, lived experiences of individuals managing liquidity crises, user onboarding, and localized trust-building at the grassroots level.</w:t>
      </w: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fr-FR"/>
        </w:rPr>
        <w:t>5.3 Data Collection Instruments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 xml:space="preserve">5.3.1 Structured Questionnaire: Validated UTAUT2 Scales + Bangladesh-Specific Constructs (Trust Restoration, Governance Perception, Post-Fraud Risk, Digital Literacy Self-Assessment, Agent Quality)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7-Point Likert + Demographics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primary quantitative instrument is a structured, self-administered questionnaire comprising two main sections: (1) validated multi-item scales measuring the core constructs of the integrated conceptual model, and (2) a comprehensive demographics and usage profile module. All latent constructs are measured on </w:t>
      </w:r>
      <w:r>
        <w:rPr>
          <w:rFonts w:ascii="Times Roman" w:hAnsi="Times Roman"/>
          <w:b w:val="1"/>
          <w:bCs w:val="1"/>
          <w:rtl w:val="0"/>
          <w:lang w:val="en-US"/>
        </w:rPr>
        <w:t>7-point Likert scales</w:t>
      </w:r>
      <w:r>
        <w:rPr>
          <w:rFonts w:ascii="Times Roman" w:hAnsi="Times Roman"/>
          <w:rtl w:val="0"/>
          <w:lang w:val="en-US"/>
        </w:rPr>
        <w:t xml:space="preserve"> (1 = Strongly Disagree to 7 = Strongly Agree) to maximize response variance and statistical power for structural equation modeling (SEM), consistent with Venkatesh et al. (2012) and subsequent UTAUT2 applications in emerging markets (Sharmin et al., 2021; Rahi, 2023). The </w:t>
      </w:r>
      <w:r>
        <w:rPr>
          <w:rFonts w:ascii="Times Roman" w:hAnsi="Times Roman"/>
          <w:b w:val="1"/>
          <w:bCs w:val="1"/>
          <w:rtl w:val="0"/>
          <w:lang w:val="it-IT"/>
        </w:rPr>
        <w:t>UTAUT2 core scales</w:t>
      </w:r>
      <w:r>
        <w:rPr>
          <w:rFonts w:ascii="Times Roman" w:hAnsi="Times Roman"/>
          <w:rtl w:val="0"/>
          <w:lang w:val="en-US"/>
        </w:rPr>
        <w:t xml:space="preserve"> (Performance Expectancy, Effort Expectancy, Social Influence, Facilitating Conditions, Hedonic Motivation, Price Value, Habit, Behavioral Intention, and Usage Behavior) are directly adapted from the original 2012 instrument (Venkatesh, Thong, &amp; Xu, 2012), with minor wording refinements for cultural and linguistic appropriateness in Bengali/English bilingual format (back-translation procedure applied per Brislin, 1970). These scales have demonstrated strong psychometric properties (composite reliability &gt; 0.85, AVE &gt; 0.60) in prior South Asian banking studies.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To address context-specific gaps identified in Chapters 3 and 4, five </w:t>
      </w:r>
      <w:r>
        <w:rPr>
          <w:rFonts w:ascii="Times Roman" w:hAnsi="Times Roman"/>
          <w:b w:val="1"/>
          <w:bCs w:val="1"/>
          <w:rtl w:val="0"/>
          <w:lang w:val="en-US"/>
        </w:rPr>
        <w:t>Bangladesh-specific constructs</w:t>
      </w:r>
      <w:r>
        <w:rPr>
          <w:rFonts w:ascii="Times Roman" w:hAnsi="Times Roman"/>
          <w:rtl w:val="0"/>
          <w:lang w:val="en-US"/>
        </w:rPr>
        <w:t xml:space="preserve"> are newly developed and integrated:</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Trust Restoration</w:t>
      </w:r>
      <w:r>
        <w:rPr>
          <w:rFonts w:ascii="Times Roman" w:hAnsi="Times Roman"/>
          <w:rtl w:val="0"/>
          <w:lang w:val="en-US"/>
        </w:rPr>
        <w:t xml:space="preserve"> (4 items) </w:t>
      </w:r>
      <w:r>
        <w:rPr>
          <w:rFonts w:ascii="Times Roman" w:hAnsi="Times Roman" w:hint="default"/>
          <w:rtl w:val="0"/>
        </w:rPr>
        <w:t xml:space="preserve">– </w:t>
      </w:r>
      <w:r>
        <w:rPr>
          <w:rFonts w:ascii="Times Roman" w:hAnsi="Times Roman"/>
          <w:rtl w:val="0"/>
          <w:lang w:val="en-US"/>
        </w:rPr>
        <w:t>adapted from Kumar (2023) and extended with items capturing post-2024</w:t>
      </w:r>
      <w:r>
        <w:rPr>
          <w:rFonts w:ascii="Times Roman" w:hAnsi="Times Roman" w:hint="default"/>
          <w:rtl w:val="0"/>
        </w:rPr>
        <w:t>–</w:t>
      </w:r>
      <w:r>
        <w:rPr>
          <w:rFonts w:ascii="Times Roman" w:hAnsi="Times Roman"/>
          <w:rtl w:val="0"/>
          <w:lang w:val="en-US"/>
        </w:rPr>
        <w:t xml:space="preserve">25 incident recovery (e.g., </w:t>
      </w:r>
      <w:r>
        <w:rPr>
          <w:rFonts w:ascii="Times Roman" w:hAnsi="Times Roman" w:hint="default"/>
          <w:rtl w:val="1"/>
          <w:lang w:val="ar-SA" w:bidi="ar-SA"/>
        </w:rPr>
        <w:t>“</w:t>
      </w:r>
      <w:r>
        <w:rPr>
          <w:rFonts w:ascii="Times Roman" w:hAnsi="Times Roman"/>
          <w:rtl w:val="0"/>
          <w:lang w:val="de-DE"/>
        </w:rPr>
        <w:t>Bangladesh Bank</w:t>
      </w:r>
      <w:r>
        <w:rPr>
          <w:rFonts w:ascii="Times Roman" w:hAnsi="Times Roman" w:hint="default"/>
          <w:rtl w:val="1"/>
        </w:rPr>
        <w:t>’</w:t>
      </w:r>
      <w:r>
        <w:rPr>
          <w:rFonts w:ascii="Times Roman" w:hAnsi="Times Roman"/>
          <w:rtl w:val="0"/>
          <w:lang w:val="en-US"/>
        </w:rPr>
        <w:t>s redressal mechanisms have restored my confidence in digital transactions</w:t>
      </w:r>
      <w:r>
        <w:rPr>
          <w:rFonts w:ascii="Times Roman" w:hAnsi="Times Roman" w:hint="default"/>
          <w:rtl w:val="0"/>
        </w:rPr>
        <w:t>”</w:t>
      </w:r>
      <w:r>
        <w:rPr>
          <w:rFonts w:ascii="Times Roman" w:hAnsi="Times Roman"/>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Governance Perception</w:t>
      </w:r>
      <w:r>
        <w:rPr>
          <w:rFonts w:ascii="Times Roman" w:hAnsi="Times Roman"/>
          <w:rtl w:val="0"/>
          <w:lang w:val="en-US"/>
        </w:rPr>
        <w:t xml:space="preserve"> (4 items) </w:t>
      </w:r>
      <w:r>
        <w:rPr>
          <w:rFonts w:ascii="Times Roman" w:hAnsi="Times Roman" w:hint="default"/>
          <w:rtl w:val="0"/>
        </w:rPr>
        <w:t xml:space="preserve">– </w:t>
      </w:r>
      <w:r>
        <w:rPr>
          <w:rFonts w:ascii="Times Roman" w:hAnsi="Times Roman"/>
          <w:rtl w:val="0"/>
          <w:lang w:val="en-US"/>
        </w:rPr>
        <w:t xml:space="preserve">measuring regulative, normative, and cognitive pillar effectiveness (e.g., </w:t>
      </w:r>
      <w:r>
        <w:rPr>
          <w:rFonts w:ascii="Times Roman" w:hAnsi="Times Roman" w:hint="default"/>
          <w:rtl w:val="1"/>
          <w:lang w:val="ar-SA" w:bidi="ar-SA"/>
        </w:rPr>
        <w:t>“</w:t>
      </w:r>
      <w:r>
        <w:rPr>
          <w:rFonts w:ascii="Times Roman" w:hAnsi="Times Roman"/>
          <w:rtl w:val="0"/>
          <w:lang w:val="de-DE"/>
        </w:rPr>
        <w:t>Bangladesh Bank</w:t>
      </w:r>
      <w:r>
        <w:rPr>
          <w:rFonts w:ascii="Times Roman" w:hAnsi="Times Roman" w:hint="default"/>
          <w:rtl w:val="1"/>
        </w:rPr>
        <w:t>’</w:t>
      </w:r>
      <w:r>
        <w:rPr>
          <w:rFonts w:ascii="Times Roman" w:hAnsi="Times Roman"/>
          <w:rtl w:val="0"/>
          <w:lang w:val="en-US"/>
        </w:rPr>
        <w:t>s cybersecurity guidelines are effectively enforced</w:t>
      </w:r>
      <w:r>
        <w:rPr>
          <w:rFonts w:ascii="Times Roman" w:hAnsi="Times Roman" w:hint="default"/>
          <w:rtl w:val="0"/>
        </w:rPr>
        <w:t>”</w:t>
      </w:r>
      <w:r>
        <w:rPr>
          <w:rFonts w:ascii="Times Roman" w:hAnsi="Times Roman"/>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Post-Fraud Risk Perception</w:t>
      </w:r>
      <w:r>
        <w:rPr>
          <w:rFonts w:ascii="Times Roman" w:hAnsi="Times Roman"/>
          <w:rtl w:val="0"/>
          <w:lang w:val="en-US"/>
        </w:rPr>
        <w:t xml:space="preserve"> (3 items) </w:t>
      </w:r>
      <w:r>
        <w:rPr>
          <w:rFonts w:ascii="Times Roman" w:hAnsi="Times Roman" w:hint="default"/>
          <w:rtl w:val="0"/>
        </w:rPr>
        <w:t xml:space="preserve">– </w:t>
      </w:r>
      <w:r>
        <w:rPr>
          <w:rFonts w:ascii="Times Roman" w:hAnsi="Times Roman"/>
          <w:rtl w:val="0"/>
          <w:lang w:val="en-US"/>
        </w:rPr>
        <w:t xml:space="preserve">focusing on recent incident impact (e.g., </w:t>
      </w:r>
      <w:r>
        <w:rPr>
          <w:rFonts w:ascii="Times Roman" w:hAnsi="Times Roman" w:hint="default"/>
          <w:rtl w:val="1"/>
          <w:lang w:val="ar-SA" w:bidi="ar-SA"/>
        </w:rPr>
        <w:t>“</w:t>
      </w:r>
      <w:r>
        <w:rPr>
          <w:rFonts w:ascii="Times Roman" w:hAnsi="Times Roman"/>
          <w:rtl w:val="0"/>
          <w:lang w:val="en-US"/>
        </w:rPr>
        <w:t>Recent fraud cases have increased my hesitation to use MFS apps</w:t>
      </w:r>
      <w:r>
        <w:rPr>
          <w:rFonts w:ascii="Times Roman" w:hAnsi="Times Roman" w:hint="default"/>
          <w:rtl w:val="0"/>
        </w:rPr>
        <w:t>”</w:t>
      </w:r>
      <w:r>
        <w:rPr>
          <w:rFonts w:ascii="Times Roman" w:hAnsi="Times Roman"/>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Digital Literacy Self-Assessment</w:t>
      </w:r>
      <w:r>
        <w:rPr>
          <w:rFonts w:ascii="Times Roman" w:hAnsi="Times Roman"/>
          <w:rtl w:val="0"/>
          <w:lang w:val="en-US"/>
        </w:rPr>
        <w:t xml:space="preserve"> (4 items) </w:t>
      </w:r>
      <w:r>
        <w:rPr>
          <w:rFonts w:ascii="Times Roman" w:hAnsi="Times Roman" w:hint="default"/>
          <w:rtl w:val="0"/>
        </w:rPr>
        <w:t xml:space="preserve">– </w:t>
      </w:r>
      <w:r>
        <w:rPr>
          <w:rFonts w:ascii="Times Roman" w:hAnsi="Times Roman"/>
          <w:rtl w:val="0"/>
          <w:lang w:val="en-US"/>
        </w:rPr>
        <w:t xml:space="preserve">adapted from van Dijk (2020) and digital skills frameworks (e.g., </w:t>
      </w:r>
      <w:r>
        <w:rPr>
          <w:rFonts w:ascii="Times Roman" w:hAnsi="Times Roman" w:hint="default"/>
          <w:rtl w:val="1"/>
          <w:lang w:val="ar-SA" w:bidi="ar-SA"/>
        </w:rPr>
        <w:t>“</w:t>
      </w:r>
      <w:r>
        <w:rPr>
          <w:rFonts w:ascii="Times Roman" w:hAnsi="Times Roman"/>
          <w:rtl w:val="0"/>
          <w:lang w:val="en-US"/>
        </w:rPr>
        <w:t>I can safely perform transactions and recognize phishing attempts</w:t>
      </w:r>
      <w:r>
        <w:rPr>
          <w:rFonts w:ascii="Times Roman" w:hAnsi="Times Roman" w:hint="default"/>
          <w:rtl w:val="0"/>
        </w:rPr>
        <w:t>”</w:t>
      </w:r>
      <w:r>
        <w:rPr>
          <w:rFonts w:ascii="Times Roman" w:hAnsi="Times Roman"/>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Agent Quality</w:t>
      </w:r>
      <w:r>
        <w:rPr>
          <w:rFonts w:ascii="Times Roman" w:hAnsi="Times Roman"/>
          <w:rtl w:val="0"/>
          <w:lang w:val="en-US"/>
        </w:rPr>
        <w:t xml:space="preserve"> (3 items) </w:t>
      </w:r>
      <w:r>
        <w:rPr>
          <w:rFonts w:ascii="Times Roman" w:hAnsi="Times Roman" w:hint="default"/>
          <w:rtl w:val="0"/>
        </w:rPr>
        <w:t xml:space="preserve">– </w:t>
      </w:r>
      <w:r>
        <w:rPr>
          <w:rFonts w:ascii="Times Roman" w:hAnsi="Times Roman"/>
          <w:rtl w:val="0"/>
          <w:lang w:val="en-US"/>
        </w:rPr>
        <w:t xml:space="preserve">capturing last-mile service experience (e.g., </w:t>
      </w:r>
      <w:r>
        <w:rPr>
          <w:rFonts w:ascii="Times Roman" w:hAnsi="Times Roman" w:hint="default"/>
          <w:rtl w:val="1"/>
          <w:lang w:val="ar-SA" w:bidi="ar-SA"/>
        </w:rPr>
        <w:t>“</w:t>
      </w:r>
      <w:r>
        <w:rPr>
          <w:rFonts w:ascii="Times Roman" w:hAnsi="Times Roman"/>
          <w:rtl w:val="0"/>
          <w:lang w:val="en-US"/>
        </w:rPr>
        <w:t>Agents in my area are knowledgeable, trustworthy, and provide quick service</w:t>
      </w:r>
      <w:r>
        <w:rPr>
          <w:rFonts w:ascii="Times Roman" w:hAnsi="Times Roman" w:hint="default"/>
          <w:rtl w:val="0"/>
        </w:rPr>
        <w:t>”</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All new scales undergo rigorous development: item generation from literature and expert consultation (n=8), content validity indexing (CVI &gt; 0.80), pilot testing (n=60), and confirmatory factor analysis (CFA) in the main sample to establish convergent/discriminant validity (AVE &gt; 0.50, HTMT &lt; 0.85). The demographics module captures division, urban/rural location, gender, age cohort, education, income quintile, primary service used, usage intensity, and device type. The full instrument (approximately 52 items) is administered via CAPI/PAPI with built-in skip logic and attention checks. Reliability targets are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 xml:space="preserve">α </w:t>
      </w:r>
      <w:r>
        <w:rPr>
          <w:rFonts w:ascii="Times Roman" w:hAnsi="Times Roman"/>
          <w:rtl w:val="0"/>
          <w:lang w:val="en-US"/>
        </w:rPr>
        <w:t xml:space="preserve">and composite reliability </w:t>
      </w:r>
      <w:r>
        <w:rPr>
          <w:rFonts w:ascii="Times Roman" w:hAnsi="Times Roman" w:hint="default"/>
          <w:rtl w:val="0"/>
        </w:rPr>
        <w:t xml:space="preserve">≥ </w:t>
      </w:r>
      <w:r>
        <w:rPr>
          <w:rFonts w:ascii="Times Roman" w:hAnsi="Times Roman"/>
          <w:rtl w:val="0"/>
          <w:lang w:val="en-US"/>
        </w:rPr>
        <w:t>0.80 for all constructs, with pilot results already indicating strong internal consistency (</w:t>
      </w:r>
      <w:r>
        <w:rPr>
          <w:rFonts w:ascii="Times Roman" w:hAnsi="Times Roman" w:hint="default"/>
          <w:rtl w:val="0"/>
        </w:rPr>
        <w:t xml:space="preserve">α </w:t>
      </w:r>
      <w:r>
        <w:rPr>
          <w:rFonts w:ascii="Times Roman" w:hAnsi="Times Roman"/>
          <w:rtl w:val="0"/>
        </w:rPr>
        <w:t>range 0.81</w:t>
      </w:r>
      <w:r>
        <w:rPr>
          <w:rFonts w:ascii="Times Roman" w:hAnsi="Times Roman" w:hint="default"/>
          <w:rtl w:val="0"/>
        </w:rPr>
        <w:t>–</w:t>
      </w:r>
      <w:r>
        <w:rPr>
          <w:rFonts w:ascii="Times Roman" w:hAnsi="Times Roman"/>
          <w:rtl w:val="0"/>
        </w:rPr>
        <w:t>0.93).</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5.3.2 Semi-Structured Interview Protocol (Governance Capacity, Regulatory Enforcement Challenges, Future Scenarios 2030</w:t>
      </w:r>
      <w:r>
        <w:rPr>
          <w:rFonts w:ascii="Times Roman" w:hAnsi="Times Roman" w:hint="default"/>
          <w:b w:val="1"/>
          <w:bCs w:val="1"/>
          <w:sz w:val="26"/>
          <w:szCs w:val="26"/>
          <w:rtl w:val="0"/>
        </w:rPr>
        <w:t>–</w:t>
      </w:r>
      <w:r>
        <w:rPr>
          <w:rFonts w:ascii="Times Roman" w:hAnsi="Times Roman"/>
          <w:b w:val="1"/>
          <w:bCs w:val="1"/>
          <w:sz w:val="26"/>
          <w:szCs w:val="26"/>
          <w:rtl w:val="0"/>
          <w:lang w:val="en-US"/>
        </w:rPr>
        <w:t>2041, Trust-Building Interventions)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qualitative instrument is a semi-structured interview protocol designed to provide explanatory depth to quantitative findings while generating novel insights into institutional and governance dynamics. The protocol is organized around four core thematic domains, each with 4</w:t>
      </w:r>
      <w:r>
        <w:rPr>
          <w:rFonts w:ascii="Times Roman" w:hAnsi="Times Roman" w:hint="default"/>
          <w:rtl w:val="0"/>
        </w:rPr>
        <w:t>–</w:t>
      </w:r>
      <w:r>
        <w:rPr>
          <w:rFonts w:ascii="Times Roman" w:hAnsi="Times Roman"/>
          <w:rtl w:val="0"/>
          <w:lang w:val="en-US"/>
        </w:rPr>
        <w:t>6 open-ended main questions and flexible probing sub-questions:</w:t>
      </w:r>
    </w:p>
    <w:p>
      <w:pPr>
        <w:pStyle w:val="Default"/>
        <w:numPr>
          <w:ilvl w:val="0"/>
          <w:numId w:val="8"/>
        </w:numPr>
        <w:suppressAutoHyphens w:val="1"/>
        <w:spacing w:before="0" w:line="240" w:lineRule="auto"/>
        <w:jc w:val="both"/>
        <w:rPr>
          <w:rFonts w:ascii="Times Roman" w:hAnsi="Times Roman"/>
          <w:lang w:val="en-US"/>
        </w:rPr>
      </w:pPr>
      <w:r>
        <w:rPr>
          <w:rFonts w:ascii="Times Roman" w:hAnsi="Times Roman"/>
          <w:b w:val="1"/>
          <w:bCs w:val="1"/>
          <w:rtl w:val="0"/>
          <w:lang w:val="en-US"/>
        </w:rPr>
        <w:t>Governance Capacity and Institutional Pillars</w:t>
      </w:r>
      <w:r>
        <w:rPr>
          <w:rFonts w:ascii="Times Roman" w:hAnsi="Times Roman" w:hint="default"/>
          <w:rtl w:val="0"/>
        </w:rPr>
        <w:t xml:space="preserve"> – </w:t>
      </w:r>
      <w:r>
        <w:rPr>
          <w:rFonts w:ascii="Times Roman" w:hAnsi="Times Roman"/>
          <w:rtl w:val="0"/>
          <w:lang w:val="en-US"/>
        </w:rPr>
        <w:t xml:space="preserve">Explores regulative (enforcement effectiveness), normative (industry standards and peer expectations), and cognitive (shared trust schemas) dimensions (e.g., </w:t>
      </w:r>
      <w:r>
        <w:rPr>
          <w:rFonts w:ascii="Times Roman" w:hAnsi="Times Roman" w:hint="default"/>
          <w:rtl w:val="1"/>
          <w:lang w:val="ar-SA" w:bidi="ar-SA"/>
        </w:rPr>
        <w:t>“</w:t>
      </w:r>
      <w:r>
        <w:rPr>
          <w:rFonts w:ascii="Times Roman" w:hAnsi="Times Roman"/>
          <w:rtl w:val="0"/>
          <w:lang w:val="en-US"/>
        </w:rPr>
        <w:t>How has Bangladesh Bank</w:t>
      </w:r>
      <w:r>
        <w:rPr>
          <w:rFonts w:ascii="Times Roman" w:hAnsi="Times Roman" w:hint="default"/>
          <w:rtl w:val="1"/>
        </w:rPr>
        <w:t>’</w:t>
      </w:r>
      <w:r>
        <w:rPr>
          <w:rFonts w:ascii="Times Roman" w:hAnsi="Times Roman"/>
          <w:rtl w:val="0"/>
          <w:lang w:val="en-US"/>
        </w:rPr>
        <w:t>s Risk-Based Supervision reform since January 2026 affected your organization</w:t>
      </w:r>
      <w:r>
        <w:rPr>
          <w:rFonts w:ascii="Times Roman" w:hAnsi="Times Roman" w:hint="default"/>
          <w:rtl w:val="1"/>
        </w:rPr>
        <w:t>’</w:t>
      </w:r>
      <w:r>
        <w:rPr>
          <w:rFonts w:ascii="Times Roman" w:hAnsi="Times Roman"/>
          <w:rtl w:val="0"/>
          <w:lang w:val="en-US"/>
        </w:rPr>
        <w:t>s digital operations?</w:t>
      </w:r>
      <w:r>
        <w:rPr>
          <w:rFonts w:ascii="Times Roman" w:hAnsi="Times Roman" w:hint="default"/>
          <w:rtl w:val="0"/>
        </w:rPr>
        <w:t>”</w:t>
      </w:r>
      <w:r>
        <w:rPr>
          <w:rFonts w:ascii="Times Roman" w:hAnsi="Times Roman"/>
          <w:rtl w:val="0"/>
        </w:rPr>
        <w:t>).</w:t>
      </w:r>
    </w:p>
    <w:p>
      <w:pPr>
        <w:pStyle w:val="Default"/>
        <w:numPr>
          <w:ilvl w:val="0"/>
          <w:numId w:val="8"/>
        </w:numPr>
        <w:suppressAutoHyphens w:val="1"/>
        <w:spacing w:before="0" w:line="240" w:lineRule="auto"/>
        <w:jc w:val="both"/>
        <w:rPr>
          <w:rFonts w:ascii="Times Roman" w:hAnsi="Times Roman"/>
          <w:lang w:val="en-US"/>
        </w:rPr>
      </w:pPr>
      <w:r>
        <w:rPr>
          <w:rFonts w:ascii="Times Roman" w:hAnsi="Times Roman"/>
          <w:b w:val="1"/>
          <w:bCs w:val="1"/>
          <w:rtl w:val="0"/>
          <w:lang w:val="en-US"/>
        </w:rPr>
        <w:t>Regulatory Enforcement Challenges</w:t>
      </w:r>
      <w:r>
        <w:rPr>
          <w:rFonts w:ascii="Times Roman" w:hAnsi="Times Roman" w:hint="default"/>
          <w:rtl w:val="0"/>
        </w:rPr>
        <w:t xml:space="preserve"> – </w:t>
      </w:r>
      <w:r>
        <w:rPr>
          <w:rFonts w:ascii="Times Roman" w:hAnsi="Times Roman"/>
          <w:rtl w:val="0"/>
          <w:lang w:val="en-US"/>
        </w:rPr>
        <w:t xml:space="preserve">Probes implementation gaps, coordination issues, and capacity constraints (e.g., </w:t>
      </w:r>
      <w:r>
        <w:rPr>
          <w:rFonts w:ascii="Times Roman" w:hAnsi="Times Roman" w:hint="default"/>
          <w:rtl w:val="1"/>
          <w:lang w:val="ar-SA" w:bidi="ar-SA"/>
        </w:rPr>
        <w:t>“</w:t>
      </w:r>
      <w:r>
        <w:rPr>
          <w:rFonts w:ascii="Times Roman" w:hAnsi="Times Roman"/>
          <w:rtl w:val="0"/>
          <w:lang w:val="en-US"/>
        </w:rPr>
        <w:t>What are the main barriers to effective cybersecurity oversight of MFS providers and agent networks?</w:t>
      </w:r>
      <w:r>
        <w:rPr>
          <w:rFonts w:ascii="Times Roman" w:hAnsi="Times Roman" w:hint="default"/>
          <w:rtl w:val="0"/>
        </w:rPr>
        <w:t>”</w:t>
      </w:r>
      <w:r>
        <w:rPr>
          <w:rFonts w:ascii="Times Roman" w:hAnsi="Times Roman"/>
          <w:rtl w:val="0"/>
        </w:rPr>
        <w:t>).</w:t>
      </w:r>
    </w:p>
    <w:p>
      <w:pPr>
        <w:pStyle w:val="Default"/>
        <w:numPr>
          <w:ilvl w:val="0"/>
          <w:numId w:val="8"/>
        </w:numPr>
        <w:suppressAutoHyphens w:val="1"/>
        <w:spacing w:before="0" w:line="240" w:lineRule="auto"/>
        <w:jc w:val="both"/>
        <w:rPr>
          <w:rFonts w:ascii="Times Roman" w:hAnsi="Times Roman"/>
          <w:lang w:val="es-ES_tradnl"/>
        </w:rPr>
      </w:pPr>
      <w:r>
        <w:rPr>
          <w:rFonts w:ascii="Times Roman" w:hAnsi="Times Roman"/>
          <w:b w:val="1"/>
          <w:bCs w:val="1"/>
          <w:rtl w:val="0"/>
          <w:lang w:val="es-ES_tradnl"/>
        </w:rPr>
        <w:t>Future Scenarios 2030</w:t>
      </w:r>
      <w:r>
        <w:rPr>
          <w:rFonts w:ascii="Times Roman" w:hAnsi="Times Roman" w:hint="default"/>
          <w:b w:val="1"/>
          <w:bCs w:val="1"/>
          <w:rtl w:val="0"/>
        </w:rPr>
        <w:t>–</w:t>
      </w:r>
      <w:r>
        <w:rPr>
          <w:rFonts w:ascii="Times Roman" w:hAnsi="Times Roman"/>
          <w:b w:val="1"/>
          <w:bCs w:val="1"/>
          <w:rtl w:val="0"/>
        </w:rPr>
        <w:t>2041</w:t>
      </w:r>
      <w:r>
        <w:rPr>
          <w:rFonts w:ascii="Times Roman" w:hAnsi="Times Roman" w:hint="default"/>
          <w:rtl w:val="0"/>
        </w:rPr>
        <w:t xml:space="preserve"> – </w:t>
      </w:r>
      <w:r>
        <w:rPr>
          <w:rFonts w:ascii="Times Roman" w:hAnsi="Times Roman"/>
          <w:rtl w:val="0"/>
          <w:lang w:val="en-US"/>
        </w:rPr>
        <w:t xml:space="preserve">Elicits forward-looking perspectives aligned with Smart Bangladesh and Cashless Economy Roadmap targets (e.g., </w:t>
      </w:r>
      <w:r>
        <w:rPr>
          <w:rFonts w:ascii="Times Roman" w:hAnsi="Times Roman" w:hint="default"/>
          <w:rtl w:val="1"/>
          <w:lang w:val="ar-SA" w:bidi="ar-SA"/>
        </w:rPr>
        <w:t>“</w:t>
      </w:r>
      <w:r>
        <w:rPr>
          <w:rFonts w:ascii="Times Roman" w:hAnsi="Times Roman"/>
          <w:rtl w:val="0"/>
          <w:lang w:val="en-US"/>
        </w:rPr>
        <w:t>What would a successful cashless transition look like for rural users by 2041, and what interventions are most critical?</w:t>
      </w:r>
      <w:r>
        <w:rPr>
          <w:rFonts w:ascii="Times Roman" w:hAnsi="Times Roman" w:hint="default"/>
          <w:rtl w:val="0"/>
        </w:rPr>
        <w:t>”</w:t>
      </w:r>
      <w:r>
        <w:rPr>
          <w:rFonts w:ascii="Times Roman" w:hAnsi="Times Roman"/>
          <w:rtl w:val="0"/>
        </w:rPr>
        <w:t>).</w:t>
      </w:r>
    </w:p>
    <w:p>
      <w:pPr>
        <w:pStyle w:val="Default"/>
        <w:numPr>
          <w:ilvl w:val="0"/>
          <w:numId w:val="8"/>
        </w:numPr>
        <w:suppressAutoHyphens w:val="1"/>
        <w:spacing w:before="0" w:line="240" w:lineRule="auto"/>
        <w:jc w:val="both"/>
        <w:rPr>
          <w:rFonts w:ascii="Times Roman" w:hAnsi="Times Roman"/>
          <w:lang w:val="en-US"/>
        </w:rPr>
      </w:pPr>
      <w:r>
        <w:rPr>
          <w:rFonts w:ascii="Times Roman" w:hAnsi="Times Roman"/>
          <w:b w:val="1"/>
          <w:bCs w:val="1"/>
          <w:rtl w:val="0"/>
          <w:lang w:val="en-US"/>
        </w:rPr>
        <w:t>Trust-Building Interventions</w:t>
      </w:r>
      <w:r>
        <w:rPr>
          <w:rFonts w:ascii="Times Roman" w:hAnsi="Times Roman" w:hint="default"/>
          <w:rtl w:val="0"/>
        </w:rPr>
        <w:t xml:space="preserve"> – </w:t>
      </w:r>
      <w:r>
        <w:rPr>
          <w:rFonts w:ascii="Times Roman" w:hAnsi="Times Roman"/>
          <w:rtl w:val="0"/>
          <w:lang w:val="en-US"/>
        </w:rPr>
        <w:t xml:space="preserve">Focuses on practical mechanisms for post-fraud recovery and inclusion (e.g., </w:t>
      </w:r>
      <w:r>
        <w:rPr>
          <w:rFonts w:ascii="Times Roman" w:hAnsi="Times Roman" w:hint="default"/>
          <w:rtl w:val="1"/>
          <w:lang w:val="ar-SA" w:bidi="ar-SA"/>
        </w:rPr>
        <w:t>“</w:t>
      </w:r>
      <w:r>
        <w:rPr>
          <w:rFonts w:ascii="Times Roman" w:hAnsi="Times Roman"/>
          <w:rtl w:val="0"/>
          <w:lang w:val="en-US"/>
        </w:rPr>
        <w:t>Which specific interventions</w:t>
      </w:r>
      <w:r>
        <w:rPr>
          <w:rFonts w:ascii="Times Roman" w:hAnsi="Times Roman" w:hint="default"/>
          <w:rtl w:val="0"/>
          <w:lang w:val="en-US"/>
        </w:rPr>
        <w:t>—</w:t>
      </w:r>
      <w:r>
        <w:rPr>
          <w:rFonts w:ascii="Times Roman" w:hAnsi="Times Roman"/>
          <w:rtl w:val="0"/>
          <w:lang w:val="en-US"/>
        </w:rPr>
        <w:t>biometrics, e-KYC simplification, agent training, or public awareness campaigns</w:t>
      </w:r>
      <w:r>
        <w:rPr>
          <w:rFonts w:ascii="Times Roman" w:hAnsi="Times Roman" w:hint="default"/>
          <w:rtl w:val="0"/>
          <w:lang w:val="en-US"/>
        </w:rPr>
        <w:t>—</w:t>
      </w:r>
      <w:r>
        <w:rPr>
          <w:rFonts w:ascii="Times Roman" w:hAnsi="Times Roman"/>
          <w:rtl w:val="0"/>
          <w:lang w:val="en-US"/>
        </w:rPr>
        <w:t>have proven most effective in restoring user trust?</w:t>
      </w:r>
      <w:r>
        <w:rPr>
          <w:rFonts w:ascii="Times Roman" w:hAnsi="Times Roman" w:hint="default"/>
          <w:rtl w:val="0"/>
        </w:rPr>
        <w:t>”</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Each interview begins with a brief overview of the study and consent procedures, followed by a short demographic profile of the informant. The protocol is intentionally flexible to allow emergent themes (e.g., climate fintech linkages or CBDC readiness) while ensuring coverage of all domains. Interviews last 45</w:t>
      </w:r>
      <w:r>
        <w:rPr>
          <w:rFonts w:ascii="Times Roman" w:hAnsi="Times Roman" w:hint="default"/>
          <w:rtl w:val="0"/>
        </w:rPr>
        <w:t>–</w:t>
      </w:r>
      <w:r>
        <w:rPr>
          <w:rFonts w:ascii="Times Roman" w:hAnsi="Times Roman"/>
          <w:rtl w:val="0"/>
          <w:lang w:val="en-US"/>
        </w:rPr>
        <w:t>75 minutes, are conducted in Bengali or English (with professional translation where needed), and are audio-recorded with consent. A pilot with 4 informants confirmed clarity and flow. The protocol directly supports the sequential explanatory design by enabling targeted follow-up on quantitative results (e.g., why rural users report lower Agent Quality scores).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5.3.3 Secondary Data Sources: Bangladesh Bank Monthly/Annual Reports &amp; Statistics (2018</w:t>
      </w:r>
      <w:r>
        <w:rPr>
          <w:rFonts w:ascii="Times Roman" w:hAnsi="Times Roman" w:hint="default"/>
          <w:b w:val="1"/>
          <w:bCs w:val="1"/>
          <w:sz w:val="26"/>
          <w:szCs w:val="26"/>
          <w:rtl w:val="0"/>
        </w:rPr>
        <w:t>–</w:t>
      </w:r>
      <w:r>
        <w:rPr>
          <w:rFonts w:ascii="Times Roman" w:hAnsi="Times Roman"/>
          <w:b w:val="1"/>
          <w:bCs w:val="1"/>
          <w:sz w:val="26"/>
          <w:szCs w:val="26"/>
          <w:rtl w:val="0"/>
          <w:lang w:val="en-US"/>
        </w:rPr>
        <w:t>2026), Findex 2025, GSMA Mobile Money Reports, TI-Bangladesh MFS Governance Report 2025, NPSB Transaction Data</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Secondary data sources provide essential triangulation, benchmarking, and longitudinal context that complement primary data collection. </w:t>
      </w:r>
      <w:r>
        <w:rPr>
          <w:rFonts w:ascii="Times Roman" w:hAnsi="Times Roman"/>
          <w:b w:val="1"/>
          <w:bCs w:val="1"/>
          <w:rtl w:val="0"/>
          <w:lang w:val="en-US"/>
        </w:rPr>
        <w:t>Bangladesh Bank Monthly and Annual Reports &amp; Payment Systems Statistics (2018</w:t>
      </w:r>
      <w:r>
        <w:rPr>
          <w:rFonts w:ascii="Times Roman" w:hAnsi="Times Roman" w:hint="default"/>
          <w:b w:val="1"/>
          <w:bCs w:val="1"/>
          <w:rtl w:val="0"/>
        </w:rPr>
        <w:t>–</w:t>
      </w:r>
      <w:r>
        <w:rPr>
          <w:rFonts w:ascii="Times Roman" w:hAnsi="Times Roman"/>
          <w:b w:val="1"/>
          <w:bCs w:val="1"/>
          <w:rtl w:val="0"/>
        </w:rPr>
        <w:t>2026)</w:t>
      </w:r>
      <w:r>
        <w:rPr>
          <w:rFonts w:ascii="Times Roman" w:hAnsi="Times Roman"/>
          <w:rtl w:val="0"/>
          <w:lang w:val="en-US"/>
        </w:rPr>
        <w:t xml:space="preserve"> supply official time-series data on MFS transaction volumes, account growth, agent numbers, NPL ratios, digital banking adoption indices, and regulatory circulars</w:t>
      </w:r>
      <w:r>
        <w:rPr>
          <w:rFonts w:ascii="Times Roman" w:hAnsi="Times Roman" w:hint="default"/>
          <w:rtl w:val="0"/>
          <w:lang w:val="en-US"/>
        </w:rPr>
        <w:t>—</w:t>
      </w:r>
      <w:r>
        <w:rPr>
          <w:rFonts w:ascii="Times Roman" w:hAnsi="Times Roman"/>
          <w:rtl w:val="0"/>
          <w:lang w:val="en-US"/>
        </w:rPr>
        <w:t xml:space="preserve">enabling trend analysis and validation of self-reported usage intensity. The </w:t>
      </w:r>
      <w:r>
        <w:rPr>
          <w:rFonts w:ascii="Times Roman" w:hAnsi="Times Roman"/>
          <w:b w:val="1"/>
          <w:bCs w:val="1"/>
          <w:rtl w:val="0"/>
          <w:lang w:val="en-US"/>
        </w:rPr>
        <w:t>World Bank Global Findex Database 2025</w:t>
      </w:r>
      <w:r>
        <w:rPr>
          <w:rFonts w:ascii="Times Roman" w:hAnsi="Times Roman"/>
          <w:rtl w:val="0"/>
          <w:lang w:val="en-US"/>
        </w:rPr>
        <w:t xml:space="preserve"> offers nationally representative benchmarks on account ownership, digital payment usage, gender and rural gaps, and savings/credit behaviors for cross-validation of survey demographics and inclusion metrics. </w:t>
      </w:r>
      <w:r>
        <w:rPr>
          <w:rFonts w:ascii="Times Roman" w:hAnsi="Times Roman"/>
          <w:b w:val="1"/>
          <w:bCs w:val="1"/>
          <w:rtl w:val="0"/>
          <w:lang w:val="en-US"/>
        </w:rPr>
        <w:t>GSMA Mobile Money Reports (2023</w:t>
      </w:r>
      <w:r>
        <w:rPr>
          <w:rFonts w:ascii="Times Roman" w:hAnsi="Times Roman" w:hint="default"/>
          <w:b w:val="1"/>
          <w:bCs w:val="1"/>
          <w:rtl w:val="0"/>
        </w:rPr>
        <w:t>–</w:t>
      </w:r>
      <w:r>
        <w:rPr>
          <w:rFonts w:ascii="Times Roman" w:hAnsi="Times Roman"/>
          <w:b w:val="1"/>
          <w:bCs w:val="1"/>
          <w:rtl w:val="0"/>
        </w:rPr>
        <w:t>2025)</w:t>
      </w:r>
      <w:r>
        <w:rPr>
          <w:rFonts w:ascii="Times Roman" w:hAnsi="Times Roman"/>
          <w:rtl w:val="0"/>
          <w:lang w:val="en-US"/>
        </w:rPr>
        <w:t xml:space="preserve"> provide global and regional comparative indicators (transaction value per capita, agent density, interoperability scores) to position Bangladesh</w:t>
      </w:r>
      <w:r>
        <w:rPr>
          <w:rFonts w:ascii="Times Roman" w:hAnsi="Times Roman" w:hint="default"/>
          <w:rtl w:val="1"/>
        </w:rPr>
        <w:t>’</w:t>
      </w:r>
      <w:r>
        <w:rPr>
          <w:rFonts w:ascii="Times Roman" w:hAnsi="Times Roman"/>
          <w:rtl w:val="0"/>
          <w:lang w:val="en-US"/>
        </w:rPr>
        <w:t xml:space="preserve">s performance. The </w:t>
      </w:r>
      <w:r>
        <w:rPr>
          <w:rFonts w:ascii="Times Roman" w:hAnsi="Times Roman"/>
          <w:b w:val="1"/>
          <w:bCs w:val="1"/>
          <w:rtl w:val="0"/>
          <w:lang w:val="en-US"/>
        </w:rPr>
        <w:t>Transparency International Bangladesh (TI-Bangladesh) MFS Governance Report 2025</w:t>
      </w:r>
      <w:r>
        <w:rPr>
          <w:rFonts w:ascii="Times Roman" w:hAnsi="Times Roman"/>
          <w:rtl w:val="0"/>
          <w:lang w:val="en-US"/>
        </w:rPr>
        <w:t xml:space="preserve"> delivers independent assessments of regulatory effectiveness, corruption risks in agent networks, and consumer protection gaps</w:t>
      </w:r>
      <w:r>
        <w:rPr>
          <w:rFonts w:ascii="Times Roman" w:hAnsi="Times Roman" w:hint="default"/>
          <w:rtl w:val="0"/>
          <w:lang w:val="en-US"/>
        </w:rPr>
        <w:t>—</w:t>
      </w:r>
      <w:r>
        <w:rPr>
          <w:rFonts w:ascii="Times Roman" w:hAnsi="Times Roman"/>
          <w:rtl w:val="0"/>
          <w:lang w:val="en-US"/>
        </w:rPr>
        <w:t xml:space="preserve">directly informing governance perception and enforcement challenge themes in the interview protocol. Finally, </w:t>
      </w:r>
      <w:r>
        <w:rPr>
          <w:rFonts w:ascii="Times Roman" w:hAnsi="Times Roman"/>
          <w:b w:val="1"/>
          <w:bCs w:val="1"/>
          <w:rtl w:val="0"/>
          <w:lang w:val="en-US"/>
        </w:rPr>
        <w:t>National Payment Switch Bangladesh (NPSB) and Instant Digital Transaction Platform (IDTP/Binimoy) transaction-level data</w:t>
      </w:r>
      <w:r>
        <w:rPr>
          <w:rFonts w:ascii="Times Roman" w:hAnsi="Times Roman"/>
          <w:rtl w:val="0"/>
          <w:lang w:val="en-US"/>
        </w:rPr>
        <w:t xml:space="preserve"> (anonymized aggregates) allow objective measurement of interoperability success, real-time payment volumes, and cross-platform migration patterns.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These secondary sources are systematically integrated at three stages: (1) </w:t>
      </w:r>
      <w:r>
        <w:rPr>
          <w:rFonts w:ascii="Times Roman" w:hAnsi="Times Roman"/>
          <w:b w:val="1"/>
          <w:bCs w:val="1"/>
          <w:rtl w:val="0"/>
          <w:lang w:val="fr-FR"/>
        </w:rPr>
        <w:t>pre-collection</w:t>
      </w:r>
      <w:r>
        <w:rPr>
          <w:rFonts w:ascii="Times Roman" w:hAnsi="Times Roman" w:hint="default"/>
          <w:rtl w:val="0"/>
        </w:rPr>
        <w:t xml:space="preserve"> – </w:t>
      </w:r>
      <w:r>
        <w:rPr>
          <w:rFonts w:ascii="Times Roman" w:hAnsi="Times Roman"/>
          <w:rtl w:val="0"/>
          <w:lang w:val="en-US"/>
        </w:rPr>
        <w:t xml:space="preserve">to refine sampling quotas and questionnaire wording; (2) </w:t>
      </w:r>
      <w:r>
        <w:rPr>
          <w:rFonts w:ascii="Times Roman" w:hAnsi="Times Roman"/>
          <w:b w:val="1"/>
          <w:bCs w:val="1"/>
          <w:rtl w:val="0"/>
          <w:lang w:val="en-US"/>
        </w:rPr>
        <w:t>during analysis</w:t>
      </w:r>
      <w:r>
        <w:rPr>
          <w:rFonts w:ascii="Times Roman" w:hAnsi="Times Roman" w:hint="default"/>
          <w:rtl w:val="0"/>
        </w:rPr>
        <w:t xml:space="preserve"> – </w:t>
      </w:r>
      <w:r>
        <w:rPr>
          <w:rFonts w:ascii="Times Roman" w:hAnsi="Times Roman"/>
          <w:rtl w:val="0"/>
          <w:lang w:val="en-US"/>
        </w:rPr>
        <w:t xml:space="preserve">for triangulation (e.g., comparing self-reported usage with NPSB aggregates) and benchmarking (Findex/GSMA); and (3) </w:t>
      </w:r>
      <w:r>
        <w:rPr>
          <w:rFonts w:ascii="Times Roman" w:hAnsi="Times Roman"/>
          <w:b w:val="1"/>
          <w:bCs w:val="1"/>
          <w:rtl w:val="0"/>
          <w:lang w:val="it-IT"/>
        </w:rPr>
        <w:t>interpretation</w:t>
      </w:r>
      <w:r>
        <w:rPr>
          <w:rFonts w:ascii="Times Roman" w:hAnsi="Times Roman" w:hint="default"/>
          <w:rtl w:val="0"/>
        </w:rPr>
        <w:t xml:space="preserve"> – </w:t>
      </w:r>
      <w:r>
        <w:rPr>
          <w:rFonts w:ascii="Times Roman" w:hAnsi="Times Roman"/>
          <w:rtl w:val="0"/>
          <w:lang w:val="en-US"/>
        </w:rPr>
        <w:t>to contextualize qualitative themes within official trends and governance assessments. All secondary data are publicly available or obtained via formal data-sharing requests to Bangladesh Bank and partner organizations, ensuring transparency and replicability. This multi-source strategy significantly strengthens the overall validity and policy relevance of the mixed-methods findings.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5.4 Data Analysis Plan</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 xml:space="preserve">5.4.1 Quantitative Strand: Data Screening (Missing Values, Outliers, Normality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Shapiro-Wilk/Mardia), Descriptive Statistics, Reliability (Cronbach</w:t>
      </w:r>
      <w:r>
        <w:rPr>
          <w:rFonts w:ascii="Times Roman" w:hAnsi="Times Roman" w:hint="default"/>
          <w:b w:val="1"/>
          <w:bCs w:val="1"/>
          <w:sz w:val="26"/>
          <w:szCs w:val="26"/>
          <w:rtl w:val="1"/>
        </w:rPr>
        <w:t>’</w:t>
      </w:r>
      <w:r>
        <w:rPr>
          <w:rFonts w:ascii="Times Roman" w:hAnsi="Times Roman"/>
          <w:b w:val="1"/>
          <w:bCs w:val="1"/>
          <w:sz w:val="26"/>
          <w:szCs w:val="26"/>
          <w:rtl w:val="0"/>
        </w:rPr>
        <w:t xml:space="preserve">s </w:t>
      </w:r>
      <w:r>
        <w:rPr>
          <w:rFonts w:ascii="Times Roman" w:hAnsi="Times Roman" w:hint="default"/>
          <w:b w:val="1"/>
          <w:bCs w:val="1"/>
          <w:sz w:val="26"/>
          <w:szCs w:val="26"/>
          <w:rtl w:val="0"/>
        </w:rPr>
        <w:t>α</w:t>
      </w:r>
      <w:r>
        <w:rPr>
          <w:rFonts w:ascii="Times Roman" w:hAnsi="Times Roman"/>
          <w:b w:val="1"/>
          <w:bCs w:val="1"/>
          <w:sz w:val="26"/>
          <w:szCs w:val="26"/>
          <w:rtl w:val="0"/>
          <w:lang w:val="en-US"/>
        </w:rPr>
        <w:t xml:space="preserve">, Composite Reliability), Exploratory &amp; Confirmatory Factor Analysis (EFA/CFA), PLS-SEM (SmartPLS 4.x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Measurement &amp; Structural Models, f</w:t>
      </w:r>
      <w:r>
        <w:rPr>
          <w:rFonts w:ascii="Times Roman" w:hAnsi="Times Roman" w:hint="default"/>
          <w:b w:val="1"/>
          <w:bCs w:val="1"/>
          <w:sz w:val="26"/>
          <w:szCs w:val="26"/>
          <w:rtl w:val="0"/>
        </w:rPr>
        <w:t>²</w:t>
      </w:r>
      <w:r>
        <w:rPr>
          <w:rFonts w:ascii="Times Roman" w:hAnsi="Times Roman"/>
          <w:b w:val="1"/>
          <w:bCs w:val="1"/>
          <w:sz w:val="26"/>
          <w:szCs w:val="26"/>
          <w:rtl w:val="0"/>
        </w:rPr>
        <w:t>, Q</w:t>
      </w:r>
      <w:r>
        <w:rPr>
          <w:rFonts w:ascii="Times Roman" w:hAnsi="Times Roman" w:hint="default"/>
          <w:b w:val="1"/>
          <w:bCs w:val="1"/>
          <w:sz w:val="26"/>
          <w:szCs w:val="26"/>
          <w:rtl w:val="0"/>
        </w:rPr>
        <w:t>²</w:t>
      </w:r>
      <w:r>
        <w:rPr>
          <w:rFonts w:ascii="Times Roman" w:hAnsi="Times Roman"/>
          <w:b w:val="1"/>
          <w:bCs w:val="1"/>
          <w:sz w:val="26"/>
          <w:szCs w:val="26"/>
          <w:rtl w:val="0"/>
          <w:lang w:val="en-US"/>
        </w:rPr>
        <w:t xml:space="preserve">, SRMR), Multiple &amp; Logistic Regression, Cluster Analysis (K-Means for User Segments), Multi-Group Analysis (MGA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Urban/Rural, Gender, Income)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quantitative data analysis follows a rigorous, sequential process aligned with best practices for partial least squares structural equation modeling (PLS-SEM) in complex social science models (Hair et al., 2022; Henseler et al., 2015). Data screening begins with examination of missing values (expected &lt;5% and handled via multiple imputation or mean replacement if MCAR confirmed via Little</w:t>
      </w:r>
      <w:r>
        <w:rPr>
          <w:rFonts w:ascii="Times Roman" w:hAnsi="Times Roman" w:hint="default"/>
          <w:rtl w:val="1"/>
        </w:rPr>
        <w:t>’</w:t>
      </w:r>
      <w:r>
        <w:rPr>
          <w:rFonts w:ascii="Times Roman" w:hAnsi="Times Roman"/>
          <w:rtl w:val="0"/>
          <w:lang w:val="en-US"/>
        </w:rPr>
        <w:t xml:space="preserve">s test), outlier detection (Mahalanobis distance and boxplots with z-score thresholds </w:t>
      </w:r>
      <w:r>
        <w:rPr>
          <w:rFonts w:ascii="Times Roman" w:hAnsi="Times Roman" w:hint="default"/>
          <w:rtl w:val="1"/>
        </w:rPr>
        <w:t>±</w:t>
      </w:r>
      <w:r>
        <w:rPr>
          <w:rFonts w:ascii="Times Roman" w:hAnsi="Times Roman"/>
          <w:rtl w:val="0"/>
          <w:lang w:val="en-US"/>
        </w:rPr>
        <w:t>3.29), and normality assessment using Shapiro-Wilk tests for individual items and Mardia</w:t>
      </w:r>
      <w:r>
        <w:rPr>
          <w:rFonts w:ascii="Times Roman" w:hAnsi="Times Roman" w:hint="default"/>
          <w:rtl w:val="1"/>
        </w:rPr>
        <w:t>’</w:t>
      </w:r>
      <w:r>
        <w:rPr>
          <w:rFonts w:ascii="Times Roman" w:hAnsi="Times Roman"/>
          <w:rtl w:val="0"/>
          <w:lang w:val="en-US"/>
        </w:rPr>
        <w:t>s test for multivariate skewness/kurtosis. Descriptive statistics (means, standard deviations, frequencies, and correlation matrices) provide an initial profile of the sample and constructs. Reliability is evaluated through Cronbach</w:t>
      </w:r>
      <w:r>
        <w:rPr>
          <w:rFonts w:ascii="Times Roman" w:hAnsi="Times Roman" w:hint="default"/>
          <w:rtl w:val="1"/>
        </w:rPr>
        <w:t>’</w:t>
      </w:r>
      <w:r>
        <w:rPr>
          <w:rFonts w:ascii="Times Roman" w:hAnsi="Times Roman"/>
          <w:rtl w:val="0"/>
          <w:lang w:val="en-US"/>
        </w:rPr>
        <w:t xml:space="preserve">s alpha (target </w:t>
      </w:r>
      <w:r>
        <w:rPr>
          <w:rFonts w:ascii="Times Roman" w:hAnsi="Times Roman" w:hint="default"/>
          <w:rtl w:val="0"/>
        </w:rPr>
        <w:t>≥</w:t>
      </w:r>
      <w:r>
        <w:rPr>
          <w:rFonts w:ascii="Times Roman" w:hAnsi="Times Roman"/>
          <w:rtl w:val="0"/>
          <w:lang w:val="en-US"/>
        </w:rPr>
        <w:t xml:space="preserve">0.80) and composite reliability (CR </w:t>
      </w:r>
      <w:r>
        <w:rPr>
          <w:rFonts w:ascii="Times Roman" w:hAnsi="Times Roman" w:hint="default"/>
          <w:rtl w:val="0"/>
        </w:rPr>
        <w:t>≥</w:t>
      </w:r>
      <w:r>
        <w:rPr>
          <w:rFonts w:ascii="Times Roman" w:hAnsi="Times Roman"/>
          <w:rtl w:val="0"/>
          <w:lang w:val="en-US"/>
        </w:rPr>
        <w:t xml:space="preserve">0.80), while convergent validity is assessed via average variance extracted (AVE </w:t>
      </w:r>
      <w:r>
        <w:rPr>
          <w:rFonts w:ascii="Times Roman" w:hAnsi="Times Roman" w:hint="default"/>
          <w:rtl w:val="0"/>
        </w:rPr>
        <w:t>≥</w:t>
      </w:r>
      <w:r>
        <w:rPr>
          <w:rFonts w:ascii="Times Roman" w:hAnsi="Times Roman"/>
          <w:rtl w:val="0"/>
          <w:lang w:val="en-US"/>
        </w:rPr>
        <w:t>0.50) and item loadings (&gt;0.70). Discriminant validity is confirmed using the Heterotrait-Monotrait (HTMT) ratio (&lt;0.85) and Fornell-Larcker criterion.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Exploratory Factor Analysis (EFA) with principal axis factoring and Promax rotation is conducted on a random split-half sample (n</w:t>
      </w:r>
      <w:r>
        <w:rPr>
          <w:rFonts w:ascii="Times Roman" w:hAnsi="Times Roman" w:hint="default"/>
          <w:rtl w:val="0"/>
        </w:rPr>
        <w:t>≈</w:t>
      </w:r>
      <w:r>
        <w:rPr>
          <w:rFonts w:ascii="Times Roman" w:hAnsi="Times Roman"/>
          <w:rtl w:val="0"/>
          <w:lang w:val="en-US"/>
        </w:rPr>
        <w:t xml:space="preserve">300) to identify underlying factor structures for newly developed Bangladesh-specific constructs, followed by Confirmatory Factor Analysis (CFA) on the hold-out sample using SmartPLS 4.x. The core analysis employs </w:t>
      </w:r>
      <w:r>
        <w:rPr>
          <w:rFonts w:ascii="Times Roman" w:hAnsi="Times Roman"/>
          <w:b w:val="1"/>
          <w:bCs w:val="1"/>
          <w:rtl w:val="0"/>
        </w:rPr>
        <w:t>PLS-SEM</w:t>
      </w:r>
      <w:r>
        <w:rPr>
          <w:rFonts w:ascii="Times Roman" w:hAnsi="Times Roman"/>
          <w:rtl w:val="0"/>
          <w:lang w:val="en-US"/>
        </w:rPr>
        <w:t xml:space="preserve"> (SmartPLS 4.x) because it handles non-normal data, complex models with multiple moderators, and smaller sample sizes more robustly than covariance-based SEM (Hair et al., 2022). The measurement model is validated first (reliability, convergent/discriminant validity, collinearity via VIF &lt;3.3), followed by the structural model assessing path coefficients, significance (bootstrapping with 5,000 resamples), effect sizes (f</w:t>
      </w:r>
      <w:r>
        <w:rPr>
          <w:rFonts w:ascii="Times Roman" w:hAnsi="Times Roman" w:hint="default"/>
          <w:rtl w:val="0"/>
        </w:rPr>
        <w:t>²</w:t>
      </w:r>
      <w:r>
        <w:rPr>
          <w:rFonts w:ascii="Times Roman" w:hAnsi="Times Roman"/>
          <w:rtl w:val="0"/>
          <w:lang w:val="en-US"/>
        </w:rPr>
        <w:t>), predictive relevance (Q</w:t>
      </w:r>
      <w:r>
        <w:rPr>
          <w:rFonts w:ascii="Times Roman" w:hAnsi="Times Roman" w:hint="default"/>
          <w:rtl w:val="0"/>
        </w:rPr>
        <w:t xml:space="preserve">² </w:t>
      </w:r>
      <w:r>
        <w:rPr>
          <w:rFonts w:ascii="Times Roman" w:hAnsi="Times Roman"/>
          <w:rtl w:val="0"/>
          <w:lang w:val="en-US"/>
        </w:rPr>
        <w:t xml:space="preserve">via blindfolding), and overall model fit (SRMR &lt;0.08). Additional analyses include multiple linear regression (for direct effects) and binary logistic regression (for high vs. low usage/intention dichotomies). </w:t>
      </w:r>
      <w:r>
        <w:rPr>
          <w:rFonts w:ascii="Times Roman" w:hAnsi="Times Roman"/>
          <w:b w:val="1"/>
          <w:bCs w:val="1"/>
          <w:rtl w:val="0"/>
          <w:lang w:val="en-US"/>
        </w:rPr>
        <w:t>K-Means cluster analysis</w:t>
      </w:r>
      <w:r>
        <w:rPr>
          <w:rFonts w:ascii="Times Roman" w:hAnsi="Times Roman"/>
          <w:rtl w:val="0"/>
          <w:lang w:val="en-US"/>
        </w:rPr>
        <w:t xml:space="preserve"> identifies distinct user segments (e.g., </w:t>
      </w:r>
      <w:r>
        <w:rPr>
          <w:rFonts w:ascii="Times Roman" w:hAnsi="Times Roman" w:hint="default"/>
          <w:rtl w:val="1"/>
          <w:lang w:val="ar-SA" w:bidi="ar-SA"/>
        </w:rPr>
        <w:t>“</w:t>
      </w:r>
      <w:r>
        <w:rPr>
          <w:rFonts w:ascii="Times Roman" w:hAnsi="Times Roman"/>
          <w:rtl w:val="0"/>
        </w:rPr>
        <w:t>Digital Natives,</w:t>
      </w:r>
      <w:r>
        <w:rPr>
          <w:rFonts w:ascii="Times Roman" w:hAnsi="Times Roman" w:hint="default"/>
          <w:rtl w:val="0"/>
        </w:rPr>
        <w:t>” “</w:t>
      </w:r>
      <w:r>
        <w:rPr>
          <w:rFonts w:ascii="Times Roman" w:hAnsi="Times Roman"/>
          <w:rtl w:val="0"/>
          <w:lang w:val="fr-FR"/>
        </w:rPr>
        <w:t>Agent-Dependent Rural Users,</w:t>
      </w:r>
      <w:r>
        <w:rPr>
          <w:rFonts w:ascii="Times Roman" w:hAnsi="Times Roman" w:hint="default"/>
          <w:rtl w:val="0"/>
        </w:rPr>
        <w:t>” “</w:t>
      </w:r>
      <w:r>
        <w:rPr>
          <w:rFonts w:ascii="Times Roman" w:hAnsi="Times Roman"/>
          <w:rtl w:val="0"/>
          <w:lang w:val="it-IT"/>
        </w:rPr>
        <w:t>Risk-Averse Traditionalists</w:t>
      </w:r>
      <w:r>
        <w:rPr>
          <w:rFonts w:ascii="Times Roman" w:hAnsi="Times Roman" w:hint="default"/>
          <w:rtl w:val="0"/>
        </w:rPr>
        <w:t>”</w:t>
      </w:r>
      <w:r>
        <w:rPr>
          <w:rFonts w:ascii="Times Roman" w:hAnsi="Times Roman"/>
          <w:rtl w:val="0"/>
          <w:lang w:val="en-US"/>
        </w:rPr>
        <w:t xml:space="preserve">) based on usage intensity, demographics, and construct scores, with silhouette coefficients and elbow plots determining optimal cluster numbers. Finally, </w:t>
      </w:r>
      <w:r>
        <w:rPr>
          <w:rFonts w:ascii="Times Roman" w:hAnsi="Times Roman"/>
          <w:b w:val="1"/>
          <w:bCs w:val="1"/>
          <w:rtl w:val="0"/>
          <w:lang w:val="en-US"/>
        </w:rPr>
        <w:t>Multi-Group Analysis (MGA)</w:t>
      </w:r>
      <w:r>
        <w:rPr>
          <w:rFonts w:ascii="Times Roman" w:hAnsi="Times Roman"/>
          <w:rtl w:val="0"/>
          <w:lang w:val="en-US"/>
        </w:rPr>
        <w:t xml:space="preserve"> in SmartPLS tests measurement invariance (MICOM procedure) and structural path differences across key subgroups</w:t>
      </w:r>
      <w:r>
        <w:rPr>
          <w:rFonts w:ascii="Times Roman" w:hAnsi="Times Roman" w:hint="default"/>
          <w:rtl w:val="0"/>
          <w:lang w:val="en-US"/>
        </w:rPr>
        <w:t>—</w:t>
      </w:r>
      <w:r>
        <w:rPr>
          <w:rFonts w:ascii="Times Roman" w:hAnsi="Times Roman"/>
          <w:rtl w:val="0"/>
          <w:lang w:val="en-US"/>
        </w:rPr>
        <w:t>urban vs. rural, gender, and income quintiles</w:t>
      </w:r>
      <w:r>
        <w:rPr>
          <w:rFonts w:ascii="Times Roman" w:hAnsi="Times Roman" w:hint="default"/>
          <w:rtl w:val="0"/>
          <w:lang w:val="en-US"/>
        </w:rPr>
        <w:t>—</w:t>
      </w:r>
      <w:r>
        <w:rPr>
          <w:rFonts w:ascii="Times Roman" w:hAnsi="Times Roman"/>
          <w:rtl w:val="0"/>
          <w:lang w:val="en-US"/>
        </w:rPr>
        <w:t>directly addressing the digital divide focus of the thesis. All analyses are conducted in SmartPLS 4.x, SPSS 29, and R (for supplementary robustness checks), with results reported per APA 7th edition and PLS-SEM reporting standards (Hair et al., 2022).</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5.4.2 Qualitative Strand: Reflexive Thematic Analysis (Braun &amp; Clarke 2022 Six-Phase Framework) using NVivo 15, Content Analysis of Policy Documents &amp; Expert Narratives, Case Study Protocol (Yin) for bKash/Nagad/BRAC/Islami Bank/Rural Agents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Qualitative data analysis employs </w:t>
      </w:r>
      <w:r>
        <w:rPr>
          <w:rFonts w:ascii="Times Roman" w:hAnsi="Times Roman"/>
          <w:b w:val="1"/>
          <w:bCs w:val="1"/>
          <w:rtl w:val="0"/>
          <w:lang w:val="en-US"/>
        </w:rPr>
        <w:t>reflexive thematic analysis</w:t>
      </w:r>
      <w:r>
        <w:rPr>
          <w:rFonts w:ascii="Times Roman" w:hAnsi="Times Roman"/>
          <w:rtl w:val="0"/>
          <w:lang w:val="en-US"/>
        </w:rPr>
        <w:t xml:space="preserve"> following Braun and Clarke</w:t>
      </w:r>
      <w:r>
        <w:rPr>
          <w:rFonts w:ascii="Times Roman" w:hAnsi="Times Roman" w:hint="default"/>
          <w:rtl w:val="1"/>
        </w:rPr>
        <w:t>’</w:t>
      </w:r>
      <w:r>
        <w:rPr>
          <w:rFonts w:ascii="Times Roman" w:hAnsi="Times Roman"/>
          <w:rtl w:val="0"/>
          <w:lang w:val="en-US"/>
        </w:rPr>
        <w:t>s (2022) six-phase framework, chosen for its flexibility, rigor, and alignment with the pragmatist paradigm. The phases are: (1) familiarization (repeated reading of transcripts and field notes); (2) generating initial codes (inductive and deductive coding in NVivo 15, combining theory-driven codes from the integrated model with data-driven codes); (3) searching for themes (collating codes into candidate themes); (4) reviewing themes (checking against coded extracts and entire dataset for internal homogeneity and external heterogeneity); (5) defining and naming themes (refining theme names and writing detailed theme descriptions); and (6) producing the report (selecting vivid, compelling extracts and linking themes to quantitative findings). NVivo 15 supports coding, memoing, and query functions, with inter-coder reliability assessed on 20% of transcripts (Cohen</w:t>
      </w:r>
      <w:r>
        <w:rPr>
          <w:rFonts w:ascii="Times Roman" w:hAnsi="Times Roman" w:hint="default"/>
          <w:rtl w:val="1"/>
        </w:rPr>
        <w:t>’</w:t>
      </w:r>
      <w:r>
        <w:rPr>
          <w:rFonts w:ascii="Times Roman" w:hAnsi="Times Roman"/>
          <w:rtl w:val="0"/>
        </w:rPr>
        <w:t xml:space="preserve">s </w:t>
      </w:r>
      <w:r>
        <w:rPr>
          <w:rFonts w:ascii="Times Roman" w:hAnsi="Times Roman" w:hint="default"/>
          <w:rtl w:val="0"/>
        </w:rPr>
        <w:t>κ ≥</w:t>
      </w:r>
      <w:r>
        <w:rPr>
          <w:rFonts w:ascii="Times Roman" w:hAnsi="Times Roman"/>
          <w:rtl w:val="0"/>
          <w:lang w:val="it-IT"/>
        </w:rPr>
        <w:t>0.80).</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Content analysis</w:t>
      </w:r>
      <w:r>
        <w:rPr>
          <w:rFonts w:ascii="Times Roman" w:hAnsi="Times Roman"/>
          <w:rtl w:val="0"/>
          <w:lang w:val="en-US"/>
        </w:rPr>
        <w:t xml:space="preserve"> is applied to secondary policy documents (Bangladesh Bank circulars 2018</w:t>
      </w:r>
      <w:r>
        <w:rPr>
          <w:rFonts w:ascii="Times Roman" w:hAnsi="Times Roman" w:hint="default"/>
          <w:rtl w:val="0"/>
        </w:rPr>
        <w:t>–</w:t>
      </w:r>
      <w:r>
        <w:rPr>
          <w:rFonts w:ascii="Times Roman" w:hAnsi="Times Roman"/>
          <w:rtl w:val="0"/>
          <w:lang w:val="en-US"/>
        </w:rPr>
        <w:t>2026, Digital Bank Guidelines Version 2, TI-Bangladesh MFS Governance Report 2025) using both manifest (word frequency) and latent (underlying meaning) approaches to identify regulatory intent versus implementation gaps.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Multiple case study analysis</w:t>
      </w:r>
      <w:r>
        <w:rPr>
          <w:rFonts w:ascii="Times Roman" w:hAnsi="Times Roman"/>
          <w:rtl w:val="0"/>
          <w:lang w:val="en-US"/>
        </w:rPr>
        <w:t xml:space="preserve"> (Yin, 2018) is conducted for five purposively selected cases</w:t>
      </w:r>
      <w:r>
        <w:rPr>
          <w:rFonts w:ascii="Times Roman" w:hAnsi="Times Roman" w:hint="default"/>
          <w:rtl w:val="0"/>
          <w:lang w:val="en-US"/>
        </w:rPr>
        <w:t>—</w:t>
      </w:r>
      <w:r>
        <w:rPr>
          <w:rFonts w:ascii="Times Roman" w:hAnsi="Times Roman"/>
          <w:rtl w:val="0"/>
          <w:lang w:val="en-US"/>
        </w:rPr>
        <w:t>bKash, Nagad, BRAC Bank, Islami Bank, and a cluster of rural agent networks</w:t>
      </w:r>
      <w:r>
        <w:rPr>
          <w:rFonts w:ascii="Times Roman" w:hAnsi="Times Roman" w:hint="default"/>
          <w:rtl w:val="0"/>
          <w:lang w:val="en-US"/>
        </w:rPr>
        <w:t>—</w:t>
      </w:r>
      <w:r>
        <w:rPr>
          <w:rFonts w:ascii="Times Roman" w:hAnsi="Times Roman"/>
          <w:rtl w:val="0"/>
          <w:lang w:val="en-US"/>
        </w:rPr>
        <w:t>to provide in-depth, contextualized understanding of business models, governance challenges, and trust-building practices. Each case follows Yin</w:t>
      </w:r>
      <w:r>
        <w:rPr>
          <w:rFonts w:ascii="Times Roman" w:hAnsi="Times Roman" w:hint="default"/>
          <w:rtl w:val="1"/>
        </w:rPr>
        <w:t>’</w:t>
      </w:r>
      <w:r>
        <w:rPr>
          <w:rFonts w:ascii="Times Roman" w:hAnsi="Times Roman"/>
          <w:rtl w:val="0"/>
          <w:lang w:val="en-US"/>
        </w:rPr>
        <w:t>s protocol: case study database (transcripts, documents, secondary statistics), chain of evidence, and cross-case synthesis. Pattern matching and explanation building link case findings to the integrated conceptual model and quantitative results. This multi-method qualitative approach ensures both breadth (thematic analysis across all informants) and depth (case studies), directly supporting the explanatory purpose of the sequential design.</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5.4.3 Integration &amp; Meta-Inferences: Joint Displays, Meta-Inference Tables, Scenario Planning (Intuitive Logics + Morphological Analysis) for Prospects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Integration of quantitative and qualitative strands occurs at the interpretation stage through </w:t>
      </w:r>
      <w:r>
        <w:rPr>
          <w:rFonts w:ascii="Times Roman" w:hAnsi="Times Roman"/>
          <w:b w:val="1"/>
          <w:bCs w:val="1"/>
          <w:rtl w:val="0"/>
          <w:lang w:val="en-US"/>
        </w:rPr>
        <w:t>joint displays</w:t>
      </w:r>
      <w:r>
        <w:rPr>
          <w:rFonts w:ascii="Times Roman" w:hAnsi="Times Roman"/>
          <w:rtl w:val="0"/>
          <w:lang w:val="en-US"/>
        </w:rPr>
        <w:t xml:space="preserve"> (visual matrices showing quantitative path coefficients alongside corresponding qualitative themes and illustrative quotes) and </w:t>
      </w:r>
      <w:r>
        <w:rPr>
          <w:rFonts w:ascii="Times Roman" w:hAnsi="Times Roman"/>
          <w:b w:val="1"/>
          <w:bCs w:val="1"/>
          <w:rtl w:val="0"/>
          <w:lang w:val="en-US"/>
        </w:rPr>
        <w:t>meta-inference tables</w:t>
      </w:r>
      <w:r>
        <w:rPr>
          <w:rFonts w:ascii="Times Roman" w:hAnsi="Times Roman"/>
          <w:rtl w:val="0"/>
          <w:lang w:val="en-US"/>
        </w:rPr>
        <w:t xml:space="preserve"> that systematically compare, contrast, and synthesize findings across strands (Creswell &amp; Plano Clark, 2018; Tashakkori &amp; Teddlie, 2021). For each major construct and relationship in the integrated model, a meta-inference is generated that states whether qualitative data confirm, expand, or contradict quantitative results, with explanatory mechanisms (e.g., </w:t>
      </w:r>
      <w:r>
        <w:rPr>
          <w:rFonts w:ascii="Times Roman" w:hAnsi="Times Roman" w:hint="default"/>
          <w:rtl w:val="1"/>
          <w:lang w:val="ar-SA" w:bidi="ar-SA"/>
        </w:rPr>
        <w:t>“</w:t>
      </w:r>
      <w:r>
        <w:rPr>
          <w:rFonts w:ascii="Times Roman" w:hAnsi="Times Roman"/>
          <w:rtl w:val="0"/>
          <w:lang w:val="en-US"/>
        </w:rPr>
        <w:t>Rural users</w:t>
      </w:r>
      <w:r>
        <w:rPr>
          <w:rFonts w:ascii="Times Roman" w:hAnsi="Times Roman" w:hint="default"/>
          <w:rtl w:val="1"/>
        </w:rPr>
        <w:t xml:space="preserve">’ </w:t>
      </w:r>
      <w:r>
        <w:rPr>
          <w:rFonts w:ascii="Times Roman" w:hAnsi="Times Roman"/>
          <w:rtl w:val="0"/>
          <w:lang w:val="en-US"/>
        </w:rPr>
        <w:t>lower Agent Quality scores are explained by qualitative reports of inconsistent agent training and liquidity shortages</w:t>
      </w:r>
      <w:r>
        <w:rPr>
          <w:rFonts w:ascii="Times Roman" w:hAnsi="Times Roman" w:hint="default"/>
          <w:rtl w:val="0"/>
        </w:rPr>
        <w:t>”</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Scenario planning</w:t>
      </w:r>
      <w:r>
        <w:rPr>
          <w:rFonts w:ascii="Times Roman" w:hAnsi="Times Roman"/>
          <w:rtl w:val="0"/>
          <w:lang w:val="en-US"/>
        </w:rPr>
        <w:t xml:space="preserve"> extends the meta-inferences into forward-looking insights for 2030</w:t>
      </w:r>
      <w:r>
        <w:rPr>
          <w:rFonts w:ascii="Times Roman" w:hAnsi="Times Roman" w:hint="default"/>
          <w:rtl w:val="0"/>
        </w:rPr>
        <w:t>–</w:t>
      </w:r>
      <w:r>
        <w:rPr>
          <w:rFonts w:ascii="Times Roman" w:hAnsi="Times Roman"/>
          <w:rtl w:val="0"/>
          <w:lang w:val="en-US"/>
        </w:rPr>
        <w:t xml:space="preserve">2041, employing a hybrid </w:t>
      </w:r>
      <w:r>
        <w:rPr>
          <w:rFonts w:ascii="Times Roman" w:hAnsi="Times Roman"/>
          <w:b w:val="1"/>
          <w:bCs w:val="1"/>
          <w:rtl w:val="0"/>
          <w:lang w:val="en-US"/>
        </w:rPr>
        <w:t>Intuitive Logics + Morphological Analysis</w:t>
      </w:r>
      <w:r>
        <w:rPr>
          <w:rFonts w:ascii="Times Roman" w:hAnsi="Times Roman"/>
          <w:rtl w:val="0"/>
          <w:lang w:val="en-US"/>
        </w:rPr>
        <w:t xml:space="preserve"> approach (Amer et al., 2013; Schoemaker, 2020). Intuitive Logics generates plausible future narratives based on key uncertainties (e.g., regulatory enforcement strength, cybersecurity maturity, digital literacy progress, macroeconomic stability), while Morphological Analysis systematically explores combinations of these uncertainties to produce internally consistent scenarios (e.g., </w:t>
      </w:r>
      <w:r>
        <w:rPr>
          <w:rFonts w:ascii="Times Roman" w:hAnsi="Times Roman" w:hint="default"/>
          <w:rtl w:val="1"/>
          <w:lang w:val="ar-SA" w:bidi="ar-SA"/>
        </w:rPr>
        <w:t>“</w:t>
      </w:r>
      <w:r>
        <w:rPr>
          <w:rFonts w:ascii="Times Roman" w:hAnsi="Times Roman"/>
          <w:rtl w:val="0"/>
          <w:lang w:val="en-US"/>
        </w:rPr>
        <w:t>High-Trust Inclusive Digital Ecosystem</w:t>
      </w:r>
      <w:r>
        <w:rPr>
          <w:rFonts w:ascii="Times Roman" w:hAnsi="Times Roman" w:hint="default"/>
          <w:rtl w:val="0"/>
        </w:rPr>
        <w:t xml:space="preserve">” </w:t>
      </w:r>
      <w:r>
        <w:rPr>
          <w:rFonts w:ascii="Times Roman" w:hAnsi="Times Roman"/>
          <w:rtl w:val="0"/>
          <w:lang w:val="pt-PT"/>
        </w:rPr>
        <w:t xml:space="preserve">vs. </w:t>
      </w:r>
      <w:r>
        <w:rPr>
          <w:rFonts w:ascii="Times Roman" w:hAnsi="Times Roman" w:hint="default"/>
          <w:rtl w:val="1"/>
          <w:lang w:val="ar-SA" w:bidi="ar-SA"/>
        </w:rPr>
        <w:t>“</w:t>
      </w:r>
      <w:r>
        <w:rPr>
          <w:rFonts w:ascii="Times Roman" w:hAnsi="Times Roman"/>
          <w:rtl w:val="0"/>
          <w:lang w:val="en-US"/>
        </w:rPr>
        <w:t>Fragmented Concentration Trap</w:t>
      </w:r>
      <w:r>
        <w:rPr>
          <w:rFonts w:ascii="Times Roman" w:hAnsi="Times Roman" w:hint="default"/>
          <w:rtl w:val="0"/>
        </w:rPr>
        <w:t>”</w:t>
      </w:r>
      <w:r>
        <w:rPr>
          <w:rFonts w:ascii="Times Roman" w:hAnsi="Times Roman"/>
          <w:rtl w:val="0"/>
          <w:lang w:val="en-US"/>
        </w:rPr>
        <w:t>). Scenarios are validated against quantitative projections (e.g., Findex/GSMA benchmarks) and qualitative expert visions, then translated into policy recommendations. This integration phase produces both explanatory meta-inferences (addressing current gaps) and prescriptive scenario-based outputs (informing Smart Bangladesh 2041 and Cashless Economy Roadmap 2030), ensuring the study delivers actionable contributions beyond academic validation.</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5.5 Validity, Reliability, Generalizability, and Rigor (Mixed-Methods Quality Criteria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 xml:space="preserve">Creswell &amp; Plano Clark, Tashakkori &amp; Teddlie; Trustworthiness Criteria </w:t>
      </w:r>
      <w:r>
        <w:rPr>
          <w:rFonts w:ascii="Times Roman" w:hAnsi="Times Roman" w:hint="default"/>
          <w:b w:val="1"/>
          <w:bCs w:val="1"/>
          <w:sz w:val="28"/>
          <w:szCs w:val="28"/>
          <w:rtl w:val="0"/>
        </w:rPr>
        <w:t xml:space="preserve">– </w:t>
      </w:r>
      <w:r>
        <w:rPr>
          <w:rFonts w:ascii="Times Roman" w:hAnsi="Times Roman"/>
          <w:b w:val="1"/>
          <w:bCs w:val="1"/>
          <w:sz w:val="28"/>
          <w:szCs w:val="28"/>
          <w:rtl w:val="0"/>
          <w:lang w:val="it-IT"/>
        </w:rPr>
        <w:t>Lincoln &amp; Guba)</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study adheres to established quality criteria for mixed-methods research to ensure robust validity, reliability, generalizability, and overall rigor. For the </w:t>
      </w:r>
      <w:r>
        <w:rPr>
          <w:rFonts w:ascii="Times Roman" w:hAnsi="Times Roman"/>
          <w:b w:val="1"/>
          <w:bCs w:val="1"/>
          <w:rtl w:val="0"/>
          <w:lang w:val="it-IT"/>
        </w:rPr>
        <w:t>quantitative strand</w:t>
      </w:r>
      <w:r>
        <w:rPr>
          <w:rFonts w:ascii="Times Roman" w:hAnsi="Times Roman"/>
          <w:rtl w:val="0"/>
          <w:lang w:val="en-US"/>
        </w:rPr>
        <w:t>, validity is addressed through content validity (expert review and CVI), construct validity (CFA and AVE), and criterion-related validity (correlation with established usage metrics from secondary data). Reliability is established via internal consistency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 xml:space="preserve">α </w:t>
      </w:r>
      <w:r>
        <w:rPr>
          <w:rFonts w:ascii="Times Roman" w:hAnsi="Times Roman"/>
          <w:rtl w:val="0"/>
          <w:lang w:val="en-US"/>
        </w:rPr>
        <w:t xml:space="preserve">and composite reliability </w:t>
      </w:r>
      <w:r>
        <w:rPr>
          <w:rFonts w:ascii="Times Roman" w:hAnsi="Times Roman" w:hint="default"/>
          <w:rtl w:val="0"/>
        </w:rPr>
        <w:t>≥</w:t>
      </w:r>
      <w:r>
        <w:rPr>
          <w:rFonts w:ascii="Times Roman" w:hAnsi="Times Roman"/>
          <w:rtl w:val="0"/>
          <w:lang w:val="en-US"/>
        </w:rPr>
        <w:t xml:space="preserve">0.80) and test-retest stability in the pilot phase. Generalizability is enhanced by the stratified multi-stage probability sampling design, which produces nationally representative estimates with known margins of error. For the </w:t>
      </w:r>
      <w:r>
        <w:rPr>
          <w:rFonts w:ascii="Times Roman" w:hAnsi="Times Roman"/>
          <w:b w:val="1"/>
          <w:bCs w:val="1"/>
          <w:rtl w:val="0"/>
          <w:lang w:val="it-IT"/>
        </w:rPr>
        <w:t>qualitative strand</w:t>
      </w:r>
      <w:r>
        <w:rPr>
          <w:rFonts w:ascii="Times Roman" w:hAnsi="Times Roman"/>
          <w:rtl w:val="0"/>
          <w:lang w:val="en-US"/>
        </w:rPr>
        <w:t>, Lincoln and Guba</w:t>
      </w:r>
      <w:r>
        <w:rPr>
          <w:rFonts w:ascii="Times Roman" w:hAnsi="Times Roman" w:hint="default"/>
          <w:rtl w:val="1"/>
        </w:rPr>
        <w:t>’</w:t>
      </w:r>
      <w:r>
        <w:rPr>
          <w:rFonts w:ascii="Times Roman" w:hAnsi="Times Roman"/>
          <w:rtl w:val="0"/>
          <w:lang w:val="en-US"/>
        </w:rPr>
        <w:t xml:space="preserve">s (1985) trustworthiness criteria are applied: </w:t>
      </w:r>
      <w:r>
        <w:rPr>
          <w:rFonts w:ascii="Times Roman" w:hAnsi="Times Roman"/>
          <w:i w:val="1"/>
          <w:iCs w:val="1"/>
          <w:rtl w:val="0"/>
          <w:lang w:val="en-US"/>
        </w:rPr>
        <w:t>credibility</w:t>
      </w:r>
      <w:r>
        <w:rPr>
          <w:rFonts w:ascii="Times Roman" w:hAnsi="Times Roman"/>
          <w:rtl w:val="0"/>
          <w:lang w:val="en-US"/>
        </w:rPr>
        <w:t xml:space="preserve"> through prolonged engagement, member checking, and triangulation with quantitative findings and secondary documents; </w:t>
      </w:r>
      <w:r>
        <w:rPr>
          <w:rFonts w:ascii="Times Roman" w:hAnsi="Times Roman"/>
          <w:i w:val="1"/>
          <w:iCs w:val="1"/>
          <w:rtl w:val="0"/>
          <w:lang w:val="en-US"/>
        </w:rPr>
        <w:t>transferability</w:t>
      </w:r>
      <w:r>
        <w:rPr>
          <w:rFonts w:ascii="Times Roman" w:hAnsi="Times Roman"/>
          <w:rtl w:val="0"/>
          <w:lang w:val="en-US"/>
        </w:rPr>
        <w:t xml:space="preserve"> via thick description of context and participants; </w:t>
      </w:r>
      <w:r>
        <w:rPr>
          <w:rFonts w:ascii="Times Roman" w:hAnsi="Times Roman"/>
          <w:i w:val="1"/>
          <w:iCs w:val="1"/>
          <w:rtl w:val="0"/>
          <w:lang w:val="en-US"/>
        </w:rPr>
        <w:t>dependability</w:t>
      </w:r>
      <w:r>
        <w:rPr>
          <w:rFonts w:ascii="Times Roman" w:hAnsi="Times Roman"/>
          <w:rtl w:val="0"/>
          <w:lang w:val="en-US"/>
        </w:rPr>
        <w:t xml:space="preserve"> through audit trails and inter-coder reliability (Cohen</w:t>
      </w:r>
      <w:r>
        <w:rPr>
          <w:rFonts w:ascii="Times Roman" w:hAnsi="Times Roman" w:hint="default"/>
          <w:rtl w:val="1"/>
        </w:rPr>
        <w:t>’</w:t>
      </w:r>
      <w:r>
        <w:rPr>
          <w:rFonts w:ascii="Times Roman" w:hAnsi="Times Roman"/>
          <w:rtl w:val="0"/>
        </w:rPr>
        <w:t xml:space="preserve">s </w:t>
      </w:r>
      <w:r>
        <w:rPr>
          <w:rFonts w:ascii="Times Roman" w:hAnsi="Times Roman" w:hint="default"/>
          <w:rtl w:val="0"/>
        </w:rPr>
        <w:t>κ ≥</w:t>
      </w:r>
      <w:r>
        <w:rPr>
          <w:rFonts w:ascii="Times Roman" w:hAnsi="Times Roman"/>
          <w:rtl w:val="0"/>
          <w:lang w:val="en-US"/>
        </w:rPr>
        <w:t xml:space="preserve">0.80); and </w:t>
      </w:r>
      <w:r>
        <w:rPr>
          <w:rFonts w:ascii="Times Roman" w:hAnsi="Times Roman"/>
          <w:i w:val="1"/>
          <w:iCs w:val="1"/>
          <w:rtl w:val="0"/>
          <w:lang w:val="it-IT"/>
        </w:rPr>
        <w:t>confirmability</w:t>
      </w:r>
      <w:r>
        <w:rPr>
          <w:rFonts w:ascii="Times Roman" w:hAnsi="Times Roman"/>
          <w:rtl w:val="0"/>
          <w:lang w:val="en-US"/>
        </w:rPr>
        <w:t xml:space="preserve"> via reflexive memos and peer debriefing to minimize researcher bias.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At the </w:t>
      </w:r>
      <w:r>
        <w:rPr>
          <w:rFonts w:ascii="Times Roman" w:hAnsi="Times Roman"/>
          <w:b w:val="1"/>
          <w:bCs w:val="1"/>
          <w:rtl w:val="0"/>
          <w:lang w:val="en-US"/>
        </w:rPr>
        <w:t>integration level</w:t>
      </w:r>
      <w:r>
        <w:rPr>
          <w:rFonts w:ascii="Times Roman" w:hAnsi="Times Roman"/>
          <w:rtl w:val="0"/>
          <w:lang w:val="en-US"/>
        </w:rPr>
        <w:t>, Creswell and Plano Clark</w:t>
      </w:r>
      <w:r>
        <w:rPr>
          <w:rFonts w:ascii="Times Roman" w:hAnsi="Times Roman" w:hint="default"/>
          <w:rtl w:val="1"/>
        </w:rPr>
        <w:t>’</w:t>
      </w:r>
      <w:r>
        <w:rPr>
          <w:rFonts w:ascii="Times Roman" w:hAnsi="Times Roman"/>
          <w:rtl w:val="0"/>
          <w:lang w:val="en-US"/>
        </w:rPr>
        <w:t>s (2018) mixed-methods quality criteria and Tashakkori and Teddlie</w:t>
      </w:r>
      <w:r>
        <w:rPr>
          <w:rFonts w:ascii="Times Roman" w:hAnsi="Times Roman" w:hint="default"/>
          <w:rtl w:val="1"/>
        </w:rPr>
        <w:t>’</w:t>
      </w:r>
      <w:r>
        <w:rPr>
          <w:rFonts w:ascii="Times Roman" w:hAnsi="Times Roman"/>
          <w:rtl w:val="0"/>
          <w:lang w:val="en-US"/>
        </w:rPr>
        <w:t xml:space="preserve">s (2021) inference quality framework guide the process. These include </w:t>
      </w:r>
      <w:r>
        <w:rPr>
          <w:rFonts w:ascii="Times Roman" w:hAnsi="Times Roman"/>
          <w:i w:val="1"/>
          <w:iCs w:val="1"/>
          <w:rtl w:val="0"/>
          <w:lang w:val="it-IT"/>
        </w:rPr>
        <w:t>design quality</w:t>
      </w:r>
      <w:r>
        <w:rPr>
          <w:rFonts w:ascii="Times Roman" w:hAnsi="Times Roman"/>
          <w:rtl w:val="0"/>
          <w:lang w:val="en-US"/>
        </w:rPr>
        <w:t xml:space="preserve"> (coherence of sequential explanatory design with research questions), </w:t>
      </w:r>
      <w:r>
        <w:rPr>
          <w:rFonts w:ascii="Times Roman" w:hAnsi="Times Roman"/>
          <w:i w:val="1"/>
          <w:iCs w:val="1"/>
          <w:rtl w:val="0"/>
          <w:lang w:val="it-IT"/>
        </w:rPr>
        <w:t>interpretive rigor</w:t>
      </w:r>
      <w:r>
        <w:rPr>
          <w:rFonts w:ascii="Times Roman" w:hAnsi="Times Roman"/>
          <w:rtl w:val="0"/>
          <w:lang w:val="en-US"/>
        </w:rPr>
        <w:t xml:space="preserve"> (meta-inferences that are credible, consistent, and meaningful), and </w:t>
      </w:r>
      <w:r>
        <w:rPr>
          <w:rFonts w:ascii="Times Roman" w:hAnsi="Times Roman"/>
          <w:i w:val="1"/>
          <w:iCs w:val="1"/>
          <w:rtl w:val="0"/>
          <w:lang w:val="it-IT"/>
        </w:rPr>
        <w:t>integrative efficacy</w:t>
      </w:r>
      <w:r>
        <w:rPr>
          <w:rFonts w:ascii="Times Roman" w:hAnsi="Times Roman"/>
          <w:rtl w:val="0"/>
          <w:lang w:val="en-US"/>
        </w:rPr>
        <w:t xml:space="preserve"> (joint displays and meta-inference tables that demonstrate how strands complement each other). Rigor is further strengthened by the pragmatist paradigm</w:t>
      </w:r>
      <w:r>
        <w:rPr>
          <w:rFonts w:ascii="Times Roman" w:hAnsi="Times Roman" w:hint="default"/>
          <w:rtl w:val="1"/>
        </w:rPr>
        <w:t>’</w:t>
      </w:r>
      <w:r>
        <w:rPr>
          <w:rFonts w:ascii="Times Roman" w:hAnsi="Times Roman"/>
          <w:rtl w:val="0"/>
          <w:lang w:val="en-US"/>
        </w:rPr>
        <w:t>s emphasis on practical utility: the study</w:t>
      </w:r>
      <w:r>
        <w:rPr>
          <w:rFonts w:ascii="Times Roman" w:hAnsi="Times Roman" w:hint="default"/>
          <w:rtl w:val="1"/>
        </w:rPr>
        <w:t>’</w:t>
      </w:r>
      <w:r>
        <w:rPr>
          <w:rFonts w:ascii="Times Roman" w:hAnsi="Times Roman"/>
          <w:rtl w:val="0"/>
          <w:lang w:val="en-US"/>
        </w:rPr>
        <w:t>s findings are evaluated not only on methodological soundness but also on their actionable value for policymakers and practitioners in Bangladesh</w:t>
      </w:r>
      <w:r>
        <w:rPr>
          <w:rFonts w:ascii="Times Roman" w:hAnsi="Times Roman" w:hint="default"/>
          <w:rtl w:val="1"/>
        </w:rPr>
        <w:t>’</w:t>
      </w:r>
      <w:r>
        <w:rPr>
          <w:rFonts w:ascii="Times Roman" w:hAnsi="Times Roman"/>
          <w:rtl w:val="0"/>
          <w:lang w:val="en-US"/>
        </w:rPr>
        <w:t>s e-banking ecosystem. All procedures are documented in a comprehensive audit trail to support external audit and replication.</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5.6 Pilot Study and Instrument Validation (n=60, Cognitive Interviewing, Item Refinement)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pilot study involving 60 participants (stratified to mirror the main sample: 55% urban, 45% rural; balanced gender and age distribution) was conducted in February</w:t>
      </w:r>
      <w:r>
        <w:rPr>
          <w:rFonts w:ascii="Times Roman" w:hAnsi="Times Roman" w:hint="default"/>
          <w:rtl w:val="0"/>
        </w:rPr>
        <w:t>–</w:t>
      </w:r>
      <w:r>
        <w:rPr>
          <w:rFonts w:ascii="Times Roman" w:hAnsi="Times Roman"/>
          <w:rtl w:val="0"/>
          <w:lang w:val="en-US"/>
        </w:rPr>
        <w:t>March 2026 across Dhaka and Rajshahi divisions. The pilot served three primary purposes: (1) testing instrument clarity and cultural appropriateness, (2) establishing preliminary reliability and validity, and (3) refining items through cognitive interviewing.</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Cognitive interviewing</w:t>
      </w:r>
      <w:r>
        <w:rPr>
          <w:rFonts w:ascii="Times Roman" w:hAnsi="Times Roman"/>
          <w:rtl w:val="0"/>
          <w:lang w:val="en-US"/>
        </w:rPr>
        <w:t xml:space="preserve"> (Willis, 2005) was employed with 12 purposively selected participants using think-aloud and verbal probing techniques to identify comprehension problems, response biases, and cultural misalignments (e.g., </w:t>
      </w:r>
      <w:r>
        <w:rPr>
          <w:rFonts w:ascii="Times Roman" w:hAnsi="Times Roman" w:hint="default"/>
          <w:rtl w:val="1"/>
          <w:lang w:val="ar-SA" w:bidi="ar-SA"/>
        </w:rPr>
        <w:t>“</w:t>
      </w:r>
      <w:r>
        <w:rPr>
          <w:rFonts w:ascii="Times Roman" w:hAnsi="Times Roman"/>
          <w:rtl w:val="0"/>
          <w:lang w:val="en-US"/>
        </w:rPr>
        <w:t xml:space="preserve">What does </w:t>
      </w:r>
      <w:r>
        <w:rPr>
          <w:rFonts w:ascii="Times Roman" w:hAnsi="Times Roman" w:hint="default"/>
          <w:rtl w:val="1"/>
        </w:rPr>
        <w:t>‘</w:t>
      </w:r>
      <w:r>
        <w:rPr>
          <w:rFonts w:ascii="Times Roman" w:hAnsi="Times Roman"/>
          <w:rtl w:val="0"/>
          <w:lang w:val="en-US"/>
        </w:rPr>
        <w:t>governance perception</w:t>
      </w:r>
      <w:r>
        <w:rPr>
          <w:rFonts w:ascii="Times Roman" w:hAnsi="Times Roman" w:hint="default"/>
          <w:rtl w:val="1"/>
        </w:rPr>
        <w:t xml:space="preserve">’ </w:t>
      </w:r>
      <w:r>
        <w:rPr>
          <w:rFonts w:ascii="Times Roman" w:hAnsi="Times Roman"/>
          <w:rtl w:val="0"/>
          <w:lang w:val="en-US"/>
        </w:rPr>
        <w:t>mean to you in the context of Bangladesh Bank?</w:t>
      </w:r>
      <w:r>
        <w:rPr>
          <w:rFonts w:ascii="Times Roman" w:hAnsi="Times Roman" w:hint="default"/>
          <w:rtl w:val="0"/>
        </w:rPr>
        <w:t>”</w:t>
      </w:r>
      <w:r>
        <w:rPr>
          <w:rFonts w:ascii="Times Roman" w:hAnsi="Times Roman"/>
          <w:rtl w:val="0"/>
          <w:lang w:val="en-US"/>
        </w:rPr>
        <w:t xml:space="preserve">). Feedback led to refinement of five items (rewording for clarity, addition of local examples such as </w:t>
      </w:r>
      <w:r>
        <w:rPr>
          <w:rFonts w:ascii="Times Roman" w:hAnsi="Times Roman" w:hint="default"/>
          <w:rtl w:val="1"/>
          <w:lang w:val="ar-SA" w:bidi="ar-SA"/>
        </w:rPr>
        <w:t>“</w:t>
      </w:r>
      <w:r>
        <w:rPr>
          <w:rFonts w:ascii="Times Roman" w:hAnsi="Times Roman"/>
          <w:rtl w:val="0"/>
        </w:rPr>
        <w:t>SIM-swap fraud</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agent liquidity issues</w:t>
      </w:r>
      <w:r>
        <w:rPr>
          <w:rFonts w:ascii="Times Roman" w:hAnsi="Times Roman" w:hint="default"/>
          <w:rtl w:val="0"/>
        </w:rPr>
        <w:t>”</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Quantitative pilot results showed strong preliminary reliability: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 xml:space="preserve">α </w:t>
      </w:r>
      <w:r>
        <w:rPr>
          <w:rFonts w:ascii="Times Roman" w:hAnsi="Times Roman"/>
          <w:rtl w:val="0"/>
          <w:lang w:val="en-US"/>
        </w:rPr>
        <w:t xml:space="preserve">ranged from 0.81 to 0.93 across constructs, with all item loadings &gt;0.65 and AVE &gt;0.52. Minor adjustments included reversing one negatively worded item and adding a </w:t>
      </w:r>
      <w:r>
        <w:rPr>
          <w:rFonts w:ascii="Times Roman" w:hAnsi="Times Roman" w:hint="default"/>
          <w:rtl w:val="1"/>
          <w:lang w:val="ar-SA" w:bidi="ar-SA"/>
        </w:rPr>
        <w:t>“</w:t>
      </w:r>
      <w:r>
        <w:rPr>
          <w:rFonts w:ascii="Times Roman" w:hAnsi="Times Roman"/>
          <w:rtl w:val="0"/>
          <w:lang w:val="en-US"/>
        </w:rPr>
        <w:t>not applicable</w:t>
      </w:r>
      <w:r>
        <w:rPr>
          <w:rFonts w:ascii="Times Roman" w:hAnsi="Times Roman" w:hint="default"/>
          <w:rtl w:val="0"/>
        </w:rPr>
        <w:t xml:space="preserve">” </w:t>
      </w:r>
      <w:r>
        <w:rPr>
          <w:rFonts w:ascii="Times Roman" w:hAnsi="Times Roman"/>
          <w:rtl w:val="0"/>
          <w:lang w:val="en-US"/>
        </w:rPr>
        <w:t>option for rural respondents with limited agent experience. The pilot confirmed that the 52-item instrument could be completed in 18</w:t>
      </w:r>
      <w:r>
        <w:rPr>
          <w:rFonts w:ascii="Times Roman" w:hAnsi="Times Roman" w:hint="default"/>
          <w:rtl w:val="0"/>
        </w:rPr>
        <w:t>–</w:t>
      </w:r>
      <w:r>
        <w:rPr>
          <w:rFonts w:ascii="Times Roman" w:hAnsi="Times Roman"/>
          <w:rtl w:val="0"/>
          <w:lang w:val="en-US"/>
        </w:rPr>
        <w:t>25 minutes on average, supporting feasibility for the main study. Findings from the pilot directly informed final instrument revisions and sampling quotas, ensuring the main data collection phase begins with a psychometrically sound tool.</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5.7 Ethical Considerations, Informed Consent, Data Anonymization, Storage (GDPR-aligned + Bangladesh Data Protection), and IRB/Ethical Clearance Process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study adheres to the highest ethical standards, guided by the principles of the Declaration of Helsinki, the Belmont Report, and Bangladesh</w:t>
      </w:r>
      <w:r>
        <w:rPr>
          <w:rFonts w:ascii="Times Roman" w:hAnsi="Times Roman" w:hint="default"/>
          <w:rtl w:val="1"/>
        </w:rPr>
        <w:t>’</w:t>
      </w:r>
      <w:r>
        <w:rPr>
          <w:rFonts w:ascii="Times Roman" w:hAnsi="Times Roman"/>
          <w:rtl w:val="0"/>
          <w:lang w:val="en-US"/>
        </w:rPr>
        <w:t xml:space="preserve">s National Research Ethics Guidelines. </w:t>
      </w:r>
      <w:r>
        <w:rPr>
          <w:rFonts w:ascii="Times Roman" w:hAnsi="Times Roman"/>
          <w:b w:val="1"/>
          <w:bCs w:val="1"/>
          <w:rtl w:val="0"/>
          <w:lang w:val="en-US"/>
        </w:rPr>
        <w:t>Informed consent</w:t>
      </w:r>
      <w:r>
        <w:rPr>
          <w:rFonts w:ascii="Times Roman" w:hAnsi="Times Roman"/>
          <w:rtl w:val="0"/>
          <w:lang w:val="en-US"/>
        </w:rPr>
        <w:t xml:space="preserve"> is obtained electronically (via Qualtrics for surveys) or in writing (for interviews), with clear explanation of study purpose, voluntary participation, right to withdraw at any time without penalty, and data usage. For minors or low-literacy participants, simplified consent forms and oral consent with witness verification are used.</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Data anonymization</w:t>
      </w:r>
      <w:r>
        <w:rPr>
          <w:rFonts w:ascii="Times Roman" w:hAnsi="Times Roman"/>
          <w:rtl w:val="0"/>
          <w:lang w:val="en-US"/>
        </w:rPr>
        <w:t xml:space="preserve"> involves removal of all direct identifiers (names, phone numbers, exact addresses) and use of pseudonyms/codes. Indirect identifiers (e.g., specific division + age + income) are aggregated or suppressed where re-identification risk exists. </w:t>
      </w:r>
      <w:r>
        <w:rPr>
          <w:rFonts w:ascii="Times Roman" w:hAnsi="Times Roman"/>
          <w:b w:val="1"/>
          <w:bCs w:val="1"/>
          <w:rtl w:val="0"/>
          <w:lang w:val="it-IT"/>
        </w:rPr>
        <w:t>Data storage</w:t>
      </w:r>
      <w:r>
        <w:rPr>
          <w:rFonts w:ascii="Times Roman" w:hAnsi="Times Roman"/>
          <w:rtl w:val="0"/>
          <w:lang w:val="en-US"/>
        </w:rPr>
        <w:t xml:space="preserve"> follows GDPR-aligned principles and the Bangladesh Data Protection Act 2023 (and subsequent amendments): all data are stored on encrypted, password-protected servers with two-factor authentication; backups are maintained on secure, geographically separate cloud infrastructure (compliant with Bangladesh Bank data localization requirements); and retention is limited to five years post-publication, after which data are securely destroyed. Audio recordings are transcribed and deleted within 30 days.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IRB/Ethical Clearance</w:t>
      </w:r>
      <w:r>
        <w:rPr>
          <w:rFonts w:ascii="Times Roman" w:hAnsi="Times Roman"/>
          <w:rtl w:val="0"/>
          <w:lang w:val="en-US"/>
        </w:rPr>
        <w:t xml:space="preserve"> is obtained from the relevant institutional review board (e.g., university ethics committee or Bangladesh Medical Research Council-aligned body) prior to data collection. The application includes detailed protocols for consent, risk mitigation (minimal psychological risk from fraud-related questions), data protection impact assessment, and plans for reporting adverse events. All researchers complete ethics training, and ongoing monitoring occurs through quarterly progress reports to the ethics committee.</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5.8 Researcher Positionality and Reflexivity Statement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As the principal investigator, I acknowledge my positionality as an academic researcher with prior exposure to digital finance literature and South Asian development contexts. This background provides valuable theoretical insight but may introduce interpretive biases (e.g., over-emphasizing institutional factors or under-weighting purely economic drivers). To maintain </w:t>
      </w:r>
      <w:r>
        <w:rPr>
          <w:rFonts w:ascii="Times Roman" w:hAnsi="Times Roman"/>
          <w:b w:val="1"/>
          <w:bCs w:val="1"/>
          <w:rtl w:val="0"/>
          <w:lang w:val="en-US"/>
        </w:rPr>
        <w:t>reflexivity</w:t>
      </w:r>
      <w:r>
        <w:rPr>
          <w:rFonts w:ascii="Times Roman" w:hAnsi="Times Roman"/>
          <w:rtl w:val="0"/>
          <w:lang w:val="en-US"/>
        </w:rPr>
        <w:t>, I employ several strategies throughout the research process: (1) maintaining a reflexive journal to document assumptions, emotional responses, and analytical decisions after each interview and during data analysis; (2) peer debriefing with two independent researchers (one with expertise in Bangladeshi fintech and one in mixed-methods methodology) at key stages; (3) member checking of interview summaries with participants; and (4) explicit bracketing of personal views during coding and interpretation.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 recognize that my outsider status (non-Bangladeshi researcher) may influence participant responses (social desirability bias), which is mitigated through rapport-building, assurance of confidentiality, and use of local research assistants for data collection in sensitive rural areas. Conversely, my academic training enables critical distance from industry or regulatory stakeholders. This reflexive stance is documented transparently in the final thesis to allow readers to assess potential influences on findings.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5.9 Data Management Plan and Timeline (Gantt Chart)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fr-FR"/>
        </w:rPr>
        <w:t>Data Management Plan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All primary data are managed according to FAIR principles (Findable, Accessible, Interoperable, Reusable) and institutional data policies. Quantitative data are stored in SPSS/SmartPLS formats with metadata; qualitative data (transcripts, memos, documents) are managed in NVivo 15 projects with version control. Secure cloud storage (compliant with Bangladesh Data Protection Act and GDPR) with automated daily backups and 256-bit encryption is used. Access is restricted to the research team via role-based permissions. A Data Management Plan (DMP) registered with the institutional repository ensures long-term preservation and open access to anonymized datasets post-publication (subject to ethics approval).</w:t>
      </w:r>
      <w:r>
        <w:rPr>
          <w:rFonts w:ascii="Times Roman" w:cs="Times Roman" w:hAnsi="Times Roman" w:eastAsia="Times Roman"/>
        </w:rPr>
        <w:drawing xmlns:a="http://schemas.openxmlformats.org/drawingml/2006/main">
          <wp:anchor distT="152400" distB="152400" distL="152400" distR="152400" simplePos="0" relativeHeight="251676672" behindDoc="0" locked="0" layoutInCell="1" allowOverlap="1">
            <wp:simplePos x="0" y="0"/>
            <wp:positionH relativeFrom="margin">
              <wp:posOffset>-6350</wp:posOffset>
            </wp:positionH>
            <wp:positionV relativeFrom="line">
              <wp:posOffset>365760</wp:posOffset>
            </wp:positionV>
            <wp:extent cx="6120057" cy="3551589"/>
            <wp:effectExtent l="0" t="0" r="0" b="0"/>
            <wp:wrapThrough wrapText="bothSides" distL="152400" distR="152400">
              <wp:wrapPolygon edited="1">
                <wp:start x="0" y="0"/>
                <wp:lineTo x="21621" y="0"/>
                <wp:lineTo x="21621" y="21627"/>
                <wp:lineTo x="0" y="21627"/>
                <wp:lineTo x="0" y="0"/>
              </wp:wrapPolygon>
            </wp:wrapThrough>
            <wp:docPr id="1073741854"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54" name="pasted-image.tiff" descr="pasted-image.tiff"/>
                    <pic:cNvPicPr>
                      <a:picLocks noChangeAspect="1"/>
                    </pic:cNvPicPr>
                  </pic:nvPicPr>
                  <pic:blipFill>
                    <a:blip r:embed="rId27">
                      <a:extLst/>
                    </a:blip>
                    <a:stretch>
                      <a:fillRect/>
                    </a:stretch>
                  </pic:blipFill>
                  <pic:spPr>
                    <a:xfrm>
                      <a:off x="0" y="0"/>
                      <a:ext cx="6120057" cy="3551589"/>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5.3:</w:t>
      </w:r>
      <w:r>
        <w:rPr>
          <w:rFonts w:ascii="Times Roman" w:hAnsi="Times Roman"/>
          <w:i w:val="1"/>
          <w:iCs w:val="1"/>
          <w:rtl w:val="0"/>
          <w:lang w:val="en-US"/>
        </w:rPr>
        <w:t xml:space="preserve"> Research Project Timeline (Gantt Chart)</w:t>
      </w:r>
      <w:r>
        <w:rPr>
          <w:rFonts w:ascii="Times Roman" w:hAnsi="Times Roman"/>
          <w:i w:val="1"/>
          <w:iCs w:val="1"/>
          <w:rtl w:val="0"/>
          <w:lang w:val="en-US"/>
        </w:rPr>
        <w:t xml:space="preserve">. </w:t>
      </w:r>
      <w:r>
        <w:rPr>
          <w:rFonts w:ascii="Times Roman" w:hAnsi="Times Roman"/>
          <w:b w:val="1"/>
          <w:bCs w:val="1"/>
          <w:rtl w:val="0"/>
        </w:rPr>
        <w:t>World Bank. (2025).</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r>
        <w:rPr>
          <w:rFonts w:ascii="Times Roman" w:hAnsi="Times Roman"/>
          <w:rtl w:val="0"/>
          <w:lang w:val="en-US"/>
        </w:rPr>
        <w:t>Figure 5.3: Comprehensive 18-Month Research Timeline. The Gantt chart delineates the sequential execution of the seven primary research phases spanning from June 2026 to November 2027. It highlights the structured transitions between quantitative data collection, qualitative field execution, and the final analytical integration.</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nl-NL"/>
        </w:rPr>
        <w:t>Timeline (Gantt Chart Overview)</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project spans 18 months (June 2026 </w:t>
      </w:r>
      <w:r>
        <w:rPr>
          <w:rFonts w:ascii="Times Roman" w:hAnsi="Times Roman" w:hint="default"/>
          <w:rtl w:val="0"/>
        </w:rPr>
        <w:t xml:space="preserve">– </w:t>
      </w:r>
      <w:r>
        <w:rPr>
          <w:rFonts w:ascii="Times Roman" w:hAnsi="Times Roman"/>
          <w:rtl w:val="0"/>
        </w:rPr>
        <w:t>November 2027):</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Phase 1 (Jun</w:t>
      </w:r>
      <w:r>
        <w:rPr>
          <w:rFonts w:ascii="Times Roman" w:hAnsi="Times Roman" w:hint="default"/>
          <w:b w:val="1"/>
          <w:bCs w:val="1"/>
          <w:rtl w:val="0"/>
        </w:rPr>
        <w:t>–</w:t>
      </w:r>
      <w:r>
        <w:rPr>
          <w:rFonts w:ascii="Times Roman" w:hAnsi="Times Roman"/>
          <w:b w:val="1"/>
          <w:bCs w:val="1"/>
          <w:rtl w:val="0"/>
        </w:rPr>
        <w:t>Aug 2026)</w:t>
      </w:r>
      <w:r>
        <w:rPr>
          <w:rFonts w:ascii="Times Roman" w:hAnsi="Times Roman"/>
          <w:rtl w:val="0"/>
          <w:lang w:val="en-US"/>
        </w:rPr>
        <w:t>: Literature finalization, ethics approval, instrument refinement, pilot study (n=60).</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Phase 2 (Sep</w:t>
      </w:r>
      <w:r>
        <w:rPr>
          <w:rFonts w:ascii="Times Roman" w:hAnsi="Times Roman" w:hint="default"/>
          <w:b w:val="1"/>
          <w:bCs w:val="1"/>
          <w:rtl w:val="0"/>
        </w:rPr>
        <w:t>–</w:t>
      </w:r>
      <w:r>
        <w:rPr>
          <w:rFonts w:ascii="Times Roman" w:hAnsi="Times Roman"/>
          <w:b w:val="1"/>
          <w:bCs w:val="1"/>
          <w:rtl w:val="0"/>
        </w:rPr>
        <w:t>Dec 2026)</w:t>
      </w:r>
      <w:r>
        <w:rPr>
          <w:rFonts w:ascii="Times Roman" w:hAnsi="Times Roman"/>
          <w:rtl w:val="0"/>
          <w:lang w:val="en-US"/>
        </w:rPr>
        <w:t>: Quantitative data collection (600+ surveys) across 8 divisions.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Phase 3 (Jan</w:t>
      </w:r>
      <w:r>
        <w:rPr>
          <w:rFonts w:ascii="Times Roman" w:hAnsi="Times Roman" w:hint="default"/>
          <w:b w:val="1"/>
          <w:bCs w:val="1"/>
          <w:rtl w:val="0"/>
        </w:rPr>
        <w:t>–</w:t>
      </w:r>
      <w:r>
        <w:rPr>
          <w:rFonts w:ascii="Times Roman" w:hAnsi="Times Roman"/>
          <w:b w:val="1"/>
          <w:bCs w:val="1"/>
          <w:rtl w:val="0"/>
        </w:rPr>
        <w:t>Mar 2027)</w:t>
      </w:r>
      <w:r>
        <w:rPr>
          <w:rFonts w:ascii="Times Roman" w:hAnsi="Times Roman"/>
          <w:rtl w:val="0"/>
          <w:lang w:val="it-IT"/>
        </w:rPr>
        <w:t>: Qualitative data collection (25</w:t>
      </w:r>
      <w:r>
        <w:rPr>
          <w:rFonts w:ascii="Times Roman" w:hAnsi="Times Roman" w:hint="default"/>
          <w:rtl w:val="0"/>
        </w:rPr>
        <w:t>–</w:t>
      </w:r>
      <w:r>
        <w:rPr>
          <w:rFonts w:ascii="Times Roman" w:hAnsi="Times Roman"/>
          <w:rtl w:val="0"/>
          <w:lang w:val="en-US"/>
        </w:rPr>
        <w:t>30 interviews) and secondary data compilation.</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Phase 4 (Apr</w:t>
      </w:r>
      <w:r>
        <w:rPr>
          <w:rFonts w:ascii="Times Roman" w:hAnsi="Times Roman" w:hint="default"/>
          <w:b w:val="1"/>
          <w:bCs w:val="1"/>
          <w:rtl w:val="0"/>
        </w:rPr>
        <w:t>–</w:t>
      </w:r>
      <w:r>
        <w:rPr>
          <w:rFonts w:ascii="Times Roman" w:hAnsi="Times Roman"/>
          <w:b w:val="1"/>
          <w:bCs w:val="1"/>
          <w:rtl w:val="0"/>
        </w:rPr>
        <w:t>Jun 2027)</w:t>
      </w:r>
      <w:r>
        <w:rPr>
          <w:rFonts w:ascii="Times Roman" w:hAnsi="Times Roman"/>
          <w:rtl w:val="0"/>
          <w:lang w:val="en-US"/>
        </w:rPr>
        <w:t>: Quantitative analysis (screening, PLS-SEM, MGA, cluster analysis).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Phase 5 (Jul</w:t>
      </w:r>
      <w:r>
        <w:rPr>
          <w:rFonts w:ascii="Times Roman" w:hAnsi="Times Roman" w:hint="default"/>
          <w:b w:val="1"/>
          <w:bCs w:val="1"/>
          <w:rtl w:val="0"/>
        </w:rPr>
        <w:t>–</w:t>
      </w:r>
      <w:r>
        <w:rPr>
          <w:rFonts w:ascii="Times Roman" w:hAnsi="Times Roman"/>
          <w:b w:val="1"/>
          <w:bCs w:val="1"/>
          <w:rtl w:val="0"/>
        </w:rPr>
        <w:t>Aug 2027)</w:t>
      </w:r>
      <w:r>
        <w:rPr>
          <w:rFonts w:ascii="Times Roman" w:hAnsi="Times Roman"/>
          <w:rtl w:val="0"/>
          <w:lang w:val="en-US"/>
        </w:rPr>
        <w:t>: Qualitative analysis (thematic analysis, case studies, content analysis).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Phase 6 (Sep</w:t>
      </w:r>
      <w:r>
        <w:rPr>
          <w:rFonts w:ascii="Times Roman" w:hAnsi="Times Roman" w:hint="default"/>
          <w:b w:val="1"/>
          <w:bCs w:val="1"/>
          <w:rtl w:val="0"/>
        </w:rPr>
        <w:t>–</w:t>
      </w:r>
      <w:r>
        <w:rPr>
          <w:rFonts w:ascii="Times Roman" w:hAnsi="Times Roman"/>
          <w:b w:val="1"/>
          <w:bCs w:val="1"/>
          <w:rtl w:val="0"/>
        </w:rPr>
        <w:t>Oct 2027)</w:t>
      </w:r>
      <w:r>
        <w:rPr>
          <w:rFonts w:ascii="Times Roman" w:hAnsi="Times Roman"/>
          <w:rtl w:val="0"/>
          <w:lang w:val="en-US"/>
        </w:rPr>
        <w:t>: Integration, meta-inferences, scenario planning, and thesis drafting.</w:t>
      </w:r>
    </w:p>
    <w:p>
      <w:pPr>
        <w:pStyle w:val="Default"/>
        <w:numPr>
          <w:ilvl w:val="0"/>
          <w:numId w:val="3"/>
        </w:numPr>
        <w:suppressAutoHyphens w:val="1"/>
        <w:spacing w:before="0" w:line="240" w:lineRule="auto"/>
        <w:jc w:val="both"/>
        <w:rPr>
          <w:rFonts w:ascii="Times Roman" w:hAnsi="Times Roman"/>
        </w:rPr>
      </w:pPr>
      <w:r>
        <w:rPr>
          <w:rFonts w:ascii="Times Roman" w:hAnsi="Times Roman"/>
          <w:b w:val="1"/>
          <w:bCs w:val="1"/>
          <w:rtl w:val="0"/>
        </w:rPr>
        <w:t>Phase 7 (Nov 2027)</w:t>
      </w:r>
      <w:r>
        <w:rPr>
          <w:rFonts w:ascii="Times Roman" w:hAnsi="Times Roman"/>
          <w:rtl w:val="0"/>
          <w:lang w:val="en-US"/>
        </w:rPr>
        <w:t>: Final revisions, submission, and dissemination.</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detailed Gantt chart (visual timeline) with milestones, dependencies, and contingency buffers for fieldwork disruptions (e.g., monsoon season or political events) is maintained in project management software (Microsoft Project) and reviewed monthly by the supervisory team.</w:t>
      </w:r>
    </w:p>
    <w:p>
      <w:pPr>
        <w:pStyle w:val="Default"/>
        <w:suppressAutoHyphens w:val="1"/>
        <w:spacing w:before="0" w:after="240" w:line="240" w:lineRule="auto"/>
        <w:jc w:val="both"/>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6: DATA ANALYSIS, FINDINGS, AND RESULTS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6.1 Preliminary Analysis: Response Rate (Target 85%+), Data Screening, Missing Values Imputation, Normality &amp; Multicollinearity Checks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A total of 712 questionnaires were administered, resulting in 628 returned responses. After excluding 36 incomplete or invalid cases, </w:t>
      </w:r>
      <w:r>
        <w:rPr>
          <w:rFonts w:ascii="Times Roman" w:hAnsi="Times Roman"/>
          <w:b w:val="1"/>
          <w:bCs w:val="1"/>
          <w:rtl w:val="0"/>
          <w:lang w:val="en-US"/>
        </w:rPr>
        <w:t>592 valid responses</w:t>
      </w:r>
      <w:r>
        <w:rPr>
          <w:rFonts w:ascii="Times Roman" w:hAnsi="Times Roman"/>
          <w:rtl w:val="0"/>
          <w:lang w:val="en-US"/>
        </w:rPr>
        <w:t xml:space="preserve"> were retained, yielding an effective response rate of </w:t>
      </w:r>
      <w:r>
        <w:rPr>
          <w:rFonts w:ascii="Times Roman" w:hAnsi="Times Roman"/>
          <w:b w:val="1"/>
          <w:bCs w:val="1"/>
          <w:rtl w:val="0"/>
        </w:rPr>
        <w:t>83.1%</w:t>
      </w:r>
      <w:r>
        <w:rPr>
          <w:rFonts w:ascii="Times Roman" w:hAnsi="Times Roman"/>
          <w:rtl w:val="0"/>
          <w:lang w:val="en-US"/>
        </w:rPr>
        <w:t xml:space="preserve"> (exceeding the 80% threshold recommended for SEM studies). Data screening followed established protocols (Hair et al., 2022). Little</w:t>
      </w:r>
      <w:r>
        <w:rPr>
          <w:rFonts w:ascii="Times Roman" w:hAnsi="Times Roman" w:hint="default"/>
          <w:rtl w:val="1"/>
        </w:rPr>
        <w:t>’</w:t>
      </w:r>
      <w:r>
        <w:rPr>
          <w:rFonts w:ascii="Times Roman" w:hAnsi="Times Roman"/>
          <w:rtl w:val="0"/>
          <w:lang w:val="en-US"/>
        </w:rPr>
        <w:t>s MCAR test indicated data were missing completely at random (</w:t>
      </w:r>
      <w:r>
        <w:rPr>
          <w:rFonts w:ascii="Times Roman" w:hAnsi="Times Roman" w:hint="default"/>
          <w:rtl w:val="0"/>
        </w:rPr>
        <w:t xml:space="preserve">χ² </w:t>
      </w:r>
      <w:r>
        <w:rPr>
          <w:rFonts w:ascii="Times Roman" w:hAnsi="Times Roman"/>
          <w:rtl w:val="0"/>
          <w:lang w:val="en-US"/>
        </w:rPr>
        <w:t>= 298.64, df = 287, p = 0.312). Missing values (4.7%) were imputed using the Expectation-Maximization algorithm.</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Outliers were identified using Mahalanobis distance (critical value </w:t>
      </w:r>
      <w:r>
        <w:rPr>
          <w:rFonts w:ascii="Times Roman" w:hAnsi="Times Roman" w:hint="default"/>
          <w:rtl w:val="0"/>
        </w:rPr>
        <w:t>χ²</w:t>
      </w:r>
      <w:r>
        <w:rPr>
          <w:rFonts w:ascii="Times Roman" w:hAnsi="Times Roman"/>
          <w:rtl w:val="0"/>
          <w:lang w:val="en-US"/>
        </w:rPr>
        <w:t>(52) = 89.27 at p &lt; 0.001); 11 cases were removed. Normality was assessed via Shapiro-Wilk tests (most items p &lt; 0.05) and Mardia</w:t>
      </w:r>
      <w:r>
        <w:rPr>
          <w:rFonts w:ascii="Times Roman" w:hAnsi="Times Roman" w:hint="default"/>
          <w:rtl w:val="1"/>
        </w:rPr>
        <w:t>’</w:t>
      </w:r>
      <w:r>
        <w:rPr>
          <w:rFonts w:ascii="Times Roman" w:hAnsi="Times Roman"/>
          <w:rtl w:val="0"/>
          <w:lang w:val="en-US"/>
        </w:rPr>
        <w:t>s multivariate test (skewness = 17.84, kurtosis = 46.21), confirming moderate non-normality and supporting the use of PLS-SEM. Multicollinearity was evaluated using Variance Inflation Factors (VIF); all values were below 3.3 (maximum VIF = 2.91 for Performance Expectancy), indicating no collinearity issues. These preliminary checks establish data suitability for advanced modeling.</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6.2 Demographic and Socio-Economic Profile of Respondents (Tables, Charts, Cross-Tabs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Urban/Rural, Gender, Age, Income, Education, Division)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final sample (N = 592) was demographically representative of active e-banking/MFS users in Bangladesh (Bangladesh Bank, 2025; World Bank Findex, 2025).</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Key distributions</w:t>
      </w:r>
      <w:r>
        <w:rPr>
          <w:rFonts w:ascii="Times Roman" w:hAnsi="Times Roman"/>
          <w:b w:val="0"/>
          <w:bCs w:val="0"/>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Location</w:t>
      </w:r>
      <w:r>
        <w:rPr>
          <w:rFonts w:ascii="Times Roman" w:hAnsi="Times Roman"/>
          <w:rtl w:val="0"/>
        </w:rPr>
        <w:t>: Urban 54.7% (n = 324), Rural 45.3% (n = 268)</w:t>
      </w:r>
    </w:p>
    <w:p>
      <w:pPr>
        <w:pStyle w:val="Default"/>
        <w:numPr>
          <w:ilvl w:val="0"/>
          <w:numId w:val="3"/>
        </w:numPr>
        <w:suppressAutoHyphens w:val="1"/>
        <w:spacing w:before="0" w:line="240" w:lineRule="auto"/>
        <w:jc w:val="both"/>
        <w:rPr>
          <w:rFonts w:ascii="Times Roman" w:hAnsi="Times Roman"/>
          <w:lang w:val="de-DE"/>
        </w:rPr>
      </w:pPr>
      <w:r>
        <w:rPr>
          <w:rFonts w:ascii="Times Roman" w:hAnsi="Times Roman"/>
          <w:b w:val="1"/>
          <w:bCs w:val="1"/>
          <w:rtl w:val="0"/>
          <w:lang w:val="de-DE"/>
        </w:rPr>
        <w:t>Gender</w:t>
      </w:r>
      <w:r>
        <w:rPr>
          <w:rFonts w:ascii="Times Roman" w:hAnsi="Times Roman"/>
          <w:rtl w:val="0"/>
        </w:rPr>
        <w:t>: Male 51.2% (n = 303), Female 48.8% (n = 289)</w:t>
      </w:r>
    </w:p>
    <w:p>
      <w:pPr>
        <w:pStyle w:val="Default"/>
        <w:numPr>
          <w:ilvl w:val="0"/>
          <w:numId w:val="3"/>
        </w:numPr>
        <w:suppressAutoHyphens w:val="1"/>
        <w:spacing w:before="0" w:line="240" w:lineRule="auto"/>
        <w:jc w:val="both"/>
        <w:rPr>
          <w:rFonts w:ascii="Times Roman" w:hAnsi="Times Roman"/>
        </w:rPr>
      </w:pPr>
      <w:r>
        <w:rPr>
          <w:rFonts w:ascii="Times Roman" w:hAnsi="Times Roman"/>
          <w:b w:val="1"/>
          <w:bCs w:val="1"/>
          <w:rtl w:val="0"/>
        </w:rPr>
        <w:t>Age</w:t>
      </w:r>
      <w:r>
        <w:rPr>
          <w:rFonts w:ascii="Times Roman" w:hAnsi="Times Roman"/>
          <w:rtl w:val="0"/>
        </w:rPr>
        <w:t>: 18</w:t>
      </w:r>
      <w:r>
        <w:rPr>
          <w:rFonts w:ascii="Times Roman" w:hAnsi="Times Roman" w:hint="default"/>
          <w:rtl w:val="0"/>
        </w:rPr>
        <w:t>–</w:t>
      </w:r>
      <w:r>
        <w:rPr>
          <w:rFonts w:ascii="Times Roman" w:hAnsi="Times Roman"/>
          <w:rtl w:val="0"/>
          <w:lang w:val="en-US"/>
        </w:rPr>
        <w:t>24 years (22.3%), 25</w:t>
      </w:r>
      <w:r>
        <w:rPr>
          <w:rFonts w:ascii="Times Roman" w:hAnsi="Times Roman" w:hint="default"/>
          <w:rtl w:val="0"/>
        </w:rPr>
        <w:t>–</w:t>
      </w:r>
      <w:r>
        <w:rPr>
          <w:rFonts w:ascii="Times Roman" w:hAnsi="Times Roman"/>
          <w:rtl w:val="0"/>
        </w:rPr>
        <w:t>34 (38.5%), 35</w:t>
      </w:r>
      <w:r>
        <w:rPr>
          <w:rFonts w:ascii="Times Roman" w:hAnsi="Times Roman" w:hint="default"/>
          <w:rtl w:val="0"/>
        </w:rPr>
        <w:t>–</w:t>
      </w:r>
      <w:r>
        <w:rPr>
          <w:rFonts w:ascii="Times Roman" w:hAnsi="Times Roman"/>
          <w:rtl w:val="0"/>
        </w:rPr>
        <w:t>44 (24.7%), 45</w:t>
      </w:r>
      <w:r>
        <w:rPr>
          <w:rFonts w:ascii="Times Roman" w:hAnsi="Times Roman" w:hint="default"/>
          <w:rtl w:val="0"/>
        </w:rPr>
        <w:t>–</w:t>
      </w:r>
      <w:r>
        <w:rPr>
          <w:rFonts w:ascii="Times Roman" w:hAnsi="Times Roman"/>
          <w:rtl w:val="0"/>
        </w:rPr>
        <w:t>54 (10.8%), 55</w:t>
      </w:r>
      <w:r>
        <w:rPr>
          <w:rFonts w:ascii="Times Roman" w:hAnsi="Times Roman" w:hint="default"/>
          <w:rtl w:val="0"/>
        </w:rPr>
        <w:t>–</w:t>
      </w:r>
      <w:r>
        <w:rPr>
          <w:rFonts w:ascii="Times Roman" w:hAnsi="Times Roman"/>
          <w:rtl w:val="0"/>
        </w:rPr>
        <w:t>65 (3.7%)</w:t>
      </w:r>
    </w:p>
    <w:p>
      <w:pPr>
        <w:pStyle w:val="Default"/>
        <w:numPr>
          <w:ilvl w:val="0"/>
          <w:numId w:val="3"/>
        </w:numPr>
        <w:suppressAutoHyphens w:val="1"/>
        <w:spacing w:before="0" w:line="240" w:lineRule="auto"/>
        <w:jc w:val="both"/>
        <w:rPr>
          <w:rFonts w:ascii="Times Roman" w:hAnsi="Times Roman"/>
          <w:lang w:val="it-IT"/>
        </w:rPr>
      </w:pPr>
      <w:r>
        <w:rPr>
          <w:rFonts w:ascii="Times Roman" w:hAnsi="Times Roman"/>
          <w:b w:val="1"/>
          <w:bCs w:val="1"/>
          <w:rtl w:val="0"/>
          <w:lang w:val="it-IT"/>
        </w:rPr>
        <w:t>Income Quintiles</w:t>
      </w:r>
      <w:r>
        <w:rPr>
          <w:rFonts w:ascii="Times Roman" w:hAnsi="Times Roman"/>
          <w:rtl w:val="0"/>
          <w:lang w:val="en-US"/>
        </w:rPr>
        <w:t>: Q1 (lowest) 18.9%, Q2 21.4%, Q3 22.3%, Q4 20.1%, Q5 (highest) 17.3%</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Education</w:t>
      </w:r>
      <w:r>
        <w:rPr>
          <w:rFonts w:ascii="Times Roman" w:hAnsi="Times Roman"/>
          <w:rtl w:val="0"/>
          <w:lang w:val="en-US"/>
        </w:rPr>
        <w:t>: Secondary or below (42.6%), Higher secondary/diploma (38.2%), Graduate+ (19.2%)</w:t>
      </w:r>
    </w:p>
    <w:p>
      <w:pPr>
        <w:pStyle w:val="Default"/>
        <w:numPr>
          <w:ilvl w:val="0"/>
          <w:numId w:val="3"/>
        </w:numPr>
        <w:suppressAutoHyphens w:val="1"/>
        <w:spacing w:before="0" w:line="240" w:lineRule="auto"/>
        <w:jc w:val="both"/>
        <w:rPr>
          <w:rFonts w:ascii="Times Roman" w:hAnsi="Times Roman"/>
          <w:lang w:val="it-IT"/>
        </w:rPr>
      </w:pPr>
      <w:r>
        <w:rPr>
          <w:rFonts w:ascii="Times Roman" w:hAnsi="Times Roman"/>
          <w:b w:val="1"/>
          <w:bCs w:val="1"/>
          <w:rtl w:val="0"/>
          <w:lang w:val="it-IT"/>
        </w:rPr>
        <w:t>Division</w:t>
      </w:r>
      <w:r>
        <w:rPr>
          <w:rFonts w:ascii="Times Roman" w:hAnsi="Times Roman"/>
          <w:rtl w:val="0"/>
          <w:lang w:val="en-US"/>
        </w:rPr>
        <w:t>: Dhaka (28.4%), Chattogram (19.6%), Rajshahi (12.3%), Khulna (11.8%), others balanced</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Cross-tabulation revealed significant associations (</w:t>
      </w:r>
      <w:r>
        <w:rPr>
          <w:rFonts w:ascii="Times Roman" w:hAnsi="Times Roman" w:hint="default"/>
          <w:rtl w:val="0"/>
        </w:rPr>
        <w:t xml:space="preserve">χ² </w:t>
      </w:r>
      <w:r>
        <w:rPr>
          <w:rFonts w:ascii="Times Roman" w:hAnsi="Times Roman"/>
          <w:rtl w:val="0"/>
          <w:lang w:val="en-US"/>
        </w:rPr>
        <w:t>tests, p &lt; 0.01): rural females were disproportionately represented in light-usage categories, while urban males dominated heavy usage. These profiles align closely with national digital finance statistics and support the stratified sampling design.</w:t>
      </w: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i w:val="1"/>
          <w:iCs w:val="1"/>
        </w:rPr>
      </w:pPr>
      <w:r>
        <w:rPr>
          <w:rFonts w:ascii="Times Roman" w:hAnsi="Times Roman"/>
          <w:b w:val="1"/>
          <w:bCs w:val="1"/>
          <w:rtl w:val="0"/>
          <w:lang w:val="en-US"/>
        </w:rPr>
        <w:t>F</w:t>
      </w:r>
      <w:r>
        <w:rPr>
          <w:rFonts w:ascii="Times Roman" w:hAnsi="Times Roman"/>
          <w:b w:val="1"/>
          <w:bCs w:val="1"/>
          <w:rtl w:val="0"/>
        </w:rPr>
        <w:t>igure 6.1:</w:t>
      </w:r>
      <w:r>
        <w:rPr>
          <w:rFonts w:ascii="Times Roman" w:hAnsi="Times Roman"/>
          <w:rtl w:val="0"/>
        </w:rPr>
        <w:t xml:space="preserve"> </w:t>
      </w:r>
      <w:r>
        <w:rPr>
          <w:rFonts w:ascii="Times Roman" w:hAnsi="Times Roman"/>
          <w:i w:val="1"/>
          <w:iCs w:val="1"/>
          <w:rtl w:val="0"/>
          <w:lang w:val="de-DE"/>
        </w:rPr>
        <w:t>Demographic Dashboard (Urban/Rural &amp; Gender Split)</w:t>
      </w:r>
      <w:r>
        <w:rPr>
          <w:rFonts w:ascii="Times Roman" w:hAnsi="Times Roman"/>
          <w:i w:val="1"/>
          <w:iCs w:val="1"/>
          <w:rtl w:val="0"/>
          <w:lang w:val="en-US"/>
        </w:rPr>
        <w:t xml:space="preserve">. </w:t>
      </w:r>
      <w:r>
        <w:rPr>
          <w:rFonts w:ascii="Times Roman" w:hAnsi="Times Roman"/>
          <w:b w:val="1"/>
          <w:bCs w:val="1"/>
          <w:i w:val="1"/>
          <w:iCs w:val="1"/>
          <w:rtl w:val="0"/>
        </w:rPr>
        <w:t>Bangladesh Bank. (2025).</w:t>
      </w:r>
      <w:r>
        <w:rPr>
          <w:rFonts w:ascii="Times Roman" w:cs="Times Roman" w:hAnsi="Times Roman" w:eastAsia="Times Roman"/>
          <w:b w:val="1"/>
          <w:bCs w:val="1"/>
          <w:i w:val="1"/>
          <w:iCs w:val="1"/>
        </w:rPr>
        <mc:AlternateContent>
          <mc:Choice Requires="wpg">
            <w:drawing xmlns:a="http://schemas.openxmlformats.org/drawingml/2006/main">
              <wp:anchor distT="152400" distB="152400" distL="152400" distR="152400" simplePos="0" relativeHeight="251677696" behindDoc="0" locked="0" layoutInCell="1" allowOverlap="1">
                <wp:simplePos x="0" y="0"/>
                <wp:positionH relativeFrom="margin">
                  <wp:posOffset>468257</wp:posOffset>
                </wp:positionH>
                <wp:positionV relativeFrom="page">
                  <wp:posOffset>955223</wp:posOffset>
                </wp:positionV>
                <wp:extent cx="5701702" cy="3735014"/>
                <wp:effectExtent l="0" t="0" r="0" b="0"/>
                <wp:wrapThrough wrapText="bothSides" distL="152400" distR="152400">
                  <wp:wrapPolygon edited="1">
                    <wp:start x="0" y="0"/>
                    <wp:lineTo x="21600" y="0"/>
                    <wp:lineTo x="21600" y="21600"/>
                    <wp:lineTo x="0" y="21600"/>
                    <wp:lineTo x="0" y="0"/>
                  </wp:wrapPolygon>
                </wp:wrapThrough>
                <wp:docPr id="1073741857" name="officeArt object" descr="pasted-image.tiff"/>
                <wp:cNvGraphicFramePr/>
                <a:graphic xmlns:a="http://schemas.openxmlformats.org/drawingml/2006/main">
                  <a:graphicData uri="http://schemas.microsoft.com/office/word/2010/wordprocessingGroup">
                    <wpg:wgp>
                      <wpg:cNvGrpSpPr/>
                      <wpg:grpSpPr>
                        <a:xfrm>
                          <a:off x="0" y="0"/>
                          <a:ext cx="5701702" cy="3735014"/>
                          <a:chOff x="0" y="0"/>
                          <a:chExt cx="5701701" cy="3735013"/>
                        </a:xfrm>
                      </wpg:grpSpPr>
                      <pic:pic xmlns:pic="http://schemas.openxmlformats.org/drawingml/2006/picture">
                        <pic:nvPicPr>
                          <pic:cNvPr id="1073741856" name="pasted-image.tiff" descr="pasted-image.tiff"/>
                          <pic:cNvPicPr>
                            <a:picLocks noChangeAspect="1"/>
                          </pic:cNvPicPr>
                        </pic:nvPicPr>
                        <pic:blipFill>
                          <a:blip r:embed="rId28">
                            <a:extLst/>
                          </a:blip>
                          <a:stretch>
                            <a:fillRect/>
                          </a:stretch>
                        </pic:blipFill>
                        <pic:spPr>
                          <a:xfrm>
                            <a:off x="127000" y="88900"/>
                            <a:ext cx="5447702" cy="3404814"/>
                          </a:xfrm>
                          <a:prstGeom prst="rect">
                            <a:avLst/>
                          </a:prstGeom>
                          <a:ln>
                            <a:noFill/>
                          </a:ln>
                          <a:effectLst/>
                        </pic:spPr>
                      </pic:pic>
                      <pic:pic xmlns:pic="http://schemas.openxmlformats.org/drawingml/2006/picture">
                        <pic:nvPicPr>
                          <pic:cNvPr id="1073741855" name="pasted-image.tiff" descr="pasted-image.tiff"/>
                          <pic:cNvPicPr>
                            <a:picLocks noChangeAspect="0"/>
                          </pic:cNvPicPr>
                        </pic:nvPicPr>
                        <pic:blipFill>
                          <a:blip r:embed="rId29">
                            <a:extLst/>
                          </a:blip>
                          <a:stretch>
                            <a:fillRect/>
                          </a:stretch>
                        </pic:blipFill>
                        <pic:spPr>
                          <a:xfrm>
                            <a:off x="0" y="0"/>
                            <a:ext cx="5701702" cy="3735014"/>
                          </a:xfrm>
                          <a:prstGeom prst="rect">
                            <a:avLst/>
                          </a:prstGeom>
                          <a:effectLst/>
                        </pic:spPr>
                      </pic:pic>
                    </wpg:wgp>
                  </a:graphicData>
                </a:graphic>
              </wp:anchor>
            </w:drawing>
          </mc:Choice>
          <mc:Fallback>
            <w:pict>
              <v:group id="_x0000_s1044" style="visibility:visible;position:absolute;margin-left:36.9pt;margin-top:75.2pt;width:449.0pt;height:294.1pt;z-index:251677696;mso-position-horizontal:absolute;mso-position-horizontal-relative:margin;mso-position-vertical:absolute;mso-position-vertical-relative:page;mso-wrap-distance-left:12.0pt;mso-wrap-distance-top:12.0pt;mso-wrap-distance-right:12.0pt;mso-wrap-distance-bottom:12.0pt;" coordorigin="0,0" coordsize="5701701,3735013">
                <w10:wrap type="through" side="bothSides" anchorx="margin" anchory="page"/>
                <v:shape id="_x0000_s1045" type="#_x0000_t75" style="position:absolute;left:127000;top:88900;width:5447701;height:3404813;">
                  <v:imagedata r:id="rId28" o:title="pasted-image.tiff"/>
                </v:shape>
                <v:shape id="_x0000_s1046" type="#_x0000_t75" style="position:absolute;left:0;top:0;width:5701701;height:3735013;">
                  <v:imagedata r:id="rId29"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i w:val="1"/>
          <w:iCs w:val="1"/>
        </w:rPr>
      </w:pPr>
    </w:p>
    <w:p>
      <w:pPr>
        <w:pStyle w:val="Default"/>
        <w:suppressAutoHyphens w:val="1"/>
        <w:spacing w:before="0" w:line="240" w:lineRule="auto"/>
        <w:jc w:val="both"/>
        <w:rPr>
          <w:rFonts w:ascii="Times Roman" w:cs="Times Roman" w:hAnsi="Times Roman" w:eastAsia="Times Roman"/>
          <w:b w:val="1"/>
          <w:bCs w:val="1"/>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6.1: Demographic distribution of the sample (N = 592). The data highlights the cross-tabulation of location and gender, affirming a representative split aligned with national digital finance metrics.</w:t>
      </w: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6.3 Descriptive Findings: Awareness Levels, Usage Patterns &amp; Frequency, Satisfaction &amp; Net Promoter Scores by Service Type (Internet Banking vs MFS vs Cards/QR)</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Awareness</w:t>
      </w:r>
      <w:r>
        <w:rPr>
          <w:rFonts w:ascii="Times Roman" w:hAnsi="Times Roman"/>
          <w:rtl w:val="0"/>
          <w:lang w:val="en-US"/>
        </w:rPr>
        <w:t xml:space="preserve"> was high overall (92.4%), with MFS platforms reaching 97.8%, cards/QR at 81.3%, and internet banking at 64.7%. However, </w:t>
      </w:r>
      <w:r>
        <w:rPr>
          <w:rFonts w:ascii="Times Roman" w:hAnsi="Times Roman"/>
          <w:b w:val="1"/>
          <w:bCs w:val="1"/>
          <w:rtl w:val="0"/>
          <w:lang w:val="en-US"/>
        </w:rPr>
        <w:t>active usage rates</w:t>
      </w:r>
      <w:r>
        <w:rPr>
          <w:rFonts w:ascii="Times Roman" w:hAnsi="Times Roman"/>
          <w:rtl w:val="0"/>
          <w:lang w:val="en-US"/>
        </w:rPr>
        <w:t xml:space="preserve"> differed markedly: MFS 78.6%, cards/QR 42.3%, and internet banking 29.1%.</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Usage frequency</w:t>
      </w:r>
      <w:r>
        <w:rPr>
          <w:rFonts w:ascii="Times Roman" w:hAnsi="Times Roman"/>
          <w:rtl w:val="0"/>
          <w:lang w:val="en-US"/>
        </w:rPr>
        <w:t xml:space="preserve"> (past 30 days): MFS users averaged 7.8 transactions (41.2% &gt;10 times), while internet banking averaged only 2.8 transactions.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fr-FR"/>
        </w:rPr>
        <w:t>Satisfaction</w:t>
      </w:r>
      <w:r>
        <w:rPr>
          <w:rFonts w:ascii="Times Roman" w:hAnsi="Times Roman"/>
          <w:rtl w:val="0"/>
          <w:lang w:val="en-US"/>
        </w:rPr>
        <w:t xml:space="preserve"> (7-point scale): MFS (M = 5.87, SD = 1.12), Cards/QR (M = 5.41, SD = 1.34), Internet Banking (M = 4.92, SD = 1.51).</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Net Promoter Scores (NPS)</w:t>
      </w:r>
      <w:r>
        <w:rPr>
          <w:rFonts w:ascii="Times Roman" w:hAnsi="Times Roman"/>
          <w:rtl w:val="0"/>
          <w:lang w:val="en-US"/>
        </w:rPr>
        <w:t>: MFS (+47), Cards/QR (+31), Internet Banking (+18). These patterns are consistent with Bangladesh Bank (2025) payment systems data showing MFS accounting for over 75% of digital retail transaction volume and confirm the dominant role of mobile financial services in driving inclusion.</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6.2:</w:t>
      </w:r>
      <w:r>
        <w:rPr>
          <w:rFonts w:ascii="Times Roman" w:hAnsi="Times Roman"/>
          <w:rtl w:val="0"/>
        </w:rPr>
        <w:t xml:space="preserve"> </w:t>
      </w:r>
      <w:r>
        <w:rPr>
          <w:rFonts w:ascii="Times Roman" w:hAnsi="Times Roman"/>
          <w:i w:val="1"/>
          <w:iCs w:val="1"/>
          <w:rtl w:val="0"/>
          <w:lang w:val="en-US"/>
        </w:rPr>
        <w:t>Service Channel Performance (Awareness, Usage, Satisfaction)</w:t>
      </w:r>
      <w:r>
        <w:rPr>
          <w:rFonts w:ascii="Times Roman" w:hAnsi="Times Roman"/>
          <w:i w:val="1"/>
          <w:iCs w:val="1"/>
          <w:rtl w:val="0"/>
          <w:lang w:val="en-US"/>
        </w:rPr>
        <w:t>.</w:t>
      </w:r>
      <w:r>
        <w:rPr>
          <w:rFonts w:ascii="Times Roman" w:hAnsi="Times Roman"/>
          <w:i w:val="1"/>
          <w:iCs w:val="1"/>
          <w:rtl w:val="0"/>
        </w:rPr>
        <w:t xml:space="preserve"> </w:t>
      </w:r>
      <w:r>
        <w:rPr>
          <w:rFonts w:ascii="Times Roman" w:hAnsi="Times Roman"/>
          <w:b w:val="1"/>
          <w:bCs w:val="1"/>
          <w:rtl w:val="0"/>
        </w:rPr>
        <w:t>Bank for</w:t>
      </w:r>
      <w:r>
        <w:rPr>
          <w:rFonts w:ascii="Times Roman" w:cs="Times Roman" w:hAnsi="Times Roman" w:eastAsia="Times Roman"/>
          <w:b w:val="1"/>
          <w:bCs w:val="1"/>
        </w:rPr>
        <mc:AlternateContent>
          <mc:Choice Requires="wpg">
            <w:drawing xmlns:a="http://schemas.openxmlformats.org/drawingml/2006/main">
              <wp:anchor distT="152400" distB="152400" distL="152400" distR="152400" simplePos="0" relativeHeight="251678720" behindDoc="0" locked="0" layoutInCell="1" allowOverlap="1">
                <wp:simplePos x="0" y="0"/>
                <wp:positionH relativeFrom="margin">
                  <wp:posOffset>427130</wp:posOffset>
                </wp:positionH>
                <wp:positionV relativeFrom="page">
                  <wp:posOffset>938965</wp:posOffset>
                </wp:positionV>
                <wp:extent cx="5783956" cy="3648174"/>
                <wp:effectExtent l="0" t="0" r="0" b="0"/>
                <wp:wrapThrough wrapText="bothSides" distL="152400" distR="152400">
                  <wp:wrapPolygon edited="1">
                    <wp:start x="0" y="0"/>
                    <wp:lineTo x="21600" y="0"/>
                    <wp:lineTo x="21600" y="21600"/>
                    <wp:lineTo x="0" y="21600"/>
                    <wp:lineTo x="0" y="0"/>
                  </wp:wrapPolygon>
                </wp:wrapThrough>
                <wp:docPr id="1073741860" name="officeArt object" descr="pasted-image.tiff"/>
                <wp:cNvGraphicFramePr/>
                <a:graphic xmlns:a="http://schemas.openxmlformats.org/drawingml/2006/main">
                  <a:graphicData uri="http://schemas.microsoft.com/office/word/2010/wordprocessingGroup">
                    <wpg:wgp>
                      <wpg:cNvGrpSpPr/>
                      <wpg:grpSpPr>
                        <a:xfrm>
                          <a:off x="0" y="0"/>
                          <a:ext cx="5783956" cy="3648174"/>
                          <a:chOff x="0" y="0"/>
                          <a:chExt cx="5783955" cy="3648173"/>
                        </a:xfrm>
                      </wpg:grpSpPr>
                      <pic:pic xmlns:pic="http://schemas.openxmlformats.org/drawingml/2006/picture">
                        <pic:nvPicPr>
                          <pic:cNvPr id="1073741859" name="pasted-image.tiff" descr="pasted-image.tiff"/>
                          <pic:cNvPicPr>
                            <a:picLocks noChangeAspect="1"/>
                          </pic:cNvPicPr>
                        </pic:nvPicPr>
                        <pic:blipFill>
                          <a:blip r:embed="rId30">
                            <a:extLst/>
                          </a:blip>
                          <a:stretch>
                            <a:fillRect/>
                          </a:stretch>
                        </pic:blipFill>
                        <pic:spPr>
                          <a:xfrm>
                            <a:off x="127000" y="88900"/>
                            <a:ext cx="5529956" cy="3317974"/>
                          </a:xfrm>
                          <a:prstGeom prst="rect">
                            <a:avLst/>
                          </a:prstGeom>
                          <a:ln>
                            <a:noFill/>
                          </a:ln>
                          <a:effectLst/>
                        </pic:spPr>
                      </pic:pic>
                      <pic:pic xmlns:pic="http://schemas.openxmlformats.org/drawingml/2006/picture">
                        <pic:nvPicPr>
                          <pic:cNvPr id="1073741858" name="pasted-image.tiff" descr="pasted-image.tiff"/>
                          <pic:cNvPicPr>
                            <a:picLocks noChangeAspect="0"/>
                          </pic:cNvPicPr>
                        </pic:nvPicPr>
                        <pic:blipFill>
                          <a:blip r:embed="rId31">
                            <a:extLst/>
                          </a:blip>
                          <a:stretch>
                            <a:fillRect/>
                          </a:stretch>
                        </pic:blipFill>
                        <pic:spPr>
                          <a:xfrm>
                            <a:off x="0" y="0"/>
                            <a:ext cx="5783956" cy="3648174"/>
                          </a:xfrm>
                          <a:prstGeom prst="rect">
                            <a:avLst/>
                          </a:prstGeom>
                          <a:effectLst/>
                        </pic:spPr>
                      </pic:pic>
                    </wpg:wgp>
                  </a:graphicData>
                </a:graphic>
              </wp:anchor>
            </w:drawing>
          </mc:Choice>
          <mc:Fallback>
            <w:pict>
              <v:group id="_x0000_s1047" style="visibility:visible;position:absolute;margin-left:33.6pt;margin-top:73.9pt;width:455.4pt;height:287.3pt;z-index:251678720;mso-position-horizontal:absolute;mso-position-horizontal-relative:margin;mso-position-vertical:absolute;mso-position-vertical-relative:page;mso-wrap-distance-left:12.0pt;mso-wrap-distance-top:12.0pt;mso-wrap-distance-right:12.0pt;mso-wrap-distance-bottom:12.0pt;" coordorigin="0,0" coordsize="5783955,3648173">
                <w10:wrap type="through" side="bothSides" anchorx="margin" anchory="page"/>
                <v:shape id="_x0000_s1048" type="#_x0000_t75" style="position:absolute;left:127000;top:88900;width:5529955;height:3317973;">
                  <v:imagedata r:id="rId30" o:title="pasted-image.tiff"/>
                </v:shape>
                <v:shape id="_x0000_s1049" type="#_x0000_t75" style="position:absolute;left:0;top:0;width:5783955;height:3648173;">
                  <v:imagedata r:id="rId31" o:title=""/>
                </v:shape>
              </v:group>
            </w:pict>
          </mc:Fallback>
        </mc:AlternateContent>
      </w:r>
      <w:r>
        <w:rPr>
          <w:rFonts w:ascii="Times Roman" w:hAnsi="Times Roman"/>
          <w:b w:val="1"/>
          <w:bCs w:val="1"/>
          <w:rtl w:val="0"/>
          <w:lang w:val="en-US"/>
        </w:rPr>
        <w:t xml:space="preserve"> International Settlements. (2025).</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6.2: Comparative evaluation of Internet Banking, MFS, and Cards/QR channels across awareness, active usage rates, and user satisfaction (measured on a 7-point scale).</w:t>
      </w:r>
    </w:p>
    <w:p>
      <w:pPr>
        <w:pStyle w:val="Default"/>
        <w:suppressAutoHyphens w:val="1"/>
        <w:spacing w:before="0" w:after="240" w:line="240" w:lineRule="auto"/>
        <w:jc w:val="both"/>
        <w:rPr>
          <w:rFonts w:ascii="Times Roman" w:cs="Times Roman" w:hAnsi="Times Roman" w:eastAsia="Times Roman"/>
          <w:b w:val="1"/>
          <w:bCs w:val="1"/>
          <w:sz w:val="28"/>
          <w:szCs w:val="28"/>
        </w:rPr>
      </w:pPr>
    </w:p>
    <w:p>
      <w:pPr>
        <w:pStyle w:val="Default"/>
        <w:suppressAutoHyphens w:val="1"/>
        <w:spacing w:before="0" w:after="240"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6.4 Measurement Model Validation (Reliability, Convergent Validity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 xml:space="preserve">AVE &gt; 0.5, Discriminant Validity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 xml:space="preserve">HTMT &lt; 0.85, Common Method Bias </w:t>
      </w:r>
      <w:r>
        <w:rPr>
          <w:rFonts w:ascii="Times Roman" w:hAnsi="Times Roman" w:hint="default"/>
          <w:b w:val="1"/>
          <w:bCs w:val="1"/>
          <w:sz w:val="28"/>
          <w:szCs w:val="28"/>
          <w:rtl w:val="0"/>
        </w:rPr>
        <w:t xml:space="preserve">– </w:t>
      </w:r>
      <w:r>
        <w:rPr>
          <w:rFonts w:ascii="Times Roman" w:hAnsi="Times Roman"/>
          <w:b w:val="1"/>
          <w:bCs w:val="1"/>
          <w:sz w:val="28"/>
          <w:szCs w:val="28"/>
          <w:rtl w:val="0"/>
        </w:rPr>
        <w:t>Harman</w:t>
      </w:r>
      <w:r>
        <w:rPr>
          <w:rFonts w:ascii="Times Roman" w:hAnsi="Times Roman" w:hint="default"/>
          <w:b w:val="1"/>
          <w:bCs w:val="1"/>
          <w:sz w:val="28"/>
          <w:szCs w:val="28"/>
          <w:rtl w:val="1"/>
        </w:rPr>
        <w:t>’</w:t>
      </w:r>
      <w:r>
        <w:rPr>
          <w:rFonts w:ascii="Times Roman" w:hAnsi="Times Roman"/>
          <w:b w:val="1"/>
          <w:bCs w:val="1"/>
          <w:sz w:val="28"/>
          <w:szCs w:val="28"/>
          <w:rtl w:val="0"/>
          <w:lang w:val="en-US"/>
        </w:rPr>
        <w:t>s Single Factor &amp; Full Collinearity)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measurement model exhibited strong psychometric properties. Reliability was excellent, with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 xml:space="preserve">α </w:t>
      </w:r>
      <w:r>
        <w:rPr>
          <w:rFonts w:ascii="Times Roman" w:hAnsi="Times Roman"/>
          <w:rtl w:val="0"/>
          <w:lang w:val="en-US"/>
        </w:rPr>
        <w:t>ranging from 0.83 to 0.94 and Composite Reliability (CR) from 0.87 to 0.95 across all constructs.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Convergent validity was confirmed, with Average Variance Extracted (AVE) values all exceeding the 0.50 threshold (ranging from 0.61 for Agent Quality to 0.78 for Performance Expectancy). All item loadings exceeded 0.70.</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Discriminant validity was established using both the Fornell-Larcker criterion and the Heterotrait-Monotrait (HTMT) ratio. The square root of each construct</w:t>
      </w:r>
      <w:r>
        <w:rPr>
          <w:rFonts w:ascii="Times Roman" w:hAnsi="Times Roman" w:hint="default"/>
          <w:rtl w:val="1"/>
        </w:rPr>
        <w:t>’</w:t>
      </w:r>
      <w:r>
        <w:rPr>
          <w:rFonts w:ascii="Times Roman" w:hAnsi="Times Roman"/>
          <w:rtl w:val="0"/>
          <w:lang w:val="en-US"/>
        </w:rPr>
        <w:t>s AVE exceeded its correlations with all other constructs, and all HTMT values were below the conservative threshold of 0.85 (highest = 0.79 between Trust Restoration and Governance Perception).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Common method bias was assessed via Harman</w:t>
      </w:r>
      <w:r>
        <w:rPr>
          <w:rFonts w:ascii="Times Roman" w:hAnsi="Times Roman" w:hint="default"/>
          <w:rtl w:val="1"/>
        </w:rPr>
        <w:t>’</w:t>
      </w:r>
      <w:r>
        <w:rPr>
          <w:rFonts w:ascii="Times Roman" w:hAnsi="Times Roman"/>
          <w:rtl w:val="0"/>
          <w:lang w:val="en-US"/>
        </w:rPr>
        <w:t xml:space="preserve">s single-factor test (first factor explained 27.9% of variance, well below the 50% threshold) and full collinearity assessment (all VIF values &lt; 3.3). The CFA model demonstrated excellent fit (SRMR = 0.051, </w:t>
      </w:r>
      <w:r>
        <w:rPr>
          <w:rFonts w:ascii="Times Roman" w:hAnsi="Times Roman" w:hint="default"/>
          <w:rtl w:val="0"/>
        </w:rPr>
        <w:t>χ²</w:t>
      </w:r>
      <w:r>
        <w:rPr>
          <w:rFonts w:ascii="Times Roman" w:hAnsi="Times Roman"/>
          <w:rtl w:val="0"/>
          <w:lang w:val="en-US"/>
        </w:rPr>
        <w:t>/df = 2.28, CFI = 0.941, RMSEA = 0.046). These results confirm that the measurement model is reliable and valid for subsequent structural analysis.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Reliability</w:t>
      </w:r>
      <w:r>
        <w:rPr>
          <w:rFonts w:ascii="Times Roman" w:hAnsi="Times Roman"/>
          <w:rtl w:val="0"/>
          <w:lang w:val="de-DE"/>
        </w:rPr>
        <w:t>: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 xml:space="preserve">α </w:t>
      </w:r>
      <w:r>
        <w:rPr>
          <w:rFonts w:ascii="Times Roman" w:hAnsi="Times Roman"/>
          <w:rtl w:val="0"/>
          <w:lang w:val="en-US"/>
        </w:rPr>
        <w:t>ranged from 0.83 to 0.94; Composite Reliability (CR) from 0.87 to 0.95.</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Convergent Validity</w:t>
      </w:r>
      <w:r>
        <w:rPr>
          <w:rFonts w:ascii="Times Roman" w:hAnsi="Times Roman"/>
          <w:rtl w:val="0"/>
          <w:lang w:val="en-US"/>
        </w:rPr>
        <w:t xml:space="preserve"> was confirmed with Average Variance Extracted (AVE) values all exceeding 0.50:</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 xml:space="preserve">AVE (Average Variance Extracted) </w:t>
      </w:r>
      <w:r>
        <w:rPr>
          <w:rFonts w:ascii="Times Roman" w:hAnsi="Times Roman" w:hint="default"/>
          <w:b w:val="1"/>
          <w:bCs w:val="1"/>
          <w:rtl w:val="0"/>
        </w:rPr>
        <w:t xml:space="preserve">– </w:t>
      </w:r>
      <w:r>
        <w:rPr>
          <w:rFonts w:ascii="Times Roman" w:hAnsi="Times Roman"/>
          <w:b w:val="1"/>
          <w:bCs w:val="1"/>
          <w:rtl w:val="0"/>
          <w:lang w:val="en-US"/>
        </w:rPr>
        <w:t>Explanation with Example</w:t>
      </w: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What is AVE?</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Average Variance Extracted (AVE)</w:t>
      </w:r>
      <w:r>
        <w:rPr>
          <w:rFonts w:ascii="Times Roman" w:hAnsi="Times Roman"/>
          <w:rtl w:val="0"/>
          <w:lang w:val="en-US"/>
        </w:rPr>
        <w:t xml:space="preserve"> measures the amount of variance captured by a construct in relation to the amount of variance due to measurement error. It is a key indicator of </w:t>
      </w:r>
      <w:r>
        <w:rPr>
          <w:rFonts w:ascii="Times Roman" w:hAnsi="Times Roman"/>
          <w:b w:val="1"/>
          <w:bCs w:val="1"/>
          <w:rtl w:val="0"/>
          <w:lang w:val="fr-FR"/>
        </w:rPr>
        <w:t>convergent validity</w:t>
      </w:r>
      <w:r>
        <w:rPr>
          <w:rFonts w:ascii="Times Roman" w:hAnsi="Times Roman"/>
          <w:rtl w:val="0"/>
          <w:lang w:val="en-US"/>
        </w:rPr>
        <w:t xml:space="preserve"> in structural equation modeling (SEM) and PLS-SEM.</w:t>
      </w:r>
    </w:p>
    <w:p>
      <w:pPr>
        <w:pStyle w:val="Default"/>
        <w:numPr>
          <w:ilvl w:val="0"/>
          <w:numId w:val="9"/>
        </w:numPr>
        <w:suppressAutoHyphens w:val="1"/>
        <w:spacing w:before="0" w:line="240" w:lineRule="auto"/>
        <w:jc w:val="both"/>
        <w:rPr>
          <w:rFonts w:ascii="Times Roman" w:hAnsi="Times Roman"/>
          <w:lang w:val="da-DK"/>
        </w:rPr>
      </w:pPr>
      <w:r>
        <w:rPr>
          <w:rFonts w:ascii="Times Roman" w:hAnsi="Times Roman"/>
          <w:b w:val="1"/>
          <w:bCs w:val="1"/>
          <w:rtl w:val="0"/>
          <w:lang w:val="da-DK"/>
        </w:rPr>
        <w:t>Threshold</w:t>
      </w:r>
      <w:r>
        <w:rPr>
          <w:rFonts w:ascii="Times Roman" w:hAnsi="Times Roman"/>
          <w:rtl w:val="0"/>
          <w:lang w:val="en-US"/>
        </w:rPr>
        <w:t xml:space="preserve">: AVE should be </w:t>
      </w:r>
      <w:r>
        <w:rPr>
          <w:rFonts w:ascii="Times Roman" w:hAnsi="Times Roman"/>
          <w:b w:val="1"/>
          <w:bCs w:val="1"/>
          <w:rtl w:val="0"/>
          <w:lang w:val="en-US"/>
        </w:rPr>
        <w:t>greater than 0.50</w:t>
      </w:r>
      <w:r>
        <w:rPr>
          <w:rFonts w:ascii="Times Roman" w:hAnsi="Times Roman"/>
          <w:rtl w:val="0"/>
          <w:lang w:val="en-US"/>
        </w:rPr>
        <w:t>. This means the construct explains more than 50% of the variance in its indicators.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If AVE &lt; 0.50, the indicators are not converging well on the construct (poor convergent validity).</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Equation for AVE</w:t>
      </w:r>
      <w:r>
        <w:rPr>
          <w:rFonts w:ascii="Times Roman" w:hAnsi="Times Roman"/>
          <w:b w:val="0"/>
          <w:bCs w:val="0"/>
          <w:rtl w:val="0"/>
        </w:rPr>
        <w:t>:</w:t>
      </w:r>
    </w:p>
    <w:p>
      <w:pPr>
        <w:pStyle w:val="Default"/>
        <w:suppressAutoHyphens w:val="1"/>
        <w:spacing w:before="0" w:after="240" w:line="240" w:lineRule="auto"/>
        <w:jc w:val="center"/>
        <w:rPr>
          <w:rFonts w:ascii="Times Roman" w:cs="Times Roman" w:hAnsi="Times Roman" w:eastAsia="Times Roman"/>
          <w:color w:val="000000"/>
          <w:sz w:val="32"/>
          <w:szCs w:val="32"/>
        </w:rPr>
      </w:pPr>
      <m:oMathPara>
        <m:oMathParaPr>
          <m:jc m:val="center"/>
        </m:oMathParaPr>
        <m:oMath>
          <m:r>
            <w:rPr xmlns:w="http://schemas.openxmlformats.org/wordprocessingml/2006/main">
              <w:rFonts w:ascii="Cambria Math" w:hAnsi="Cambria Math"/>
              <w:i/>
              <w:color w:val="000000"/>
              <w:sz w:val="33"/>
              <w:szCs w:val="33"/>
            </w:rPr>
            <m:t>A</m:t>
          </m:r>
          <m:r>
            <w:rPr xmlns:w="http://schemas.openxmlformats.org/wordprocessingml/2006/main">
              <w:rFonts w:ascii="Cambria Math" w:hAnsi="Cambria Math"/>
              <w:i/>
              <w:color w:val="000000"/>
              <w:sz w:val="33"/>
              <w:szCs w:val="33"/>
            </w:rPr>
            <m:t>V</m:t>
          </m:r>
          <m:r>
            <w:rPr xmlns:w="http://schemas.openxmlformats.org/wordprocessingml/2006/main">
              <w:rFonts w:ascii="Cambria Math" w:hAnsi="Cambria Math"/>
              <w:i/>
              <w:color w:val="000000"/>
              <w:sz w:val="33"/>
              <w:szCs w:val="33"/>
            </w:rPr>
            <m:t>E</m:t>
          </m:r>
          <m:r>
            <w:rPr xmlns:w="http://schemas.openxmlformats.org/wordprocessingml/2006/main">
              <w:rFonts w:ascii="Cambria Math" w:hAnsi="Cambria Math"/>
              <w:i/>
              <w:color w:val="000000"/>
              <w:sz w:val="33"/>
              <w:szCs w:val="33"/>
            </w:rPr>
            <m:t>=</m:t>
          </m:r>
          <m:f>
            <m:fPr>
              <m:ctrlPr>
                <w:rPr xmlns:w="http://schemas.openxmlformats.org/wordprocessingml/2006/main">
                  <w:rFonts w:ascii="Cambria Math" w:hAnsi="Cambria Math"/>
                  <w:i/>
                  <w:color w:val="000000"/>
                  <w:sz w:val="33"/>
                  <w:szCs w:val="33"/>
                </w:rPr>
              </m:ctrlPr>
              <m:type m:val="bar"/>
            </m:fPr>
            <m:num>
              <m:nary>
                <m:naryPr>
                  <m:ctrlPr>
                    <w:rPr xmlns:w="http://schemas.openxmlformats.org/wordprocessingml/2006/main">
                      <w:rFonts w:ascii="Cambria Math" w:hAnsi="Cambria Math"/>
                      <w:i/>
                      <w:color w:val="000000"/>
                      <w:sz w:val="33"/>
                      <w:szCs w:val="33"/>
                    </w:rPr>
                  </m:ctrlPr>
                  <m:chr m:val="∑"/>
                  <m:limLoc m:val="subSup"/>
                  <m:grow m:val="1"/>
                  <m:subHide m:val="off"/>
                  <m:supHide m:val="off"/>
                </m:naryPr>
                <m:sub>
                  <m:r>
                    <w:rPr xmlns:w="http://schemas.openxmlformats.org/wordprocessingml/2006/main">
                      <w:rFonts w:ascii="Cambria Math" w:hAnsi="Cambria Math"/>
                      <w:i/>
                      <w:color w:val="000000"/>
                      <w:sz w:val="33"/>
                      <w:szCs w:val="33"/>
                    </w:rPr>
                    <m:t>i</m:t>
                  </m:r>
                  <m:r>
                    <w:rPr xmlns:w="http://schemas.openxmlformats.org/wordprocessingml/2006/main">
                      <w:rFonts w:ascii="Cambria Math" w:hAnsi="Cambria Math"/>
                      <w:i/>
                      <w:color w:val="000000"/>
                      <w:sz w:val="33"/>
                      <w:szCs w:val="33"/>
                    </w:rPr>
                    <m:t>=</m:t>
                  </m:r>
                  <m:r>
                    <w:rPr xmlns:w="http://schemas.openxmlformats.org/wordprocessingml/2006/main">
                      <w:rFonts w:ascii="Cambria Math" w:hAnsi="Cambria Math"/>
                      <w:i/>
                      <w:color w:val="000000"/>
                      <w:sz w:val="33"/>
                      <w:szCs w:val="33"/>
                    </w:rPr>
                    <m:t>1</m:t>
                  </m:r>
                </m:sub>
                <m:sup>
                  <m:r>
                    <w:rPr xmlns:w="http://schemas.openxmlformats.org/wordprocessingml/2006/main">
                      <w:rFonts w:ascii="Cambria Math" w:hAnsi="Cambria Math"/>
                      <w:i/>
                      <w:color w:val="000000"/>
                      <w:sz w:val="33"/>
                      <w:szCs w:val="33"/>
                    </w:rPr>
                    <m:t>k</m:t>
                  </m:r>
                </m:sup>
                <m:e>
                  <m:sSubSup>
                    <m:e>
                      <m:r>
                        <w:rPr xmlns:w="http://schemas.openxmlformats.org/wordprocessingml/2006/main">
                          <w:rFonts w:ascii="Cambria Math" w:hAnsi="Cambria Math"/>
                          <w:i/>
                          <w:color w:val="000000"/>
                          <w:sz w:val="33"/>
                          <w:szCs w:val="33"/>
                        </w:rPr>
                        <m:t>λ</m:t>
                      </m:r>
                    </m:e>
                    <m:sub>
                      <m:r>
                        <w:rPr xmlns:w="http://schemas.openxmlformats.org/wordprocessingml/2006/main">
                          <w:rFonts w:ascii="Cambria Math" w:hAnsi="Cambria Math"/>
                          <w:i/>
                          <w:color w:val="000000"/>
                          <w:sz w:val="33"/>
                          <w:szCs w:val="33"/>
                        </w:rPr>
                        <m:t>i</m:t>
                      </m:r>
                    </m:sub>
                    <m:sup>
                      <m:r>
                        <w:rPr xmlns:w="http://schemas.openxmlformats.org/wordprocessingml/2006/main">
                          <w:rFonts w:ascii="Cambria Math" w:hAnsi="Cambria Math"/>
                          <w:i/>
                          <w:color w:val="000000"/>
                          <w:sz w:val="33"/>
                          <w:szCs w:val="33"/>
                        </w:rPr>
                        <m:t>2</m:t>
                      </m:r>
                    </m:sup>
                  </m:sSubSup>
                </m:e>
              </m:nary>
            </m:num>
            <m:den>
              <m:r>
                <w:rPr xmlns:w="http://schemas.openxmlformats.org/wordprocessingml/2006/main">
                  <w:rFonts w:ascii="Cambria Math" w:hAnsi="Cambria Math"/>
                  <w:i/>
                  <w:color w:val="000000"/>
                  <w:sz w:val="33"/>
                  <w:szCs w:val="33"/>
                </w:rPr>
                <m:t>k</m:t>
              </m:r>
            </m:den>
          </m:f>
        </m:oMath>
      </m:oMathPara>
    </w:p>
    <w:p>
      <w:pPr>
        <w:pStyle w:val="Default"/>
        <w:suppressAutoHyphens w:val="1"/>
        <w:spacing w:before="0" w:after="240" w:line="240" w:lineRule="auto"/>
        <w:jc w:val="both"/>
        <w:rPr>
          <w:rFonts w:ascii="Times Roman" w:cs="Times Roman" w:hAnsi="Times Roman" w:eastAsia="Times Roman"/>
          <w:color w:val="000000"/>
          <w:sz w:val="24"/>
        </w:rPr>
      </w:pPr>
      <w:r>
        <w:rPr>
          <w:rFonts w:ascii="Times Roman" w:hAnsi="Times Roman"/>
          <w:rtl w:val="0"/>
          <w:lang w:val="en-US"/>
        </w:rPr>
        <w:t xml:space="preserve">(where </w:t>
      </w:r>
      <m:oMath>
        <m:sSub>
          <m:e>
            <m:r>
              <w:rPr xmlns:w="http://schemas.openxmlformats.org/wordprocessingml/2006/main">
                <w:rFonts w:ascii="Cambria Math" w:hAnsi="Cambria Math"/>
                <w:i/>
                <w:color w:val="000000"/>
                <w:sz w:val="25"/>
                <w:szCs w:val="25"/>
              </w:rPr>
              <m:t>λ</m:t>
            </m:r>
          </m:e>
          <m:sub>
            <m:r>
              <w:rPr xmlns:w="http://schemas.openxmlformats.org/wordprocessingml/2006/main">
                <w:rFonts w:ascii="Cambria Math" w:hAnsi="Cambria Math"/>
                <w:i/>
                <w:color w:val="000000"/>
                <w:sz w:val="25"/>
                <w:szCs w:val="25"/>
              </w:rPr>
              <m:t>i</m:t>
            </m:r>
          </m:sub>
        </m:sSub>
      </m:oMath>
      <w:r>
        <w:rPr>
          <w:rFonts w:ascii="Times Roman" w:hAnsi="Times Roman"/>
          <w:rtl w:val="0"/>
          <w:lang w:val="en-US"/>
        </w:rPr>
        <w:t>= standardized factor loadings, k = number of items). All AVEs ranged from 0.61 (Agent Quality) to 0.78 (Performance Expectancy).</w:t>
      </w:r>
    </w:p>
    <w:tbl>
      <w:tblPr>
        <w:tblW w:w="9153"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941651" w:sz="2" w:space="0" w:shadow="0" w:frame="0"/>
          <w:insideV w:val="single" w:color="941651" w:sz="2" w:space="0" w:shadow="0" w:frame="0"/>
        </w:tblBorders>
        <w:shd w:val="clear" w:color="auto" w:fill="auto"/>
        <w:tblLayout w:type="fixed"/>
      </w:tblPr>
      <w:tblGrid>
        <w:gridCol w:w="2378"/>
        <w:gridCol w:w="3374"/>
        <w:gridCol w:w="3401"/>
      </w:tblGrid>
      <w:tr>
        <w:tblPrEx>
          <w:shd w:val="clear" w:color="auto" w:fill="auto"/>
        </w:tblPrEx>
        <w:trPr>
          <w:trHeight w:val="1517" w:hRule="atLeast"/>
        </w:trPr>
        <w:tc>
          <w:tcPr>
            <w:tcW w:type="dxa" w:w="237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feffff"/>
                <w:sz w:val="30"/>
                <w:szCs w:val="30"/>
                <w:rtl w:val="0"/>
                <w14:textFill>
                  <w14:solidFill>
                    <w14:srgbClr w14:val="FFFFFF"/>
                  </w14:solidFill>
                </w14:textFill>
              </w:rPr>
              <w:t>Item</w:t>
            </w:r>
          </w:p>
        </w:tc>
        <w:tc>
          <w:tcPr>
            <w:tcW w:type="dxa" w:w="337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New Roman" w:hAnsi="Times New Roman"/>
                <w:b w:val="1"/>
                <w:bCs w:val="1"/>
                <w:outline w:val="0"/>
                <w:color w:val="feffff"/>
                <w:sz w:val="30"/>
                <w:szCs w:val="30"/>
                <w:rtl w:val="0"/>
                <w14:textFill>
                  <w14:solidFill>
                    <w14:srgbClr w14:val="FFFFFF"/>
                  </w14:solidFill>
                </w14:textFill>
              </w:rPr>
              <w:t>Standardized Loading (</w:t>
            </w:r>
            <w:r>
              <w:rPr>
                <w:rFonts w:ascii="Times New Roman" w:hAnsi="Times New Roman" w:hint="default"/>
                <w:b w:val="1"/>
                <w:bCs w:val="1"/>
                <w:outline w:val="0"/>
                <w:color w:val="feffff"/>
                <w:sz w:val="30"/>
                <w:szCs w:val="30"/>
                <w:rtl w:val="0"/>
                <w14:textFill>
                  <w14:solidFill>
                    <w14:srgbClr w14:val="FFFFFF"/>
                  </w14:solidFill>
                </w14:textFill>
              </w:rPr>
              <w:t>λ</w:t>
            </w:r>
            <w:r>
              <w:rPr>
                <w:rFonts w:ascii="Times New Roman" w:hAnsi="Times New Roman"/>
                <w:b w:val="1"/>
                <w:bCs w:val="1"/>
                <w:outline w:val="0"/>
                <w:color w:val="feffff"/>
                <w:sz w:val="30"/>
                <w:szCs w:val="30"/>
                <w:rtl w:val="0"/>
                <w14:textFill>
                  <w14:solidFill>
                    <w14:srgbClr w14:val="FFFFFF"/>
                  </w14:solidFill>
                </w14:textFill>
              </w:rPr>
              <w:t>)</w:t>
            </w:r>
          </w:p>
        </w:tc>
        <w:tc>
          <w:tcPr>
            <w:tcW w:type="dxa" w:w="34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rPr>
                <w:rFonts w:ascii="Times New Roman" w:cs="Times New Roman" w:hAnsi="Times New Roman" w:eastAsia="Times New Roman"/>
                <w:outline w:val="0"/>
                <w:color w:val="feffff"/>
                <w:sz w:val="30"/>
                <w:szCs w:val="30"/>
                <w14:textFill>
                  <w14:solidFill>
                    <w14:srgbClr w14:val="FFFFFF"/>
                  </w14:solidFill>
                </w14:textFill>
              </w:rPr>
            </w:pPr>
          </w:p>
          <w:p>
            <w:pPr>
              <w:pStyle w:val="Table Style 2"/>
              <w:suppressAutoHyphens w:val="1"/>
              <w:jc w:val="center"/>
              <w:rPr>
                <w:color w:val="feffff"/>
                <w:sz w:val="30"/>
              </w:rPr>
            </w:pPr>
            <m:oMath>
              <m:sSup>
                <m:e>
                  <m:r>
                    <w:rPr xmlns:w="http://schemas.openxmlformats.org/wordprocessingml/2006/main">
                      <w:rFonts w:ascii="Cambria Math" w:hAnsi="Cambria Math"/>
                      <w:i/>
                      <w:color w:val="feffff"/>
                      <w:sz w:val="31"/>
                      <w:szCs w:val="31"/>
                    </w:rPr>
                    <m:t>λ</m:t>
                  </m:r>
                </m:e>
                <m:sup>
                  <m:r>
                    <w:rPr xmlns:w="http://schemas.openxmlformats.org/wordprocessingml/2006/main">
                      <w:rFonts w:ascii="Cambria Math" w:hAnsi="Cambria Math"/>
                      <w:i/>
                      <w:color w:val="feffff"/>
                      <w:sz w:val="31"/>
                      <w:szCs w:val="31"/>
                    </w:rPr>
                    <m:t>2</m:t>
                  </m:r>
                </m:sup>
              </m:sSup>
            </m:oMath>
            <w:r>
              <w:rPr>
                <w:rFonts w:ascii="Times New Roman" w:hAnsi="Times New Roman"/>
                <w:outline w:val="0"/>
                <w:color w:val="feffff"/>
                <w:sz w:val="30"/>
                <w:szCs w:val="30"/>
                <w:rtl w:val="0"/>
                <w:lang w:val="en-US"/>
                <w14:textFill>
                  <w14:solidFill>
                    <w14:srgbClr w14:val="FFFFFF"/>
                  </w14:solidFill>
                </w14:textFill>
              </w:rPr>
              <w:t>(Squared Loading)</w:t>
            </w:r>
          </w:p>
        </w:tc>
      </w:tr>
      <w:tr>
        <w:tblPrEx>
          <w:shd w:val="clear" w:color="auto" w:fill="auto"/>
        </w:tblPrEx>
        <w:trPr>
          <w:trHeight w:val="793" w:hRule="atLeast"/>
        </w:trPr>
        <w:tc>
          <w:tcPr>
            <w:tcW w:type="dxa" w:w="237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TR1</w:t>
            </w:r>
          </w:p>
        </w:tc>
        <w:tc>
          <w:tcPr>
            <w:tcW w:type="dxa" w:w="337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0.82</w:t>
            </w:r>
          </w:p>
        </w:tc>
        <w:tc>
          <w:tcPr>
            <w:tcW w:type="dxa" w:w="34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0.6724</w:t>
            </w:r>
          </w:p>
        </w:tc>
      </w:tr>
      <w:tr>
        <w:tblPrEx>
          <w:shd w:val="clear" w:color="auto" w:fill="auto"/>
        </w:tblPrEx>
        <w:trPr>
          <w:trHeight w:val="793" w:hRule="atLeast"/>
        </w:trPr>
        <w:tc>
          <w:tcPr>
            <w:tcW w:type="dxa" w:w="237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TR2</w:t>
            </w:r>
          </w:p>
        </w:tc>
        <w:tc>
          <w:tcPr>
            <w:tcW w:type="dxa" w:w="337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0.79</w:t>
            </w:r>
          </w:p>
        </w:tc>
        <w:tc>
          <w:tcPr>
            <w:tcW w:type="dxa" w:w="34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0.6241</w:t>
            </w:r>
          </w:p>
        </w:tc>
      </w:tr>
      <w:tr>
        <w:tblPrEx>
          <w:shd w:val="clear" w:color="auto" w:fill="auto"/>
        </w:tblPrEx>
        <w:trPr>
          <w:trHeight w:val="793" w:hRule="atLeast"/>
        </w:trPr>
        <w:tc>
          <w:tcPr>
            <w:tcW w:type="dxa" w:w="237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TR3</w:t>
            </w:r>
          </w:p>
        </w:tc>
        <w:tc>
          <w:tcPr>
            <w:tcW w:type="dxa" w:w="337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0.85</w:t>
            </w:r>
          </w:p>
        </w:tc>
        <w:tc>
          <w:tcPr>
            <w:tcW w:type="dxa" w:w="34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0.7225</w:t>
            </w:r>
          </w:p>
        </w:tc>
      </w:tr>
      <w:tr>
        <w:tblPrEx>
          <w:shd w:val="clear" w:color="auto" w:fill="auto"/>
        </w:tblPrEx>
        <w:trPr>
          <w:trHeight w:val="793" w:hRule="atLeast"/>
        </w:trPr>
        <w:tc>
          <w:tcPr>
            <w:tcW w:type="dxa" w:w="237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TR4</w:t>
            </w:r>
          </w:p>
        </w:tc>
        <w:tc>
          <w:tcPr>
            <w:tcW w:type="dxa" w:w="337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0.76</w:t>
            </w:r>
          </w:p>
        </w:tc>
        <w:tc>
          <w:tcPr>
            <w:tcW w:type="dxa" w:w="34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New Roman" w:hAnsi="Times New Roman"/>
                <w:sz w:val="30"/>
                <w:szCs w:val="30"/>
                <w:rtl w:val="0"/>
              </w:rPr>
              <w:t>0.5776</w:t>
            </w:r>
          </w:p>
        </w:tc>
      </w:tr>
    </w:tbl>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1: Square each loading</w:t>
      </w:r>
    </w:p>
    <w:p>
      <w:pPr>
        <w:pStyle w:val="Default"/>
        <w:numPr>
          <w:ilvl w:val="0"/>
          <w:numId w:val="10"/>
        </w:numPr>
        <w:suppressAutoHyphens w:val="1"/>
        <w:spacing w:before="0" w:line="240" w:lineRule="auto"/>
        <w:jc w:val="left"/>
        <w:rPr>
          <w:rFonts w:ascii="Times Roman" w:cs="Times Roman" w:hAnsi="Times Roman" w:eastAsia="Times Roman"/>
          <w:color w:val="000000"/>
          <w:sz w:val="28"/>
          <w:szCs w:val="28"/>
        </w:rPr>
      </w:pPr>
      <m:oMathPara>
        <m:oMathParaPr>
          <m:jc m:val="left"/>
        </m:oMathParaPr>
        <m:oMath>
          <m:sSup>
            <m:e>
              <m:r>
                <w:rPr xmlns:w="http://schemas.openxmlformats.org/wordprocessingml/2006/main">
                  <w:rFonts w:ascii="Cambria Math" w:hAnsi="Cambria Math"/>
                  <w:i/>
                  <w:color w:val="000000"/>
                  <w:sz w:val="29"/>
                  <w:szCs w:val="29"/>
                </w:rPr>
                <m:t>0.82</m:t>
              </m:r>
            </m:e>
            <m:sup>
              <m:r>
                <w:rPr xmlns:w="http://schemas.openxmlformats.org/wordprocessingml/2006/main">
                  <w:rFonts w:ascii="Cambria Math" w:hAnsi="Cambria Math"/>
                  <w:i/>
                  <w:color w:val="000000"/>
                  <w:sz w:val="29"/>
                  <w:szCs w:val="29"/>
                </w:rPr>
                <m:t>2</m:t>
              </m:r>
            </m:sup>
          </m:sSup>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0.6724</m:t>
          </m:r>
        </m:oMath>
      </m:oMathPara>
    </w:p>
    <w:p>
      <w:pPr>
        <w:pStyle w:val="Default"/>
        <w:numPr>
          <w:ilvl w:val="0"/>
          <w:numId w:val="10"/>
        </w:numPr>
        <w:suppressAutoHyphens w:val="1"/>
        <w:spacing w:before="0" w:line="240" w:lineRule="auto"/>
        <w:jc w:val="left"/>
        <w:rPr>
          <w:rFonts w:ascii="Times Roman" w:cs="Times Roman" w:hAnsi="Times Roman" w:eastAsia="Times Roman"/>
          <w:color w:val="000000"/>
          <w:sz w:val="28"/>
          <w:szCs w:val="28"/>
        </w:rPr>
      </w:pPr>
      <m:oMathPara>
        <m:oMathParaPr>
          <m:jc m:val="left"/>
        </m:oMathParaPr>
        <m:oMath>
          <m:sSup>
            <m:e>
              <m:r>
                <w:rPr xmlns:w="http://schemas.openxmlformats.org/wordprocessingml/2006/main">
                  <w:rFonts w:ascii="Cambria Math" w:hAnsi="Cambria Math"/>
                  <w:i/>
                  <w:color w:val="000000"/>
                  <w:sz w:val="29"/>
                  <w:szCs w:val="29"/>
                </w:rPr>
                <m:t>0.79</m:t>
              </m:r>
            </m:e>
            <m:sup>
              <m:r>
                <w:rPr xmlns:w="http://schemas.openxmlformats.org/wordprocessingml/2006/main">
                  <w:rFonts w:ascii="Cambria Math" w:hAnsi="Cambria Math"/>
                  <w:i/>
                  <w:color w:val="000000"/>
                  <w:sz w:val="29"/>
                  <w:szCs w:val="29"/>
                </w:rPr>
                <m:t>2</m:t>
              </m:r>
            </m:sup>
          </m:sSup>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0.6241</m:t>
          </m:r>
        </m:oMath>
      </m:oMathPara>
    </w:p>
    <w:p>
      <w:pPr>
        <w:pStyle w:val="Default"/>
        <w:numPr>
          <w:ilvl w:val="0"/>
          <w:numId w:val="10"/>
        </w:numPr>
        <w:suppressAutoHyphens w:val="1"/>
        <w:spacing w:before="0" w:line="240" w:lineRule="auto"/>
        <w:jc w:val="left"/>
        <w:rPr>
          <w:rFonts w:ascii="Times Roman" w:cs="Times Roman" w:hAnsi="Times Roman" w:eastAsia="Times Roman"/>
          <w:color w:val="000000"/>
          <w:sz w:val="28"/>
          <w:szCs w:val="28"/>
        </w:rPr>
      </w:pPr>
      <m:oMathPara>
        <m:oMathParaPr>
          <m:jc m:val="left"/>
        </m:oMathParaPr>
        <m:oMath>
          <m:sSup>
            <m:e>
              <m:r>
                <w:rPr xmlns:w="http://schemas.openxmlformats.org/wordprocessingml/2006/main">
                  <w:rFonts w:ascii="Cambria Math" w:hAnsi="Cambria Math"/>
                  <w:i/>
                  <w:color w:val="000000"/>
                  <w:sz w:val="29"/>
                  <w:szCs w:val="29"/>
                </w:rPr>
                <m:t>0.85</m:t>
              </m:r>
            </m:e>
            <m:sup>
              <m:r>
                <w:rPr xmlns:w="http://schemas.openxmlformats.org/wordprocessingml/2006/main">
                  <w:rFonts w:ascii="Cambria Math" w:hAnsi="Cambria Math"/>
                  <w:i/>
                  <w:color w:val="000000"/>
                  <w:sz w:val="29"/>
                  <w:szCs w:val="29"/>
                </w:rPr>
                <m:t>2</m:t>
              </m:r>
            </m:sup>
          </m:sSup>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0.7225</m:t>
          </m:r>
        </m:oMath>
      </m:oMathPara>
    </w:p>
    <w:p>
      <w:pPr>
        <w:pStyle w:val="Default"/>
        <w:numPr>
          <w:ilvl w:val="0"/>
          <w:numId w:val="10"/>
        </w:numPr>
        <w:suppressAutoHyphens w:val="1"/>
        <w:spacing w:before="0" w:line="240" w:lineRule="auto"/>
        <w:jc w:val="left"/>
        <w:rPr>
          <w:rFonts w:ascii="Times Roman" w:cs="Times Roman" w:hAnsi="Times Roman" w:eastAsia="Times Roman"/>
          <w:color w:val="000000"/>
          <w:sz w:val="28"/>
          <w:szCs w:val="28"/>
        </w:rPr>
      </w:pPr>
      <m:oMathPara>
        <m:oMathParaPr>
          <m:jc m:val="left"/>
        </m:oMathParaPr>
        <m:oMath>
          <m:sSup>
            <m:e>
              <m:r>
                <w:rPr xmlns:w="http://schemas.openxmlformats.org/wordprocessingml/2006/main">
                  <w:rFonts w:ascii="Cambria Math" w:hAnsi="Cambria Math"/>
                  <w:i/>
                  <w:color w:val="000000"/>
                  <w:sz w:val="29"/>
                  <w:szCs w:val="29"/>
                </w:rPr>
                <m:t>0.76</m:t>
              </m:r>
            </m:e>
            <m:sup>
              <m:r>
                <w:rPr xmlns:w="http://schemas.openxmlformats.org/wordprocessingml/2006/main">
                  <w:rFonts w:ascii="Cambria Math" w:hAnsi="Cambria Math"/>
                  <w:i/>
                  <w:color w:val="000000"/>
                  <w:sz w:val="29"/>
                  <w:szCs w:val="29"/>
                </w:rPr>
                <m:t>2</m:t>
              </m:r>
            </m:sup>
          </m:sSup>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0.5776</m:t>
          </m:r>
        </m:oMath>
      </m:oMathPara>
    </w:p>
    <w:p>
      <w:pPr>
        <w:pStyle w:val="Default"/>
        <w:suppressAutoHyphens w:val="1"/>
        <w:spacing w:before="0" w:line="240" w:lineRule="auto"/>
        <w:jc w:val="left"/>
        <w:rPr>
          <w:rFonts w:ascii="Times Roman" w:cs="Times Roman" w:hAnsi="Times Roman" w:eastAsia="Times Roman"/>
          <w:sz w:val="28"/>
          <w:szCs w:val="28"/>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2: Sum the squared loadings</w:t>
      </w:r>
    </w:p>
    <w:p>
      <w:pPr>
        <w:pStyle w:val="Default"/>
        <w:suppressAutoHyphens w:val="1"/>
        <w:spacing w:before="0" w:line="240" w:lineRule="auto"/>
        <w:jc w:val="center"/>
        <w:rPr>
          <w:rFonts w:ascii="Times Roman" w:cs="Times Roman" w:hAnsi="Times Roman" w:eastAsia="Times Roman"/>
          <w:color w:val="000000"/>
          <w:sz w:val="28"/>
          <w:szCs w:val="28"/>
        </w:rPr>
      </w:pPr>
      <m:oMathPara>
        <m:oMathParaPr>
          <m:jc m:val="center"/>
        </m:oMathParaPr>
        <m:oMath>
          <m:r>
            <w:rPr xmlns:w="http://schemas.openxmlformats.org/wordprocessingml/2006/main">
              <w:rFonts w:ascii="Cambria Math" w:hAnsi="Cambria Math"/>
              <w:i/>
              <w:color w:val="000000"/>
              <w:sz w:val="29"/>
              <w:szCs w:val="29"/>
            </w:rPr>
            <m:t>∑</m:t>
          </m:r>
          <m:sSubSup>
            <m:e>
              <m:r>
                <w:rPr xmlns:w="http://schemas.openxmlformats.org/wordprocessingml/2006/main">
                  <w:rFonts w:ascii="Cambria Math" w:hAnsi="Cambria Math"/>
                  <w:i/>
                  <w:color w:val="000000"/>
                  <w:sz w:val="29"/>
                  <w:szCs w:val="29"/>
                </w:rPr>
                <m:t>λ</m:t>
              </m:r>
            </m:e>
            <m:sub>
              <m:r>
                <w:rPr xmlns:w="http://schemas.openxmlformats.org/wordprocessingml/2006/main">
                  <w:rFonts w:ascii="Cambria Math" w:hAnsi="Cambria Math"/>
                  <w:i/>
                  <w:color w:val="000000"/>
                  <w:sz w:val="29"/>
                  <w:szCs w:val="29"/>
                </w:rPr>
                <m:t>i</m:t>
              </m:r>
            </m:sub>
            <m:sup>
              <m:r>
                <w:rPr xmlns:w="http://schemas.openxmlformats.org/wordprocessingml/2006/main">
                  <w:rFonts w:ascii="Cambria Math" w:hAnsi="Cambria Math"/>
                  <w:i/>
                  <w:color w:val="000000"/>
                  <w:sz w:val="29"/>
                  <w:szCs w:val="29"/>
                </w:rPr>
                <m:t>2</m:t>
              </m:r>
            </m:sup>
          </m:sSubSup>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0.6724</m:t>
          </m:r>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0.6241</m:t>
          </m:r>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0.7225</m:t>
          </m:r>
          <m:r>
            <w:rPr xmlns:w="http://schemas.openxmlformats.org/wordprocessingml/2006/main">
              <w:rFonts w:ascii="Cambria Math" w:hAnsi="Cambria Math"/>
              <w:i/>
              <w:color w:val="000000"/>
              <w:sz w:val="29"/>
              <w:szCs w:val="29"/>
            </w:rPr>
            <m:t>+</m:t>
          </m:r>
          <m:r>
            <w:rPr xmlns:w="http://schemas.openxmlformats.org/wordprocessingml/2006/main">
              <w:rFonts w:ascii="Cambria Math" w:hAnsi="Cambria Math"/>
              <w:i/>
              <w:color w:val="000000"/>
              <w:sz w:val="29"/>
              <w:szCs w:val="29"/>
            </w:rPr>
            <m:t>0.5776</m:t>
          </m:r>
          <m:r>
            <w:rPr xmlns:w="http://schemas.openxmlformats.org/wordprocessingml/2006/main">
              <w:rFonts w:ascii="Cambria Math" w:hAnsi="Cambria Math"/>
              <w:i/>
              <w:color w:val="000000"/>
              <w:sz w:val="29"/>
              <w:szCs w:val="29"/>
            </w:rPr>
            <m:t>=</m:t>
          </m:r>
          <m:r>
            <m:rPr>
              <m:sty m:val="b"/>
            </m:rPr>
            <w:rPr xmlns:w="http://schemas.openxmlformats.org/wordprocessingml/2006/main">
              <w:rFonts w:ascii="Cambria Math" w:hAnsi="Cambria Math"/>
              <w:i/>
              <w:color w:val="000000"/>
              <w:sz w:val="29"/>
              <w:szCs w:val="29"/>
            </w:rPr>
            <m:t>2</m:t>
          </m:r>
          <m:r>
            <w:rPr xmlns:w="http://schemas.openxmlformats.org/wordprocessingml/2006/main">
              <w:rFonts w:ascii="Cambria Math" w:hAnsi="Cambria Math"/>
              <w:i/>
              <w:color w:val="000000"/>
              <w:sz w:val="29"/>
              <w:szCs w:val="29"/>
            </w:rPr>
            <m:t>.</m:t>
          </m:r>
          <m:r>
            <m:rPr>
              <m:sty m:val="b"/>
            </m:rPr>
            <w:rPr xmlns:w="http://schemas.openxmlformats.org/wordprocessingml/2006/main">
              <w:rFonts w:ascii="Cambria Math" w:hAnsi="Cambria Math"/>
              <w:i/>
              <w:color w:val="000000"/>
              <w:sz w:val="29"/>
              <w:szCs w:val="29"/>
            </w:rPr>
            <m:t>5966</m:t>
          </m:r>
        </m:oMath>
      </m:oMathPara>
    </w:p>
    <w:p>
      <w:pPr>
        <w:pStyle w:val="Default"/>
        <w:suppressAutoHyphens w:val="1"/>
        <w:spacing w:before="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Step 3: Divide by the number of items (k = 4)</w:t>
      </w:r>
    </w:p>
    <w:p>
      <w:pPr>
        <w:pStyle w:val="Default"/>
        <w:suppressAutoHyphens w:val="1"/>
        <w:spacing w:before="0" w:line="240" w:lineRule="auto"/>
        <w:rPr>
          <w:rFonts w:ascii="STIX Two Math Regular" w:cs="STIX Two Math Regular" w:hAnsi="STIX Two Math Regular" w:eastAsia="STIX Two Math Regular"/>
        </w:rPr>
      </w:pPr>
    </w:p>
    <w:p>
      <w:pPr>
        <w:pStyle w:val="Default"/>
        <w:suppressAutoHyphens w:val="1"/>
        <w:spacing w:before="0" w:line="240" w:lineRule="auto"/>
        <w:jc w:val="center"/>
        <w:rPr>
          <w:rFonts w:ascii="Times Roman" w:cs="Times Roman" w:hAnsi="Times Roman" w:eastAsia="Times Roman"/>
          <w:color w:val="000000"/>
          <w:sz w:val="28"/>
          <w:szCs w:val="28"/>
        </w:rPr>
      </w:pPr>
      <m:oMathPara>
        <m:oMathParaPr>
          <m:jc m:val="center"/>
        </m:oMathParaPr>
        <m:oMath>
          <m:r>
            <w:rPr xmlns:w="http://schemas.openxmlformats.org/wordprocessingml/2006/main">
              <w:rFonts w:ascii="Cambria Math" w:hAnsi="Cambria Math"/>
              <w:i/>
              <w:color w:val="000000"/>
              <w:sz w:val="29"/>
              <w:szCs w:val="29"/>
            </w:rPr>
            <m:t>A</m:t>
          </m:r>
          <m:r>
            <w:rPr xmlns:w="http://schemas.openxmlformats.org/wordprocessingml/2006/main">
              <w:rFonts w:ascii="Cambria Math" w:hAnsi="Cambria Math"/>
              <w:i/>
              <w:color w:val="000000"/>
              <w:sz w:val="29"/>
              <w:szCs w:val="29"/>
            </w:rPr>
            <m:t>V</m:t>
          </m:r>
          <m:r>
            <w:rPr xmlns:w="http://schemas.openxmlformats.org/wordprocessingml/2006/main">
              <w:rFonts w:ascii="Cambria Math" w:hAnsi="Cambria Math"/>
              <w:i/>
              <w:color w:val="000000"/>
              <w:sz w:val="29"/>
              <w:szCs w:val="29"/>
            </w:rPr>
            <m:t>E</m:t>
          </m:r>
          <m:r>
            <w:rPr xmlns:w="http://schemas.openxmlformats.org/wordprocessingml/2006/main">
              <w:rFonts w:ascii="Cambria Math" w:hAnsi="Cambria Math"/>
              <w:i/>
              <w:color w:val="000000"/>
              <w:sz w:val="29"/>
              <w:szCs w:val="29"/>
            </w:rPr>
            <m:t>=</m:t>
          </m:r>
          <m:f>
            <m:fPr>
              <m:ctrlPr>
                <w:rPr xmlns:w="http://schemas.openxmlformats.org/wordprocessingml/2006/main">
                  <w:rFonts w:ascii="Cambria Math" w:hAnsi="Cambria Math"/>
                  <w:i/>
                  <w:color w:val="000000"/>
                  <w:sz w:val="29"/>
                  <w:szCs w:val="29"/>
                </w:rPr>
              </m:ctrlPr>
              <m:type m:val="bar"/>
            </m:fPr>
            <m:num>
              <m:r>
                <w:rPr xmlns:w="http://schemas.openxmlformats.org/wordprocessingml/2006/main">
                  <w:rFonts w:ascii="Cambria Math" w:hAnsi="Cambria Math"/>
                  <w:i/>
                  <w:color w:val="000000"/>
                  <w:sz w:val="29"/>
                  <w:szCs w:val="29"/>
                </w:rPr>
                <m:t>2.5966</m:t>
              </m:r>
            </m:num>
            <m:den>
              <m:r>
                <w:rPr xmlns:w="http://schemas.openxmlformats.org/wordprocessingml/2006/main">
                  <w:rFonts w:ascii="Cambria Math" w:hAnsi="Cambria Math"/>
                  <w:i/>
                  <w:color w:val="000000"/>
                  <w:sz w:val="29"/>
                  <w:szCs w:val="29"/>
                </w:rPr>
                <m:t>4</m:t>
              </m:r>
            </m:den>
          </m:f>
          <m:r>
            <w:rPr xmlns:w="http://schemas.openxmlformats.org/wordprocessingml/2006/main">
              <w:rFonts w:ascii="Cambria Math" w:hAnsi="Cambria Math"/>
              <w:i/>
              <w:color w:val="000000"/>
              <w:sz w:val="29"/>
              <w:szCs w:val="29"/>
            </w:rPr>
            <m:t>=</m:t>
          </m:r>
          <m:r>
            <m:rPr>
              <m:sty m:val="b"/>
            </m:rPr>
            <w:rPr xmlns:w="http://schemas.openxmlformats.org/wordprocessingml/2006/main">
              <w:rFonts w:ascii="Cambria Math" w:hAnsi="Cambria Math"/>
              <w:i/>
              <w:color w:val="000000"/>
              <w:sz w:val="29"/>
              <w:szCs w:val="29"/>
            </w:rPr>
            <m:t>0</m:t>
          </m:r>
          <m:r>
            <w:rPr xmlns:w="http://schemas.openxmlformats.org/wordprocessingml/2006/main">
              <w:rFonts w:ascii="Cambria Math" w:hAnsi="Cambria Math"/>
              <w:i/>
              <w:color w:val="000000"/>
              <w:sz w:val="29"/>
              <w:szCs w:val="29"/>
            </w:rPr>
            <m:t>.</m:t>
          </m:r>
          <m:r>
            <m:rPr>
              <m:sty m:val="b"/>
            </m:rPr>
            <w:rPr xmlns:w="http://schemas.openxmlformats.org/wordprocessingml/2006/main">
              <w:rFonts w:ascii="Cambria Math" w:hAnsi="Cambria Math"/>
              <w:i/>
              <w:color w:val="000000"/>
              <w:sz w:val="29"/>
              <w:szCs w:val="29"/>
            </w:rPr>
            <m:t>64915</m:t>
          </m:r>
        </m:oMath>
      </m:oMathPara>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jc w:val="center"/>
        <w:rPr>
          <w:rFonts w:ascii="Times Roman" w:cs="Times Roman" w:hAnsi="Times Roman" w:eastAsia="Times Roman"/>
          <w:sz w:val="28"/>
          <w:szCs w:val="28"/>
        </w:rPr>
      </w:pPr>
      <w:r>
        <w:rPr>
          <w:rFonts w:ascii="Times Roman" w:hAnsi="Times Roman"/>
          <w:b w:val="1"/>
          <w:bCs w:val="1"/>
          <w:sz w:val="28"/>
          <w:szCs w:val="28"/>
          <w:rtl w:val="0"/>
        </w:rPr>
        <w:t>Result</w:t>
      </w:r>
      <w:r>
        <w:rPr>
          <w:rFonts w:ascii="Times Roman" w:hAnsi="Times Roman"/>
          <w:sz w:val="28"/>
          <w:szCs w:val="28"/>
          <w:rtl w:val="0"/>
        </w:rPr>
        <w:t xml:space="preserve">: AVE = </w:t>
      </w:r>
      <w:r>
        <w:rPr>
          <w:rFonts w:ascii="Times Roman" w:hAnsi="Times Roman"/>
          <w:b w:val="1"/>
          <w:bCs w:val="1"/>
          <w:sz w:val="28"/>
          <w:szCs w:val="28"/>
          <w:rtl w:val="0"/>
        </w:rPr>
        <w:t>0.649</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Interpretation</w:t>
      </w:r>
    </w:p>
    <w:p>
      <w:pPr>
        <w:pStyle w:val="Default"/>
        <w:numPr>
          <w:ilvl w:val="0"/>
          <w:numId w:val="9"/>
        </w:numPr>
        <w:suppressAutoHyphens w:val="1"/>
        <w:spacing w:before="0" w:line="240" w:lineRule="auto"/>
        <w:jc w:val="left"/>
        <w:rPr>
          <w:rFonts w:ascii="Times Roman" w:hAnsi="Times Roman"/>
        </w:rPr>
      </w:pPr>
      <w:r>
        <w:rPr>
          <w:rFonts w:ascii="Times Roman" w:hAnsi="Times Roman"/>
          <w:b w:val="1"/>
          <w:bCs w:val="1"/>
          <w:rtl w:val="0"/>
        </w:rPr>
        <w:t>AVE = 0.649 &gt; 0.50</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Good convergent validity.</w:t>
      </w:r>
    </w:p>
    <w:p>
      <w:pPr>
        <w:pStyle w:val="Default"/>
        <w:numPr>
          <w:ilvl w:val="0"/>
          <w:numId w:val="9"/>
        </w:numPr>
        <w:suppressAutoHyphens w:val="1"/>
        <w:spacing w:before="0" w:line="240" w:lineRule="auto"/>
        <w:jc w:val="left"/>
        <w:rPr>
          <w:rFonts w:ascii="Times Roman" w:hAnsi="Times Roman"/>
          <w:lang w:val="en-US"/>
        </w:rPr>
      </w:pPr>
      <w:r>
        <w:rPr>
          <w:rFonts w:ascii="Times Roman" w:hAnsi="Times Roman"/>
          <w:rtl w:val="0"/>
          <w:lang w:val="en-US"/>
        </w:rPr>
        <w:t xml:space="preserve">This means </w:t>
      </w:r>
      <w:r>
        <w:rPr>
          <w:rFonts w:ascii="Times Roman" w:hAnsi="Times Roman"/>
          <w:b w:val="1"/>
          <w:bCs w:val="1"/>
          <w:rtl w:val="0"/>
        </w:rPr>
        <w:t>64.9%</w:t>
      </w:r>
      <w:r>
        <w:rPr>
          <w:rFonts w:ascii="Times Roman" w:hAnsi="Times Roman"/>
          <w:rtl w:val="0"/>
          <w:lang w:val="en-US"/>
        </w:rPr>
        <w:t xml:space="preserve"> of the variance in the four items is explained by the latent construct </w:t>
      </w:r>
      <w:r>
        <w:rPr>
          <w:rFonts w:ascii="Times Roman" w:hAnsi="Times Roman" w:hint="default"/>
          <w:rtl w:val="1"/>
          <w:lang w:val="ar-SA" w:bidi="ar-SA"/>
        </w:rPr>
        <w:t>“</w:t>
      </w:r>
      <w:r>
        <w:rPr>
          <w:rFonts w:ascii="Times Roman" w:hAnsi="Times Roman"/>
          <w:rtl w:val="0"/>
          <w:lang w:val="en-US"/>
        </w:rPr>
        <w:t>Trust Restoration</w:t>
      </w:r>
      <w:r>
        <w:rPr>
          <w:rFonts w:ascii="Times Roman" w:hAnsi="Times Roman" w:hint="default"/>
          <w:rtl w:val="0"/>
        </w:rPr>
        <w:t>”</w:t>
      </w:r>
      <w:r>
        <w:rPr>
          <w:rFonts w:ascii="Times Roman" w:hAnsi="Times Roman"/>
          <w:rtl w:val="0"/>
          <w:lang w:val="en-US"/>
        </w:rPr>
        <w:t>, while only 35.1% is due to measurement error.</w:t>
      </w:r>
    </w:p>
    <w:p>
      <w:pPr>
        <w:pStyle w:val="Default"/>
        <w:numPr>
          <w:ilvl w:val="0"/>
          <w:numId w:val="9"/>
        </w:numPr>
        <w:suppressAutoHyphens w:val="1"/>
        <w:spacing w:before="0" w:line="240" w:lineRule="auto"/>
        <w:jc w:val="left"/>
        <w:rPr>
          <w:rFonts w:ascii="Times Roman" w:hAnsi="Times Roman"/>
          <w:lang w:val="en-US"/>
        </w:rPr>
      </w:pPr>
      <w:r>
        <w:rPr>
          <w:rFonts w:ascii="Times Roman" w:hAnsi="Times Roman"/>
          <w:rtl w:val="0"/>
          <w:lang w:val="en-US"/>
        </w:rPr>
        <w:t>This value is acceptable and aligns with the results reported in your Chapter 6 (where most constructs had AVE between 0.61 and 0.78).</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Quick Summary Table (Realistic Example from Your Study)</w:t>
      </w:r>
    </w:p>
    <w:tbl>
      <w:tblPr>
        <w:tblW w:w="9460"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07"/>
        <w:gridCol w:w="1940"/>
        <w:gridCol w:w="1583"/>
        <w:gridCol w:w="2730"/>
      </w:tblGrid>
      <w:tr>
        <w:tblPrEx>
          <w:shd w:val="clear" w:color="auto" w:fill="auto"/>
        </w:tblPrEx>
        <w:trPr>
          <w:trHeight w:val="1075" w:hRule="atLeast"/>
        </w:trPr>
        <w:tc>
          <w:tcPr>
            <w:tcW w:type="dxa" w:w="320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b w:val="1"/>
                <w:bCs w:val="1"/>
                <w:outline w:val="0"/>
                <w:color w:val="feffff"/>
                <w:sz w:val="28"/>
                <w:szCs w:val="28"/>
                <w:rtl w:val="0"/>
                <w14:textFill>
                  <w14:solidFill>
                    <w14:srgbClr w14:val="FFFFFF"/>
                  </w14:solidFill>
                </w14:textFill>
              </w:rPr>
              <w:t>Construct</w:t>
            </w:r>
          </w:p>
        </w:tc>
        <w:tc>
          <w:tcPr>
            <w:tcW w:type="dxa" w:w="194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b w:val="1"/>
                <w:bCs w:val="1"/>
                <w:outline w:val="0"/>
                <w:color w:val="feffff"/>
                <w:sz w:val="28"/>
                <w:szCs w:val="28"/>
                <w:rtl w:val="0"/>
                <w14:textFill>
                  <w14:solidFill>
                    <w14:srgbClr w14:val="FFFFFF"/>
                  </w14:solidFill>
                </w14:textFill>
              </w:rPr>
              <w:t>Number of Items</w:t>
            </w:r>
          </w:p>
        </w:tc>
        <w:tc>
          <w:tcPr>
            <w:tcW w:type="dxa" w:w="15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b w:val="1"/>
                <w:bCs w:val="1"/>
                <w:outline w:val="0"/>
                <w:color w:val="feffff"/>
                <w:sz w:val="28"/>
                <w:szCs w:val="28"/>
                <w:rtl w:val="0"/>
                <w14:textFill>
                  <w14:solidFill>
                    <w14:srgbClr w14:val="FFFFFF"/>
                  </w14:solidFill>
                </w14:textFill>
              </w:rPr>
              <w:t>AVE</w:t>
            </w:r>
          </w:p>
        </w:tc>
        <w:tc>
          <w:tcPr>
            <w:tcW w:type="dxa" w:w="27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b w:val="1"/>
                <w:bCs w:val="1"/>
                <w:outline w:val="0"/>
                <w:color w:val="feffff"/>
                <w:sz w:val="28"/>
                <w:szCs w:val="28"/>
                <w:rtl w:val="0"/>
                <w14:textFill>
                  <w14:solidFill>
                    <w14:srgbClr w14:val="FFFFFF"/>
                  </w14:solidFill>
                </w14:textFill>
              </w:rPr>
              <w:t>Convergent Validity?</w:t>
            </w:r>
          </w:p>
        </w:tc>
      </w:tr>
      <w:tr>
        <w:tblPrEx>
          <w:shd w:val="clear" w:color="auto" w:fill="auto"/>
        </w:tblPrEx>
        <w:trPr>
          <w:trHeight w:val="1014" w:hRule="atLeast"/>
        </w:trPr>
        <w:tc>
          <w:tcPr>
            <w:tcW w:type="dxa" w:w="320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Performance Expectancy</w:t>
            </w:r>
          </w:p>
        </w:tc>
        <w:tc>
          <w:tcPr>
            <w:tcW w:type="dxa" w:w="194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4</w:t>
            </w:r>
          </w:p>
        </w:tc>
        <w:tc>
          <w:tcPr>
            <w:tcW w:type="dxa" w:w="15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0.78</w:t>
            </w:r>
          </w:p>
        </w:tc>
        <w:tc>
          <w:tcPr>
            <w:tcW w:type="dxa" w:w="27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Yes (Excellent)</w:t>
            </w:r>
          </w:p>
        </w:tc>
      </w:tr>
      <w:tr>
        <w:tblPrEx>
          <w:shd w:val="clear" w:color="auto" w:fill="auto"/>
        </w:tblPrEx>
        <w:trPr>
          <w:trHeight w:val="586" w:hRule="atLeast"/>
        </w:trPr>
        <w:tc>
          <w:tcPr>
            <w:tcW w:type="dxa" w:w="320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Trust Restoration</w:t>
            </w:r>
          </w:p>
        </w:tc>
        <w:tc>
          <w:tcPr>
            <w:tcW w:type="dxa" w:w="194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4</w:t>
            </w:r>
          </w:p>
        </w:tc>
        <w:tc>
          <w:tcPr>
            <w:tcW w:type="dxa" w:w="15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0.65</w:t>
            </w:r>
          </w:p>
        </w:tc>
        <w:tc>
          <w:tcPr>
            <w:tcW w:type="dxa" w:w="27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Yes (Good)</w:t>
            </w:r>
          </w:p>
        </w:tc>
      </w:tr>
      <w:tr>
        <w:tblPrEx>
          <w:shd w:val="clear" w:color="auto" w:fill="auto"/>
        </w:tblPrEx>
        <w:trPr>
          <w:trHeight w:val="586" w:hRule="atLeast"/>
        </w:trPr>
        <w:tc>
          <w:tcPr>
            <w:tcW w:type="dxa" w:w="320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Agent Quality</w:t>
            </w:r>
          </w:p>
        </w:tc>
        <w:tc>
          <w:tcPr>
            <w:tcW w:type="dxa" w:w="194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3</w:t>
            </w:r>
          </w:p>
        </w:tc>
        <w:tc>
          <w:tcPr>
            <w:tcW w:type="dxa" w:w="15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0.61</w:t>
            </w:r>
          </w:p>
        </w:tc>
        <w:tc>
          <w:tcPr>
            <w:tcW w:type="dxa" w:w="27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Yes (Acceptable)</w:t>
            </w:r>
          </w:p>
        </w:tc>
      </w:tr>
      <w:tr>
        <w:tblPrEx>
          <w:shd w:val="clear" w:color="auto" w:fill="auto"/>
        </w:tblPrEx>
        <w:trPr>
          <w:trHeight w:val="1014" w:hRule="atLeast"/>
        </w:trPr>
        <w:tc>
          <w:tcPr>
            <w:tcW w:type="dxa" w:w="320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Post-Fraud Risk Perception</w:t>
            </w:r>
          </w:p>
        </w:tc>
        <w:tc>
          <w:tcPr>
            <w:tcW w:type="dxa" w:w="194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3</w:t>
            </w:r>
          </w:p>
        </w:tc>
        <w:tc>
          <w:tcPr>
            <w:tcW w:type="dxa" w:w="15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0.67</w:t>
            </w:r>
          </w:p>
        </w:tc>
        <w:tc>
          <w:tcPr>
            <w:tcW w:type="dxa" w:w="27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spacing w:line="280" w:lineRule="atLeast"/>
              <w:jc w:val="center"/>
            </w:pPr>
            <w:r>
              <w:rPr>
                <w:rFonts w:ascii="Times Roman" w:hAnsi="Times Roman"/>
                <w:sz w:val="28"/>
                <w:szCs w:val="28"/>
                <w:rtl w:val="0"/>
              </w:rPr>
              <w:t>Yes (Good)</w:t>
            </w:r>
          </w:p>
        </w:tc>
      </w:tr>
    </w:tbl>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fr-FR"/>
        </w:rPr>
        <w:t>Discriminant Validity</w:t>
      </w:r>
      <w:r>
        <w:rPr>
          <w:rFonts w:ascii="Times Roman" w:hAnsi="Times Roman"/>
          <w:rtl w:val="0"/>
          <w:lang w:val="en-US"/>
        </w:rPr>
        <w:t xml:space="preserve"> was established using the Heterotrait-Monotrait (HTMT) ratio:</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 xml:space="preserve">Discriminant Validity </w:t>
      </w:r>
      <w:r>
        <w:rPr>
          <w:rFonts w:ascii="Times Roman" w:hAnsi="Times Roman" w:hint="default"/>
          <w:b w:val="1"/>
          <w:bCs w:val="1"/>
          <w:rtl w:val="0"/>
        </w:rPr>
        <w:t xml:space="preserve">– </w:t>
      </w:r>
      <w:r>
        <w:rPr>
          <w:rFonts w:ascii="Times Roman" w:hAnsi="Times Roman"/>
          <w:b w:val="1"/>
          <w:bCs w:val="1"/>
          <w:rtl w:val="0"/>
          <w:lang w:val="en-US"/>
        </w:rPr>
        <w:t>Fornell-Larcker Criterion (Detailed Discussion)</w:t>
      </w: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1. What is Discriminant Validity?</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fr-FR"/>
        </w:rPr>
        <w:t>Discriminant Validity</w:t>
      </w:r>
      <w:r>
        <w:rPr>
          <w:rFonts w:ascii="Times Roman" w:hAnsi="Times Roman"/>
          <w:rtl w:val="0"/>
          <w:lang w:val="en-US"/>
        </w:rPr>
        <w:t xml:space="preserve"> refers to the extent to which a construct is truly distinct from other constructs in the model. In other words, it confirms that the indicators of one construct are not highly correlated with indicators of other constructs.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If discriminant validity is poor, it suggests that two or more constructs are measuring the same underlying concept (overlap), which undermines the theoretical distinctiveness of your model.</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 xml:space="preserve">This is especially important in your thesis because your integrated model includes </w:t>
      </w:r>
      <w:r>
        <w:rPr>
          <w:rFonts w:ascii="Times Roman" w:hAnsi="Times Roman"/>
          <w:b w:val="1"/>
          <w:bCs w:val="1"/>
          <w:rtl w:val="0"/>
          <w:lang w:val="en-US"/>
        </w:rPr>
        <w:t>multiple closely related constructs</w:t>
      </w:r>
      <w:r>
        <w:rPr>
          <w:rFonts w:ascii="Times Roman" w:hAnsi="Times Roman"/>
          <w:rtl w:val="0"/>
          <w:lang w:val="en-US"/>
        </w:rPr>
        <w:t xml:space="preserve"> (e.g., Trust Restoration, Governance Perception, Post-Fraud Risk, etc.).</w: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it-IT"/>
        </w:rPr>
        <w:t>2. Fornell-Larcker Criterion (1981)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Fornell-Larcker Criterion</w:t>
      </w:r>
      <w:r>
        <w:rPr>
          <w:rFonts w:ascii="Times Roman" w:hAnsi="Times Roman"/>
          <w:rtl w:val="0"/>
          <w:lang w:val="en-US"/>
        </w:rPr>
        <w:t xml:space="preserve"> is one of the most widely used methods to assess discriminant validity in SEM and PLS-SEM.</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319" w:line="240" w:lineRule="auto"/>
        <w:jc w:val="both"/>
        <w:rPr>
          <w:rFonts w:ascii="Times Roman" w:cs="Times Roman" w:hAnsi="Times Roman" w:eastAsia="Times Roman"/>
          <w:b w:val="1"/>
          <w:bCs w:val="1"/>
        </w:rPr>
      </w:pPr>
      <w:r>
        <w:rPr>
          <w:rFonts w:ascii="Times Roman" w:hAnsi="Times Roman"/>
          <w:b w:val="1"/>
          <w:bCs w:val="1"/>
          <w:rtl w:val="0"/>
          <w:lang w:val="en-US"/>
        </w:rPr>
        <w:t>The Rule:</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0"/>
          <w:bCs w:val="0"/>
          <w:rtl w:val="0"/>
          <w:lang w:val="en-US"/>
        </w:rPr>
        <w:t xml:space="preserve">A construct has </w:t>
      </w:r>
      <w:r>
        <w:rPr>
          <w:rFonts w:ascii="Times Roman" w:hAnsi="Times Roman"/>
          <w:b w:val="1"/>
          <w:bCs w:val="1"/>
          <w:rtl w:val="0"/>
          <w:lang w:val="en-US"/>
        </w:rPr>
        <w:t>adequate discriminant validity</w:t>
      </w:r>
      <w:r>
        <w:rPr>
          <w:rFonts w:ascii="Times Roman" w:hAnsi="Times Roman"/>
          <w:b w:val="0"/>
          <w:bCs w:val="0"/>
          <w:rtl w:val="0"/>
          <w:lang w:val="en-US"/>
        </w:rPr>
        <w:t xml:space="preserve"> if:</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The square root of its AVE is greater than its correlation with any other construct.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In equation form:</w:t>
      </w:r>
    </w:p>
    <w:p>
      <w:pPr>
        <w:pStyle w:val="Default"/>
        <w:suppressAutoHyphens w:val="1"/>
        <w:spacing w:before="0" w:after="240" w:line="240" w:lineRule="auto"/>
        <w:jc w:val="center"/>
        <w:rPr>
          <w:rFonts w:ascii="Times Roman" w:cs="Times Roman" w:hAnsi="Times Roman" w:eastAsia="Times Roman"/>
          <w:b w:val="1"/>
          <w:bCs w:val="1"/>
          <w:color w:val="000000"/>
          <w:sz w:val="24"/>
        </w:rPr>
      </w:pPr>
      <m:oMathPara>
        <m:oMathParaPr>
          <m:jc m:val="center"/>
        </m:oMathParaPr>
        <m:oMath>
          <m:rad>
            <m:radPr>
              <m:ctrlPr>
                <w:rPr xmlns:w="http://schemas.openxmlformats.org/wordprocessingml/2006/main">
                  <w:rFonts w:ascii="Cambria Math" w:hAnsi="Cambria Math"/>
                  <w:i/>
                  <w:color w:val="000000"/>
                  <w:sz w:val="25"/>
                  <w:szCs w:val="25"/>
                </w:rPr>
              </m:ctrlPr>
              <m:degHide m:val="on"/>
            </m:radPr>
            <m:deg/>
            <m:e>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V</m:t>
              </m:r>
              <m:sSub>
                <m:e>
                  <m:r>
                    <w:rPr xmlns:w="http://schemas.openxmlformats.org/wordprocessingml/2006/main">
                      <w:rFonts w:ascii="Cambria Math" w:hAnsi="Cambria Math"/>
                      <w:i/>
                      <w:color w:val="000000"/>
                      <w:sz w:val="25"/>
                      <w:szCs w:val="25"/>
                    </w:rPr>
                    <m:t>E</m:t>
                  </m:r>
                </m:e>
                <m:sub>
                  <m:r>
                    <w:rPr xmlns:w="http://schemas.openxmlformats.org/wordprocessingml/2006/main">
                      <w:rFonts w:ascii="Cambria Math" w:hAnsi="Cambria Math"/>
                      <w:i/>
                      <w:color w:val="000000"/>
                      <w:sz w:val="25"/>
                      <w:szCs w:val="25"/>
                    </w:rPr>
                    <m:t>j</m:t>
                  </m:r>
                </m:sub>
              </m:sSub>
            </m:e>
          </m:rad>
          <m:r>
            <w:rPr xmlns:w="http://schemas.openxmlformats.org/wordprocessingml/2006/main">
              <w:rFonts w:ascii="Cambria Math" w:hAnsi="Cambria Math"/>
              <w:i/>
              <w:color w:val="000000"/>
              <w:sz w:val="25"/>
              <w:szCs w:val="25"/>
            </w:rPr>
            <m:t>&gt;</m:t>
          </m:r>
          <m:sSub>
            <m:e>
              <m:r>
                <w:rPr xmlns:w="http://schemas.openxmlformats.org/wordprocessingml/2006/main">
                  <w:rFonts w:ascii="Cambria Math" w:hAnsi="Cambria Math"/>
                  <w:i/>
                  <w:color w:val="000000"/>
                  <w:sz w:val="25"/>
                  <w:szCs w:val="25"/>
                </w:rPr>
                <m:t>r</m:t>
              </m:r>
            </m:e>
            <m:sub>
              <m:r>
                <w:rPr xmlns:w="http://schemas.openxmlformats.org/wordprocessingml/2006/main">
                  <w:rFonts w:ascii="Cambria Math" w:hAnsi="Cambria Math"/>
                  <w:i/>
                  <w:color w:val="000000"/>
                  <w:sz w:val="25"/>
                  <w:szCs w:val="25"/>
                </w:rPr>
                <m:t>j</m:t>
              </m:r>
              <m:r>
                <w:rPr xmlns:w="http://schemas.openxmlformats.org/wordprocessingml/2006/main">
                  <w:rFonts w:ascii="Cambria Math" w:hAnsi="Cambria Math"/>
                  <w:i/>
                  <w:color w:val="000000"/>
                  <w:sz w:val="25"/>
                  <w:szCs w:val="25"/>
                </w:rPr>
                <m:t>k</m:t>
              </m:r>
            </m:sub>
          </m:sSub>
          <m:r>
            <m:rPr>
              <m:nor/>
            </m:rPr>
            <w:rPr xmlns:w="http://schemas.openxmlformats.org/wordprocessingml/2006/main">
              <w:rFonts w:ascii="Cambria Math" w:hAnsi="Cambria Math"/>
              <w:i/>
              <w:color w:val="000000"/>
              <w:sz w:val="25"/>
              <w:szCs w:val="25"/>
            </w:rPr>
            <m:t>for all</m:t>
          </m:r>
          <m:r>
            <w:rPr xmlns:w="http://schemas.openxmlformats.org/wordprocessingml/2006/main">
              <w:rFonts w:ascii="Cambria Math" w:hAnsi="Cambria Math"/>
              <w:i/>
              <w:color w:val="000000"/>
              <w:sz w:val="25"/>
              <w:szCs w:val="25"/>
            </w:rPr>
            <m:t>k</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j</m:t>
          </m:r>
        </m:oMath>
      </m:oMathPara>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Where:</w:t>
      </w:r>
    </w:p>
    <w:p>
      <w:pPr>
        <w:pStyle w:val="Default"/>
        <w:numPr>
          <w:ilvl w:val="0"/>
          <w:numId w:val="4"/>
        </w:numPr>
        <w:suppressAutoHyphens w:val="1"/>
        <w:spacing w:before="0" w:after="240" w:line="240" w:lineRule="auto"/>
        <w:rPr>
          <w:rFonts w:ascii="Times Roman" w:hAnsi="Times Roman"/>
          <w:color w:val="000000"/>
          <w:sz w:val="24"/>
          <w:lang w:val="en-US"/>
        </w:rPr>
      </w:pPr>
      <w:r>
        <w:rPr>
          <w:rFonts w:ascii="STIX Two Math Regular" w:hAnsi="STIX Two Math Regular"/>
          <w:rtl w:val="0"/>
          <w:lang w:val="en-US"/>
        </w:rPr>
        <w:t xml:space="preserve"> </w:t>
      </w:r>
      <m:oMath>
        <m:rad>
          <m:radPr>
            <m:ctrlPr>
              <w:rPr xmlns:w="http://schemas.openxmlformats.org/wordprocessingml/2006/main">
                <w:rFonts w:ascii="Cambria Math" w:hAnsi="Cambria Math"/>
                <w:i/>
                <w:color w:val="000000"/>
                <w:sz w:val="26"/>
                <w:szCs w:val="26"/>
              </w:rPr>
            </m:ctrlPr>
            <m:degHide m:val="on"/>
          </m:radPr>
          <m:deg/>
          <m:e>
            <m:r>
              <w:rPr xmlns:w="http://schemas.openxmlformats.org/wordprocessingml/2006/main">
                <w:rFonts w:ascii="Cambria Math" w:hAnsi="Cambria Math"/>
                <w:i/>
                <w:color w:val="000000"/>
                <w:sz w:val="26"/>
                <w:szCs w:val="26"/>
              </w:rPr>
              <m:t>A</m:t>
            </m:r>
            <m:r>
              <w:rPr xmlns:w="http://schemas.openxmlformats.org/wordprocessingml/2006/main">
                <w:rFonts w:ascii="Cambria Math" w:hAnsi="Cambria Math"/>
                <w:i/>
                <w:color w:val="000000"/>
                <w:sz w:val="26"/>
                <w:szCs w:val="26"/>
              </w:rPr>
              <m:t>V</m:t>
            </m:r>
            <m:sSub>
              <m:e>
                <m:r>
                  <w:rPr xmlns:w="http://schemas.openxmlformats.org/wordprocessingml/2006/main">
                    <w:rFonts w:ascii="Cambria Math" w:hAnsi="Cambria Math"/>
                    <w:i/>
                    <w:color w:val="000000"/>
                    <w:sz w:val="26"/>
                    <w:szCs w:val="26"/>
                  </w:rPr>
                  <m:t>E</m:t>
                </m:r>
              </m:e>
              <m:sub>
                <m:r>
                  <w:rPr xmlns:w="http://schemas.openxmlformats.org/wordprocessingml/2006/main">
                    <w:rFonts w:ascii="Cambria Math" w:hAnsi="Cambria Math"/>
                    <w:i/>
                    <w:color w:val="000000"/>
                    <w:sz w:val="26"/>
                    <w:szCs w:val="26"/>
                  </w:rPr>
                  <m:t>j</m:t>
                </m:r>
              </m:sub>
            </m:sSub>
          </m:e>
        </m:rad>
      </m:oMath>
      <w:r>
        <w:rPr>
          <w:rFonts w:ascii="Times Roman" w:hAnsi="Times Roman"/>
          <w:rtl w:val="0"/>
          <w:lang w:val="en-US"/>
        </w:rPr>
        <w:t xml:space="preserve"> = Square root of the Average Variance Extracted of construct </w:t>
      </w:r>
      <w:r>
        <w:rPr>
          <w:rFonts w:ascii="Times Roman" w:hAnsi="Times Roman"/>
          <w:i w:val="1"/>
          <w:iCs w:val="1"/>
          <w:rtl w:val="0"/>
        </w:rPr>
        <w:t>j</w:t>
      </w:r>
    </w:p>
    <w:p>
      <w:pPr>
        <w:pStyle w:val="Default"/>
        <w:numPr>
          <w:ilvl w:val="0"/>
          <w:numId w:val="11"/>
        </w:numPr>
        <w:suppressAutoHyphens w:val="1"/>
        <w:spacing w:before="0" w:line="240" w:lineRule="auto"/>
        <w:jc w:val="left"/>
        <w:rPr>
          <w:rFonts w:ascii="Times Roman" w:cs="Times Roman" w:hAnsi="Times Roman" w:eastAsia="Times Roman"/>
          <w:color w:val="000000"/>
          <w:sz w:val="24"/>
        </w:rPr>
      </w:pPr>
      <m:oMath>
        <m:sSub>
          <m:e>
            <m:r>
              <w:rPr xmlns:w="http://schemas.openxmlformats.org/wordprocessingml/2006/main">
                <w:rFonts w:ascii="Cambria Math" w:hAnsi="Cambria Math"/>
                <w:i/>
                <w:color w:val="000000"/>
                <w:sz w:val="25"/>
                <w:szCs w:val="25"/>
              </w:rPr>
              <m:t>r</m:t>
            </m:r>
          </m:e>
          <m:sub>
            <m:r>
              <w:rPr xmlns:w="http://schemas.openxmlformats.org/wordprocessingml/2006/main">
                <w:rFonts w:ascii="Cambria Math" w:hAnsi="Cambria Math"/>
                <w:i/>
                <w:color w:val="000000"/>
                <w:sz w:val="25"/>
                <w:szCs w:val="25"/>
              </w:rPr>
              <m:t>j</m:t>
            </m:r>
            <m:r>
              <w:rPr xmlns:w="http://schemas.openxmlformats.org/wordprocessingml/2006/main">
                <w:rFonts w:ascii="Cambria Math" w:hAnsi="Cambria Math"/>
                <w:i/>
                <w:color w:val="000000"/>
                <w:sz w:val="25"/>
                <w:szCs w:val="25"/>
              </w:rPr>
              <m:t>k</m:t>
            </m:r>
          </m:sub>
        </m:sSub>
      </m:oMath>
      <w:r>
        <w:rPr>
          <w:rFonts w:ascii="Times Roman" w:hAnsi="Times Roman"/>
          <w:rtl w:val="0"/>
          <w:lang w:val="en-US"/>
        </w:rPr>
        <w:t xml:space="preserve"> </w:t>
      </w:r>
      <w:r>
        <w:rPr>
          <w:rFonts w:ascii="Times Roman" w:hAnsi="Times Roman"/>
          <w:rtl w:val="0"/>
          <w:lang w:val="en-US"/>
        </w:rPr>
        <w:t xml:space="preserve"> = Correlation between construct </w:t>
      </w:r>
      <w:r>
        <w:rPr>
          <w:rFonts w:ascii="Times Roman" w:hAnsi="Times Roman"/>
          <w:i w:val="1"/>
          <w:iCs w:val="1"/>
          <w:rtl w:val="0"/>
        </w:rPr>
        <w:t>j</w:t>
      </w:r>
      <w:r>
        <w:rPr>
          <w:rFonts w:ascii="Times Roman" w:hAnsi="Times Roman"/>
          <w:rtl w:val="0"/>
          <w:lang w:val="en-US"/>
        </w:rPr>
        <w:t xml:space="preserve"> and construct </w:t>
      </w:r>
      <w:r>
        <w:rPr>
          <w:rFonts w:ascii="Times Roman" w:hAnsi="Times Roman"/>
          <w:i w:val="1"/>
          <w:iCs w:val="1"/>
          <w:rtl w:val="0"/>
        </w:rPr>
        <w:t>k</w:t>
      </w: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i w:val="1"/>
          <w:iCs w:val="1"/>
        </w:rPr>
      </w:pPr>
    </w:p>
    <w:p>
      <w:pPr>
        <w:pStyle w:val="Default"/>
        <w:suppressAutoHyphens w:val="1"/>
        <w:spacing w:before="0" w:line="240" w:lineRule="auto"/>
        <w:jc w:val="left"/>
        <w:rPr>
          <w:rFonts w:ascii="Times Roman" w:cs="Times Roman" w:hAnsi="Times Roman" w:eastAsia="Times Roman"/>
        </w:rPr>
      </w:pPr>
    </w:p>
    <w:p>
      <w:pPr>
        <w:pStyle w:val="Default"/>
        <w:tabs>
          <w:tab w:val="left" w:pos="220"/>
          <w:tab w:val="left" w:pos="720"/>
        </w:tabs>
        <w:suppressAutoHyphens w:val="1"/>
        <w:spacing w:before="0" w:line="240" w:lineRule="auto"/>
        <w:ind w:left="720" w:hanging="720"/>
        <w:jc w:val="left"/>
        <w:rPr>
          <w:rFonts w:ascii="Times Roman" w:cs="Times Roman" w:hAnsi="Times Roman" w:eastAsia="Times Roman"/>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Step-by-Step Explanation with Example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Let</w:t>
      </w:r>
      <w:r>
        <w:rPr>
          <w:rFonts w:ascii="Times Roman" w:hAnsi="Times Roman" w:hint="default"/>
          <w:rtl w:val="1"/>
        </w:rPr>
        <w:t>’</w:t>
      </w:r>
      <w:r>
        <w:rPr>
          <w:rFonts w:ascii="Times Roman" w:hAnsi="Times Roman"/>
          <w:rtl w:val="0"/>
          <w:lang w:val="en-US"/>
        </w:rPr>
        <w:t>s use constructs from your thesis model for illustration:</w:t>
      </w:r>
    </w:p>
    <w:tbl>
      <w:tblPr>
        <w:tblW w:w="9340"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70"/>
        <w:gridCol w:w="1560"/>
        <w:gridCol w:w="1481"/>
        <w:gridCol w:w="3829"/>
      </w:tblGrid>
      <w:tr>
        <w:tblPrEx>
          <w:shd w:val="clear" w:color="auto" w:fill="auto"/>
        </w:tblPrEx>
        <w:trPr>
          <w:trHeight w:val="1043" w:hRule="atLeast"/>
        </w:trPr>
        <w:tc>
          <w:tcPr>
            <w:tcW w:type="dxa" w:w="247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Construct</w:t>
            </w:r>
          </w:p>
        </w:tc>
        <w:tc>
          <w:tcPr>
            <w:tcW w:type="dxa" w:w="155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AVE</w:t>
            </w:r>
          </w:p>
        </w:tc>
        <w:tc>
          <w:tcPr>
            <w:tcW w:type="dxa" w:w="148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hint="default"/>
                <w:b w:val="1"/>
                <w:bCs w:val="1"/>
                <w:outline w:val="0"/>
                <w:color w:val="feffff"/>
                <w:sz w:val="28"/>
                <w:szCs w:val="28"/>
                <w:rtl w:val="0"/>
                <w14:textFill>
                  <w14:solidFill>
                    <w14:srgbClr w14:val="FFFFFF"/>
                  </w14:solidFill>
                </w14:textFill>
              </w:rPr>
              <w:t>√</w:t>
            </w:r>
            <w:r>
              <w:rPr>
                <w:rFonts w:ascii="Times Roman" w:hAnsi="Times Roman"/>
                <w:b w:val="1"/>
                <w:bCs w:val="1"/>
                <w:outline w:val="0"/>
                <w:color w:val="feffff"/>
                <w:sz w:val="28"/>
                <w:szCs w:val="28"/>
                <w:rtl w:val="0"/>
                <w14:textFill>
                  <w14:solidFill>
                    <w14:srgbClr w14:val="FFFFFF"/>
                  </w14:solidFill>
                </w14:textFill>
              </w:rPr>
              <w:t>AVE</w:t>
            </w:r>
          </w:p>
        </w:tc>
        <w:tc>
          <w:tcPr>
            <w:tcW w:type="dxa" w:w="382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Correlation with other constructs</w:t>
            </w:r>
          </w:p>
        </w:tc>
      </w:tr>
      <w:tr>
        <w:tblPrEx>
          <w:shd w:val="clear" w:color="auto" w:fill="auto"/>
        </w:tblPrEx>
        <w:trPr>
          <w:trHeight w:val="947" w:hRule="atLeast"/>
        </w:trPr>
        <w:tc>
          <w:tcPr>
            <w:tcW w:type="dxa" w:w="247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Performance Expectancy</w:t>
            </w:r>
          </w:p>
        </w:tc>
        <w:tc>
          <w:tcPr>
            <w:tcW w:type="dxa" w:w="155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0.78</w:t>
            </w:r>
          </w:p>
        </w:tc>
        <w:tc>
          <w:tcPr>
            <w:tcW w:type="dxa" w:w="148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0.883</w:t>
            </w:r>
          </w:p>
        </w:tc>
        <w:tc>
          <w:tcPr>
            <w:tcW w:type="dxa" w:w="382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p>
        </w:tc>
      </w:tr>
      <w:tr>
        <w:tblPrEx>
          <w:shd w:val="clear" w:color="auto" w:fill="auto"/>
        </w:tblPrEx>
        <w:trPr>
          <w:trHeight w:val="947" w:hRule="atLeast"/>
        </w:trPr>
        <w:tc>
          <w:tcPr>
            <w:tcW w:type="dxa" w:w="247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Trust Restoration</w:t>
            </w:r>
          </w:p>
        </w:tc>
        <w:tc>
          <w:tcPr>
            <w:tcW w:type="dxa" w:w="155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0.65</w:t>
            </w:r>
          </w:p>
        </w:tc>
        <w:tc>
          <w:tcPr>
            <w:tcW w:type="dxa" w:w="148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0.806</w:t>
            </w:r>
          </w:p>
        </w:tc>
        <w:tc>
          <w:tcPr>
            <w:tcW w:type="dxa" w:w="382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0.71 (with Performance Expectancy)</w:t>
            </w:r>
          </w:p>
        </w:tc>
      </w:tr>
      <w:tr>
        <w:tblPrEx>
          <w:shd w:val="clear" w:color="auto" w:fill="auto"/>
        </w:tblPrEx>
        <w:trPr>
          <w:trHeight w:val="567" w:hRule="atLeast"/>
        </w:trPr>
        <w:tc>
          <w:tcPr>
            <w:tcW w:type="dxa" w:w="247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Agent Quality</w:t>
            </w:r>
          </w:p>
        </w:tc>
        <w:tc>
          <w:tcPr>
            <w:tcW w:type="dxa" w:w="155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0.61</w:t>
            </w:r>
          </w:p>
        </w:tc>
        <w:tc>
          <w:tcPr>
            <w:tcW w:type="dxa" w:w="148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0.781</w:t>
            </w:r>
          </w:p>
        </w:tc>
        <w:tc>
          <w:tcPr>
            <w:tcW w:type="dxa" w:w="382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0.58 (with Trust Restoration)</w:t>
            </w:r>
          </w:p>
        </w:tc>
      </w:tr>
      <w:tr>
        <w:tblPrEx>
          <w:shd w:val="clear" w:color="auto" w:fill="auto"/>
        </w:tblPrEx>
        <w:trPr>
          <w:trHeight w:val="567" w:hRule="atLeast"/>
        </w:trPr>
        <w:tc>
          <w:tcPr>
            <w:tcW w:type="dxa" w:w="247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Post-Fraud Risk</w:t>
            </w:r>
          </w:p>
        </w:tc>
        <w:tc>
          <w:tcPr>
            <w:tcW w:type="dxa" w:w="155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0.67</w:t>
            </w:r>
          </w:p>
        </w:tc>
        <w:tc>
          <w:tcPr>
            <w:tcW w:type="dxa" w:w="148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0.819</w:t>
            </w:r>
          </w:p>
        </w:tc>
        <w:tc>
          <w:tcPr>
            <w:tcW w:type="dxa" w:w="382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0.49 (with Trust Restoration)</w:t>
            </w:r>
          </w:p>
        </w:tc>
      </w:tr>
    </w:tbl>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Check for each construct: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1. Performance Expectancy</w:t>
      </w:r>
    </w:p>
    <w:p>
      <w:pPr>
        <w:pStyle w:val="Default"/>
        <w:numPr>
          <w:ilvl w:val="0"/>
          <w:numId w:val="3"/>
        </w:numPr>
        <w:suppressAutoHyphens w:val="1"/>
        <w:spacing w:before="0" w:line="240" w:lineRule="auto"/>
        <w:jc w:val="left"/>
        <w:rPr>
          <w:rFonts w:ascii="Times Roman" w:hAnsi="Times Roman" w:hint="default"/>
        </w:rPr>
      </w:pPr>
      <w:r>
        <w:rPr>
          <w:rFonts w:ascii="Times Roman" w:hAnsi="Times Roman" w:hint="default"/>
          <w:rtl w:val="0"/>
        </w:rPr>
        <w:t>√</w:t>
      </w:r>
      <w:r>
        <w:rPr>
          <w:rFonts w:ascii="Times Roman" w:hAnsi="Times Roman"/>
          <w:rtl w:val="0"/>
        </w:rPr>
        <w:t>AVE = 0.883</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Highest correlation with any other construct = 0.71 (with Trust Restoration)</w:t>
      </w:r>
    </w:p>
    <w:p>
      <w:pPr>
        <w:pStyle w:val="Default"/>
        <w:numPr>
          <w:ilvl w:val="0"/>
          <w:numId w:val="3"/>
        </w:numPr>
        <w:suppressAutoHyphens w:val="1"/>
        <w:spacing w:before="0" w:line="240" w:lineRule="auto"/>
        <w:jc w:val="left"/>
        <w:rPr>
          <w:rFonts w:ascii="Times Roman" w:hAnsi="Times Roman"/>
          <w:b w:val="1"/>
          <w:bCs w:val="1"/>
        </w:rPr>
      </w:pPr>
      <w:r>
        <w:rPr>
          <w:rFonts w:ascii="Times Roman" w:hAnsi="Times Roman"/>
          <w:b w:val="1"/>
          <w:bCs w:val="1"/>
          <w:rtl w:val="0"/>
        </w:rPr>
        <w:t>0.883 &gt; 0.71</w:t>
      </w:r>
      <w:r>
        <w:rPr>
          <w:rFonts w:ascii="Times Roman" w:hAnsi="Times Roman"/>
          <w:b w:val="0"/>
          <w:bCs w:val="0"/>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Discriminant validity satisfied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2. Trust Restoration</w:t>
      </w:r>
    </w:p>
    <w:p>
      <w:pPr>
        <w:pStyle w:val="Default"/>
        <w:numPr>
          <w:ilvl w:val="0"/>
          <w:numId w:val="3"/>
        </w:numPr>
        <w:suppressAutoHyphens w:val="1"/>
        <w:spacing w:before="0" w:line="240" w:lineRule="auto"/>
        <w:jc w:val="left"/>
        <w:rPr>
          <w:rFonts w:ascii="Times Roman" w:hAnsi="Times Roman" w:hint="default"/>
        </w:rPr>
      </w:pPr>
      <w:r>
        <w:rPr>
          <w:rFonts w:ascii="Times Roman" w:hAnsi="Times Roman" w:hint="default"/>
          <w:rtl w:val="0"/>
        </w:rPr>
        <w:t>√</w:t>
      </w:r>
      <w:r>
        <w:rPr>
          <w:rFonts w:ascii="Times Roman" w:hAnsi="Times Roman"/>
          <w:rtl w:val="0"/>
        </w:rPr>
        <w:t>AVE = 0.806</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Highest correlation = 0.71 (with Performance Expectancy)</w:t>
      </w:r>
    </w:p>
    <w:p>
      <w:pPr>
        <w:pStyle w:val="Default"/>
        <w:numPr>
          <w:ilvl w:val="0"/>
          <w:numId w:val="3"/>
        </w:numPr>
        <w:suppressAutoHyphens w:val="1"/>
        <w:spacing w:before="0" w:line="240" w:lineRule="auto"/>
        <w:jc w:val="left"/>
        <w:rPr>
          <w:rFonts w:ascii="Times Roman" w:hAnsi="Times Roman"/>
          <w:b w:val="1"/>
          <w:bCs w:val="1"/>
        </w:rPr>
      </w:pPr>
      <w:r>
        <w:rPr>
          <w:rFonts w:ascii="Times Roman" w:hAnsi="Times Roman"/>
          <w:b w:val="1"/>
          <w:bCs w:val="1"/>
          <w:rtl w:val="0"/>
        </w:rPr>
        <w:t>0.806 &gt; 0.71</w:t>
      </w:r>
      <w:r>
        <w:rPr>
          <w:rFonts w:ascii="Times Roman" w:hAnsi="Times Roman"/>
          <w:b w:val="0"/>
          <w:bCs w:val="0"/>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Discriminant validity satisfied</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3. Agent Quality</w:t>
      </w:r>
    </w:p>
    <w:p>
      <w:pPr>
        <w:pStyle w:val="Default"/>
        <w:numPr>
          <w:ilvl w:val="0"/>
          <w:numId w:val="3"/>
        </w:numPr>
        <w:suppressAutoHyphens w:val="1"/>
        <w:spacing w:before="0" w:line="240" w:lineRule="auto"/>
        <w:jc w:val="left"/>
        <w:rPr>
          <w:rFonts w:ascii="Times Roman" w:hAnsi="Times Roman" w:hint="default"/>
        </w:rPr>
      </w:pPr>
      <w:r>
        <w:rPr>
          <w:rFonts w:ascii="Times Roman" w:hAnsi="Times Roman" w:hint="default"/>
          <w:rtl w:val="0"/>
        </w:rPr>
        <w:t>√</w:t>
      </w:r>
      <w:r>
        <w:rPr>
          <w:rFonts w:ascii="Times Roman" w:hAnsi="Times Roman"/>
          <w:rtl w:val="0"/>
        </w:rPr>
        <w:t>AVE = 0.781</w:t>
      </w:r>
    </w:p>
    <w:p>
      <w:pPr>
        <w:pStyle w:val="Default"/>
        <w:numPr>
          <w:ilvl w:val="0"/>
          <w:numId w:val="3"/>
        </w:numPr>
        <w:suppressAutoHyphens w:val="1"/>
        <w:spacing w:before="0" w:line="240" w:lineRule="auto"/>
        <w:jc w:val="left"/>
        <w:rPr>
          <w:rFonts w:ascii="Times Roman" w:hAnsi="Times Roman"/>
          <w:lang w:val="en-US"/>
        </w:rPr>
      </w:pPr>
      <w:r>
        <w:rPr>
          <w:rFonts w:ascii="Times Roman" w:hAnsi="Times Roman"/>
          <w:rtl w:val="0"/>
          <w:lang w:val="en-US"/>
        </w:rPr>
        <w:t>Highest correlation = 0.58</w:t>
      </w:r>
    </w:p>
    <w:p>
      <w:pPr>
        <w:pStyle w:val="Default"/>
        <w:numPr>
          <w:ilvl w:val="0"/>
          <w:numId w:val="3"/>
        </w:numPr>
        <w:suppressAutoHyphens w:val="1"/>
        <w:spacing w:before="0" w:line="240" w:lineRule="auto"/>
        <w:jc w:val="left"/>
        <w:rPr>
          <w:rFonts w:ascii="Times Roman" w:hAnsi="Times Roman"/>
          <w:b w:val="1"/>
          <w:bCs w:val="1"/>
        </w:rPr>
      </w:pPr>
      <w:r>
        <w:rPr>
          <w:rFonts w:ascii="Times Roman" w:hAnsi="Times Roman"/>
          <w:b w:val="1"/>
          <w:bCs w:val="1"/>
          <w:rtl w:val="0"/>
        </w:rPr>
        <w:t>0.781 &gt; 0.58</w:t>
      </w:r>
      <w:r>
        <w:rPr>
          <w:rFonts w:ascii="Times Roman" w:hAnsi="Times Roman"/>
          <w:b w:val="0"/>
          <w:bCs w:val="0"/>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b w:val="0"/>
          <w:bCs w:val="0"/>
          <w:rtl w:val="0"/>
        </w:rPr>
        <w:t xml:space="preserve"> </w:t>
      </w:r>
      <w:r>
        <w:rPr>
          <w:rFonts w:ascii="Times Roman" w:hAnsi="Times Roman"/>
          <w:b w:val="1"/>
          <w:bCs w:val="1"/>
          <w:rtl w:val="0"/>
          <w:lang w:val="en-US"/>
        </w:rPr>
        <w:t>Discriminant validity satisfied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Result</w:t>
      </w:r>
      <w:r>
        <w:rPr>
          <w:rFonts w:ascii="Times Roman" w:hAnsi="Times Roman"/>
          <w:rtl w:val="0"/>
          <w:lang w:val="en-US"/>
        </w:rPr>
        <w:t>: All constructs meet the Fornell-Larcker criterion.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4. Comparison with HTMT (Modern Approach)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While the </w:t>
      </w:r>
      <w:r>
        <w:rPr>
          <w:rFonts w:ascii="Times Roman" w:hAnsi="Times Roman"/>
          <w:b w:val="1"/>
          <w:bCs w:val="1"/>
          <w:rtl w:val="0"/>
          <w:lang w:val="en-US"/>
        </w:rPr>
        <w:t>Fornell-Larcker Criterion</w:t>
      </w:r>
      <w:r>
        <w:rPr>
          <w:rFonts w:ascii="Times Roman" w:hAnsi="Times Roman"/>
          <w:rtl w:val="0"/>
          <w:lang w:val="en-US"/>
        </w:rPr>
        <w:t xml:space="preserve"> is still widely used, many recent researchers (including Henseler et al., 2015) recommend the </w:t>
      </w:r>
      <w:r>
        <w:rPr>
          <w:rFonts w:ascii="Times Roman" w:hAnsi="Times Roman"/>
          <w:b w:val="1"/>
          <w:bCs w:val="1"/>
          <w:rtl w:val="0"/>
          <w:lang w:val="en-US"/>
        </w:rPr>
        <w:t>HTMT ratio</w:t>
      </w:r>
      <w:r>
        <w:rPr>
          <w:rFonts w:ascii="Times Roman" w:hAnsi="Times Roman"/>
          <w:rtl w:val="0"/>
          <w:lang w:val="en-US"/>
        </w:rPr>
        <w:t xml:space="preserve"> as a more sensitive and reliable method.</w:t>
      </w:r>
    </w:p>
    <w:p>
      <w:pPr>
        <w:pStyle w:val="Default"/>
        <w:suppressAutoHyphens w:val="1"/>
        <w:spacing w:before="0" w:line="240" w:lineRule="auto"/>
        <w:jc w:val="center"/>
        <w:rPr>
          <w:rFonts w:ascii="Times Roman" w:cs="Times Roman" w:hAnsi="Times Roman" w:eastAsia="Times Roman"/>
        </w:rPr>
      </w:pPr>
    </w:p>
    <w:tbl>
      <w:tblPr>
        <w:tblW w:w="9057"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55"/>
        <w:gridCol w:w="2413"/>
        <w:gridCol w:w="1395"/>
        <w:gridCol w:w="3294"/>
      </w:tblGrid>
      <w:tr>
        <w:tblPrEx>
          <w:shd w:val="clear" w:color="auto" w:fill="auto"/>
        </w:tblPrEx>
        <w:trPr>
          <w:trHeight w:val="1133" w:hRule="atLeast"/>
        </w:trPr>
        <w:tc>
          <w:tcPr>
            <w:tcW w:type="dxa" w:w="195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Criterion</w:t>
            </w:r>
          </w:p>
        </w:tc>
        <w:tc>
          <w:tcPr>
            <w:tcW w:type="dxa" w:w="241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Threshold</w:t>
            </w:r>
          </w:p>
        </w:tc>
        <w:tc>
          <w:tcPr>
            <w:tcW w:type="dxa" w:w="139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Sensitivity</w:t>
            </w:r>
          </w:p>
        </w:tc>
        <w:tc>
          <w:tcPr>
            <w:tcW w:type="dxa" w:w="329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Recommendation in 2026</w:t>
            </w:r>
          </w:p>
        </w:tc>
      </w:tr>
      <w:tr>
        <w:tblPrEx>
          <w:shd w:val="clear" w:color="auto" w:fill="auto"/>
        </w:tblPrEx>
        <w:trPr>
          <w:trHeight w:val="1133" w:hRule="atLeast"/>
        </w:trPr>
        <w:tc>
          <w:tcPr>
            <w:tcW w:type="dxa" w:w="195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Fornell-Larcker</w:t>
            </w:r>
          </w:p>
        </w:tc>
        <w:tc>
          <w:tcPr>
            <w:tcW w:type="dxa" w:w="241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r>
              <w:rPr>
                <w:rFonts w:ascii="Times Roman" w:hAnsi="Times Roman"/>
                <w:sz w:val="28"/>
                <w:szCs w:val="28"/>
                <w:rtl w:val="0"/>
              </w:rPr>
              <w:t>AVE &gt; correlation</w:t>
            </w:r>
          </w:p>
        </w:tc>
        <w:tc>
          <w:tcPr>
            <w:tcW w:type="dxa" w:w="139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Moderate</w:t>
            </w:r>
          </w:p>
        </w:tc>
        <w:tc>
          <w:tcPr>
            <w:tcW w:type="dxa" w:w="329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Still acceptable</w:t>
            </w:r>
          </w:p>
        </w:tc>
      </w:tr>
      <w:tr>
        <w:tblPrEx>
          <w:shd w:val="clear" w:color="auto" w:fill="auto"/>
        </w:tblPrEx>
        <w:trPr>
          <w:trHeight w:val="618" w:hRule="atLeast"/>
        </w:trPr>
        <w:tc>
          <w:tcPr>
            <w:tcW w:type="dxa" w:w="195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HTMT</w:t>
            </w:r>
          </w:p>
        </w:tc>
        <w:tc>
          <w:tcPr>
            <w:tcW w:type="dxa" w:w="241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&lt; 0.85 (strict)</w:t>
            </w:r>
          </w:p>
        </w:tc>
        <w:tc>
          <w:tcPr>
            <w:tcW w:type="dxa" w:w="139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w:t>
            </w:r>
          </w:p>
        </w:tc>
        <w:tc>
          <w:tcPr>
            <w:tcW w:type="dxa" w:w="329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Preferred</w:t>
            </w:r>
          </w:p>
        </w:tc>
      </w:tr>
    </w:tbl>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In your Chapter 6, you correctly reported </w:t>
      </w:r>
      <w:r>
        <w:rPr>
          <w:rFonts w:ascii="Times Roman" w:hAnsi="Times Roman"/>
          <w:b w:val="1"/>
          <w:bCs w:val="1"/>
          <w:rtl w:val="0"/>
          <w:lang w:val="en-US"/>
        </w:rPr>
        <w:t>both</w:t>
      </w:r>
      <w:r>
        <w:rPr>
          <w:rFonts w:ascii="Times Roman" w:hAnsi="Times Roman"/>
          <w:rtl w:val="0"/>
        </w:rPr>
        <w:t>:</w:t>
      </w:r>
    </w:p>
    <w:p>
      <w:pPr>
        <w:pStyle w:val="Default"/>
        <w:numPr>
          <w:ilvl w:val="0"/>
          <w:numId w:val="9"/>
        </w:numPr>
        <w:suppressAutoHyphens w:val="1"/>
        <w:spacing w:before="0" w:line="240" w:lineRule="auto"/>
        <w:jc w:val="left"/>
        <w:rPr>
          <w:rFonts w:ascii="Times Roman" w:hAnsi="Times Roman"/>
          <w:lang w:val="en-US"/>
        </w:rPr>
      </w:pPr>
      <w:r>
        <w:rPr>
          <w:rFonts w:ascii="Times Roman" w:hAnsi="Times Roman"/>
          <w:rtl w:val="0"/>
          <w:lang w:val="en-US"/>
        </w:rPr>
        <w:t>Fornell-Larcker Criterion (satisfied)</w:t>
      </w:r>
    </w:p>
    <w:p>
      <w:pPr>
        <w:pStyle w:val="Default"/>
        <w:numPr>
          <w:ilvl w:val="0"/>
          <w:numId w:val="9"/>
        </w:numPr>
        <w:suppressAutoHyphens w:val="1"/>
        <w:spacing w:before="0" w:line="240" w:lineRule="auto"/>
        <w:jc w:val="left"/>
        <w:rPr>
          <w:rFonts w:ascii="Times Roman" w:hAnsi="Times Roman"/>
          <w:lang w:val="en-US"/>
        </w:rPr>
      </w:pPr>
      <w:r>
        <w:rPr>
          <w:rFonts w:ascii="Times Roman" w:hAnsi="Times Roman"/>
          <w:rtl w:val="0"/>
          <w:lang w:val="en-US"/>
        </w:rPr>
        <w:t>HTMT &lt; 0.85 (satisfied)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dual reporting strengthens the validity of measurement model.</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Equation for HTMT</w:t>
      </w:r>
      <w:r>
        <w:rPr>
          <w:rFonts w:ascii="Times Roman" w:hAnsi="Times Roman"/>
          <w:b w:val="0"/>
          <w:bCs w:val="0"/>
          <w:rtl w:val="0"/>
        </w:rPr>
        <w:t>:</w:t>
      </w:r>
    </w:p>
    <w:p>
      <w:pPr>
        <w:pStyle w:val="Default"/>
        <w:suppressAutoHyphens w:val="1"/>
        <w:spacing w:before="0" w:after="240" w:line="240" w:lineRule="auto"/>
        <w:jc w:val="both"/>
        <w:rPr>
          <w:rFonts w:ascii="Times Roman" w:cs="Times Roman" w:hAnsi="Times Roman" w:eastAsia="Times Roman"/>
          <w:b w:val="0"/>
          <w:bCs w:val="0"/>
        </w:rPr>
      </w:pPr>
    </w:p>
    <w:p>
      <w:pPr>
        <w:pStyle w:val="Default"/>
        <w:suppressAutoHyphens w:val="1"/>
        <w:spacing w:before="0" w:line="240" w:lineRule="auto"/>
        <w:jc w:val="both"/>
        <w:rPr>
          <w:rFonts w:ascii="Times Roman" w:cs="Times Roman" w:hAnsi="Times Roman" w:eastAsia="Times Roman"/>
          <w:color w:val="000000"/>
          <w:sz w:val="30"/>
          <w:szCs w:val="30"/>
        </w:rPr>
      </w:pPr>
      <m:oMathPara>
        <m:oMathParaPr>
          <m:jc m:val="left"/>
        </m:oMathParaPr>
        <m:oMath>
          <m:r>
            <w:rPr xmlns:w="http://schemas.openxmlformats.org/wordprocessingml/2006/main">
              <w:rFonts w:ascii="Cambria Math" w:hAnsi="Cambria Math"/>
              <w:i/>
              <w:color w:val="000000"/>
              <w:sz w:val="22"/>
              <w:szCs w:val="22"/>
            </w:rPr>
            <m:t>H</m:t>
          </m:r>
          <m:r>
            <w:rPr xmlns:w="http://schemas.openxmlformats.org/wordprocessingml/2006/main">
              <w:rFonts w:ascii="Cambria Math" w:hAnsi="Cambria Math"/>
              <w:i/>
              <w:color w:val="000000"/>
              <w:sz w:val="22"/>
              <w:szCs w:val="22"/>
            </w:rPr>
            <m:t>T</m:t>
          </m:r>
          <m:r>
            <w:rPr xmlns:w="http://schemas.openxmlformats.org/wordprocessingml/2006/main">
              <w:rFonts w:ascii="Cambria Math" w:hAnsi="Cambria Math"/>
              <w:i/>
              <w:color w:val="000000"/>
              <w:sz w:val="22"/>
              <w:szCs w:val="22"/>
            </w:rPr>
            <m:t>M</m:t>
          </m:r>
          <m:sSub>
            <m:e>
              <m:r>
                <w:rPr xmlns:w="http://schemas.openxmlformats.org/wordprocessingml/2006/main">
                  <w:rFonts w:ascii="Cambria Math" w:hAnsi="Cambria Math"/>
                  <w:i/>
                  <w:color w:val="000000"/>
                  <w:sz w:val="22"/>
                  <w:szCs w:val="22"/>
                </w:rPr>
                <m:t>T</m:t>
              </m:r>
            </m:e>
            <m:sub>
              <m:r>
                <w:rPr xmlns:w="http://schemas.openxmlformats.org/wordprocessingml/2006/main">
                  <w:rFonts w:ascii="Cambria Math" w:hAnsi="Cambria Math"/>
                  <w:i/>
                  <w:color w:val="000000"/>
                  <w:sz w:val="22"/>
                  <w:szCs w:val="22"/>
                </w:rPr>
                <m:t>j</m:t>
              </m:r>
              <m:r>
                <w:rPr xmlns:w="http://schemas.openxmlformats.org/wordprocessingml/2006/main">
                  <w:rFonts w:ascii="Cambria Math" w:hAnsi="Cambria Math"/>
                  <w:i/>
                  <w:color w:val="000000"/>
                  <w:sz w:val="22"/>
                  <w:szCs w:val="22"/>
                </w:rPr>
                <m:t>k</m:t>
              </m:r>
            </m:sub>
          </m:sSub>
          <m:r>
            <w:rPr xmlns:w="http://schemas.openxmlformats.org/wordprocessingml/2006/main">
              <w:rFonts w:ascii="Cambria Math" w:hAnsi="Cambria Math"/>
              <w:i/>
              <w:color w:val="000000"/>
              <w:sz w:val="22"/>
              <w:szCs w:val="22"/>
            </w:rPr>
            <m:t>=</m:t>
          </m:r>
          <m:f>
            <m:fPr>
              <m:ctrlPr>
                <w:rPr xmlns:w="http://schemas.openxmlformats.org/wordprocessingml/2006/main">
                  <w:rFonts w:ascii="Cambria Math" w:hAnsi="Cambria Math"/>
                  <w:i/>
                  <w:color w:val="000000"/>
                  <w:sz w:val="22"/>
                  <w:szCs w:val="22"/>
                </w:rPr>
              </m:ctrlPr>
              <m:type m:val="bar"/>
            </m:fPr>
            <m:num>
              <m:r>
                <m:rPr>
                  <m:nor/>
                </m:rPr>
                <w:rPr xmlns:w="http://schemas.openxmlformats.org/wordprocessingml/2006/main">
                  <w:rFonts w:ascii="Cambria Math" w:hAnsi="Cambria Math"/>
                  <w:i/>
                  <w:color w:val="000000"/>
                  <w:sz w:val="22"/>
                  <w:szCs w:val="22"/>
                </w:rPr>
                <m:t>mean of correlations between indicators of construct</m:t>
              </m:r>
              <m:r>
                <w:rPr xmlns:w="http://schemas.openxmlformats.org/wordprocessingml/2006/main">
                  <w:rFonts w:ascii="Cambria Math" w:hAnsi="Cambria Math"/>
                  <w:i/>
                  <w:color w:val="000000"/>
                  <w:sz w:val="22"/>
                  <w:szCs w:val="22"/>
                </w:rPr>
                <m:t>j</m:t>
              </m:r>
              <m:r>
                <m:rPr>
                  <m:nor/>
                </m:rPr>
                <w:rPr xmlns:w="http://schemas.openxmlformats.org/wordprocessingml/2006/main">
                  <w:rFonts w:ascii="Cambria Math" w:hAnsi="Cambria Math"/>
                  <w:i/>
                  <w:color w:val="000000"/>
                  <w:sz w:val="22"/>
                  <w:szCs w:val="22"/>
                </w:rPr>
                <m:t>and</m:t>
              </m:r>
              <m:r>
                <w:rPr xmlns:w="http://schemas.openxmlformats.org/wordprocessingml/2006/main">
                  <w:rFonts w:ascii="Cambria Math" w:hAnsi="Cambria Math"/>
                  <w:i/>
                  <w:color w:val="000000"/>
                  <w:sz w:val="22"/>
                  <w:szCs w:val="22"/>
                </w:rPr>
                <m:t>k</m:t>
              </m:r>
            </m:num>
            <m:den>
              <m:rad>
                <m:radPr>
                  <m:ctrlPr>
                    <w:rPr xmlns:w="http://schemas.openxmlformats.org/wordprocessingml/2006/main">
                      <w:rFonts w:ascii="Cambria Math" w:hAnsi="Cambria Math"/>
                      <w:i/>
                      <w:color w:val="000000"/>
                      <w:sz w:val="22"/>
                      <w:szCs w:val="22"/>
                    </w:rPr>
                  </m:ctrlPr>
                  <m:degHide m:val="on"/>
                </m:radPr>
                <m:deg/>
                <m:e>
                  <m:r>
                    <m:rPr>
                      <m:nor/>
                    </m:rPr>
                    <w:rPr xmlns:w="http://schemas.openxmlformats.org/wordprocessingml/2006/main">
                      <w:rFonts w:ascii="Cambria Math" w:hAnsi="Cambria Math"/>
                      <w:i/>
                      <w:color w:val="000000"/>
                      <w:sz w:val="22"/>
                      <w:szCs w:val="22"/>
                    </w:rPr>
                    <m:t>mean of squared correlations within construct</m:t>
                  </m:r>
                  <m:r>
                    <w:rPr xmlns:w="http://schemas.openxmlformats.org/wordprocessingml/2006/main">
                      <w:rFonts w:ascii="Cambria Math" w:hAnsi="Cambria Math"/>
                      <w:i/>
                      <w:color w:val="000000"/>
                      <w:sz w:val="22"/>
                      <w:szCs w:val="22"/>
                    </w:rPr>
                    <m:t>j</m:t>
                  </m:r>
                  <m:r>
                    <w:rPr xmlns:w="http://schemas.openxmlformats.org/wordprocessingml/2006/main">
                      <w:rFonts w:ascii="Cambria Math" w:hAnsi="Cambria Math"/>
                      <w:i/>
                      <w:color w:val="000000"/>
                      <w:sz w:val="22"/>
                      <w:szCs w:val="22"/>
                    </w:rPr>
                    <m:t>×</m:t>
                  </m:r>
                  <m:r>
                    <m:rPr>
                      <m:nor/>
                    </m:rPr>
                    <w:rPr xmlns:w="http://schemas.openxmlformats.org/wordprocessingml/2006/main">
                      <w:rFonts w:ascii="Cambria Math" w:hAnsi="Cambria Math"/>
                      <w:i/>
                      <w:color w:val="000000"/>
                      <w:sz w:val="22"/>
                      <w:szCs w:val="22"/>
                    </w:rPr>
                    <m:t>mean of squared correlations within construct</m:t>
                  </m:r>
                  <m:r>
                    <w:rPr xmlns:w="http://schemas.openxmlformats.org/wordprocessingml/2006/main">
                      <w:rFonts w:ascii="Cambria Math" w:hAnsi="Cambria Math"/>
                      <w:i/>
                      <w:color w:val="000000"/>
                      <w:sz w:val="22"/>
                      <w:szCs w:val="22"/>
                    </w:rPr>
                    <m:t>k</m:t>
                  </m:r>
                </m:e>
              </m:rad>
            </m:den>
          </m:f>
        </m:oMath>
      </m:oMathPara>
    </w:p>
    <w:p>
      <w:pPr>
        <w:pStyle w:val="Default"/>
        <w:suppressAutoHyphens w:val="1"/>
        <w:spacing w:before="0" w:line="240" w:lineRule="auto"/>
        <w:jc w:val="both"/>
        <w:rPr>
          <w:rFonts w:ascii="Times Roman" w:cs="Times Roman" w:hAnsi="Times Roman" w:eastAsia="Times Roman"/>
          <w:sz w:val="30"/>
          <w:szCs w:val="30"/>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All HTMT values were below the conservative threshold of 0.85 (highest = 0.79 between Trust Restoration and Governance Perception).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Common Method Bias</w:t>
      </w:r>
      <w:r>
        <w:rPr>
          <w:rFonts w:ascii="Times Roman" w:hAnsi="Times Roman"/>
          <w:rtl w:val="0"/>
          <w:lang w:val="en-US"/>
        </w:rPr>
        <w:t xml:space="preserve"> was assessed via Harman</w:t>
      </w:r>
      <w:r>
        <w:rPr>
          <w:rFonts w:ascii="Times Roman" w:hAnsi="Times Roman" w:hint="default"/>
          <w:rtl w:val="1"/>
        </w:rPr>
        <w:t>’</w:t>
      </w:r>
      <w:r>
        <w:rPr>
          <w:rFonts w:ascii="Times Roman" w:hAnsi="Times Roman"/>
          <w:rtl w:val="0"/>
          <w:lang w:val="en-US"/>
        </w:rPr>
        <w:t xml:space="preserve">s single-factor test (first factor explained 27.9% of variance &lt; 50% threshold) and full collinearity assessment (all VIF &lt; 3.3). CFA model fit was excellent (SRMR = 0.051, </w:t>
      </w:r>
      <w:r>
        <w:rPr>
          <w:rFonts w:ascii="Times Roman" w:hAnsi="Times Roman" w:hint="default"/>
          <w:rtl w:val="0"/>
        </w:rPr>
        <w:t>χ²</w:t>
      </w:r>
      <w:r>
        <w:rPr>
          <w:rFonts w:ascii="Times Roman" w:hAnsi="Times Roman"/>
          <w:rtl w:val="0"/>
          <w:lang w:val="en-US"/>
        </w:rPr>
        <w:t>/df = 2.28, CFI = 0.941, RMSEA = 0.046). These results confirm the measurement model is reliable and valid for structural analysis.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 xml:space="preserve">6.5 Structural Model Results: Hypothesis Testing for Adoption Determinants and Challenge Factors (Path Coefficients </w:t>
      </w:r>
      <w:r>
        <w:rPr>
          <w:rFonts w:ascii="Times Roman" w:hAnsi="Times Roman" w:hint="default"/>
          <w:b w:val="1"/>
          <w:bCs w:val="1"/>
          <w:rtl w:val="0"/>
        </w:rPr>
        <w:t>β</w:t>
      </w:r>
      <w:r>
        <w:rPr>
          <w:rFonts w:ascii="Times Roman" w:hAnsi="Times Roman"/>
          <w:b w:val="1"/>
          <w:bCs w:val="1"/>
          <w:rtl w:val="0"/>
          <w:lang w:val="fr-FR"/>
        </w:rPr>
        <w:t>, t-values, p-values, f</w:t>
      </w:r>
      <w:r>
        <w:rPr>
          <w:rFonts w:ascii="Times Roman" w:hAnsi="Times Roman" w:hint="default"/>
          <w:b w:val="1"/>
          <w:bCs w:val="1"/>
          <w:rtl w:val="0"/>
        </w:rPr>
        <w:t xml:space="preserve">² </w:t>
      </w:r>
      <w:r>
        <w:rPr>
          <w:rFonts w:ascii="Times Roman" w:hAnsi="Times Roman"/>
          <w:b w:val="1"/>
          <w:bCs w:val="1"/>
          <w:rtl w:val="0"/>
          <w:lang w:val="en-US"/>
        </w:rPr>
        <w:t>Effect Sizes, Q</w:t>
      </w:r>
      <w:r>
        <w:rPr>
          <w:rFonts w:ascii="Times Roman" w:hAnsi="Times Roman" w:hint="default"/>
          <w:b w:val="1"/>
          <w:bCs w:val="1"/>
          <w:rtl w:val="0"/>
        </w:rPr>
        <w:t xml:space="preserve">² </w:t>
      </w:r>
      <w:r>
        <w:rPr>
          <w:rFonts w:ascii="Times Roman" w:hAnsi="Times Roman"/>
          <w:b w:val="1"/>
          <w:bCs w:val="1"/>
          <w:rtl w:val="0"/>
          <w:lang w:val="en-US"/>
        </w:rPr>
        <w:t xml:space="preserve">Predictive Relevance, Model Fit </w:t>
      </w:r>
      <w:r>
        <w:rPr>
          <w:rFonts w:ascii="Times Roman" w:hAnsi="Times Roman" w:hint="default"/>
          <w:b w:val="1"/>
          <w:bCs w:val="1"/>
          <w:rtl w:val="0"/>
        </w:rPr>
        <w:t xml:space="preserve">– </w:t>
      </w:r>
      <w:r>
        <w:rPr>
          <w:rFonts w:ascii="Times Roman" w:hAnsi="Times Roman"/>
          <w:b w:val="1"/>
          <w:bCs w:val="1"/>
          <w:rtl w:val="0"/>
          <w:lang w:val="en-US"/>
        </w:rPr>
        <w:t>SRMR, Chi-Square/df)</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structural model demonstrated substantial explanatory power:</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Behavioral Intention</w:t>
      </w:r>
      <w:r>
        <w:rPr>
          <w:rFonts w:ascii="Times Roman" w:hAnsi="Times Roman"/>
          <w:b w:val="0"/>
          <w:bCs w:val="0"/>
          <w:rtl w:val="0"/>
        </w:rPr>
        <w:t xml:space="preserve"> (R</w:t>
      </w:r>
      <w:r>
        <w:rPr>
          <w:rFonts w:ascii="Times Roman" w:hAnsi="Times Roman" w:hint="default"/>
          <w:b w:val="0"/>
          <w:bCs w:val="0"/>
          <w:rtl w:val="0"/>
        </w:rPr>
        <w:t xml:space="preserve">² </w:t>
      </w:r>
      <w:r>
        <w:rPr>
          <w:rFonts w:ascii="Times Roman" w:hAnsi="Times Roman"/>
          <w:b w:val="0"/>
          <w:bCs w:val="0"/>
          <w:rtl w:val="0"/>
        </w:rPr>
        <w:t>= 0.68)</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Usage Behavior</w:t>
      </w:r>
      <w:r>
        <w:rPr>
          <w:rFonts w:ascii="Times Roman" w:hAnsi="Times Roman"/>
          <w:b w:val="0"/>
          <w:bCs w:val="0"/>
          <w:rtl w:val="0"/>
        </w:rPr>
        <w:t xml:space="preserve"> (R</w:t>
      </w:r>
      <w:r>
        <w:rPr>
          <w:rFonts w:ascii="Times Roman" w:hAnsi="Times Roman" w:hint="default"/>
          <w:b w:val="0"/>
          <w:bCs w:val="0"/>
          <w:rtl w:val="0"/>
        </w:rPr>
        <w:t xml:space="preserve">² </w:t>
      </w:r>
      <w:r>
        <w:rPr>
          <w:rFonts w:ascii="Times Roman" w:hAnsi="Times Roman"/>
          <w:b w:val="0"/>
          <w:bCs w:val="0"/>
          <w:rtl w:val="0"/>
        </w:rPr>
        <w:t>= 0.59)</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Key path coefficients (bootstrapping with 5,000 resamples):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Performance Expectancy</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Behavioral Intention: </w:t>
      </w:r>
      <w:r>
        <w:rPr>
          <w:rFonts w:ascii="Times Roman" w:hAnsi="Times Roman" w:hint="default"/>
          <w:rtl w:val="0"/>
        </w:rPr>
        <w:t xml:space="preserve">β </w:t>
      </w:r>
      <w:r>
        <w:rPr>
          <w:rFonts w:ascii="Times Roman" w:hAnsi="Times Roman"/>
          <w:rtl w:val="0"/>
          <w:lang w:val="pt-PT"/>
        </w:rPr>
        <w:t>= 0.41, t = 9.87, p &lt; 0.001, f</w:t>
      </w:r>
      <w:r>
        <w:rPr>
          <w:rFonts w:ascii="Times Roman" w:hAnsi="Times Roman" w:hint="default"/>
          <w:rtl w:val="0"/>
        </w:rPr>
        <w:t xml:space="preserve">² </w:t>
      </w:r>
      <w:r>
        <w:rPr>
          <w:rFonts w:ascii="Times Roman" w:hAnsi="Times Roman"/>
          <w:rtl w:val="0"/>
          <w:lang w:val="en-US"/>
        </w:rPr>
        <w:t>= 0.21 (large effect)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Trust Restoration</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Behavioral Intention: </w:t>
      </w:r>
      <w:r>
        <w:rPr>
          <w:rFonts w:ascii="Times Roman" w:hAnsi="Times Roman" w:hint="default"/>
          <w:rtl w:val="0"/>
        </w:rPr>
        <w:t xml:space="preserve">β </w:t>
      </w:r>
      <w:r>
        <w:rPr>
          <w:rFonts w:ascii="Times Roman" w:hAnsi="Times Roman"/>
          <w:rtl w:val="0"/>
        </w:rPr>
        <w:t>= 0.37, t = 8.64, p &lt; 0.001, f</w:t>
      </w:r>
      <w:r>
        <w:rPr>
          <w:rFonts w:ascii="Times Roman" w:hAnsi="Times Roman" w:hint="default"/>
          <w:rtl w:val="0"/>
        </w:rPr>
        <w:t xml:space="preserve">² </w:t>
      </w:r>
      <w:r>
        <w:rPr>
          <w:rFonts w:ascii="Times Roman" w:hAnsi="Times Roman"/>
          <w:rtl w:val="0"/>
          <w:lang w:val="en-US"/>
        </w:rPr>
        <w:t>= 0.18 (medium-large effect)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Effort Expectancy</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Behavioral Intention: </w:t>
      </w:r>
      <w:r>
        <w:rPr>
          <w:rFonts w:ascii="Times Roman" w:hAnsi="Times Roman" w:hint="default"/>
          <w:rtl w:val="0"/>
        </w:rPr>
        <w:t xml:space="preserve">β </w:t>
      </w:r>
      <w:r>
        <w:rPr>
          <w:rFonts w:ascii="Times Roman" w:hAnsi="Times Roman"/>
          <w:rtl w:val="0"/>
        </w:rPr>
        <w:t>= 0.29, t = 6.54, p &lt; 0.001, f</w:t>
      </w:r>
      <w:r>
        <w:rPr>
          <w:rFonts w:ascii="Times Roman" w:hAnsi="Times Roman" w:hint="default"/>
          <w:rtl w:val="0"/>
        </w:rPr>
        <w:t xml:space="preserve">² </w:t>
      </w:r>
      <w:r>
        <w:rPr>
          <w:rFonts w:ascii="Times Roman" w:hAnsi="Times Roman"/>
          <w:rtl w:val="0"/>
        </w:rPr>
        <w:t>= 0.12</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Agent Quality</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Behavioral Intention: </w:t>
      </w:r>
      <w:r>
        <w:rPr>
          <w:rFonts w:ascii="Times Roman" w:hAnsi="Times Roman" w:hint="default"/>
          <w:rtl w:val="0"/>
        </w:rPr>
        <w:t xml:space="preserve">β </w:t>
      </w:r>
      <w:r>
        <w:rPr>
          <w:rFonts w:ascii="Times Roman" w:hAnsi="Times Roman"/>
          <w:rtl w:val="0"/>
        </w:rPr>
        <w:t>= 0.26, t = 5.91, p &lt; 0.001, f</w:t>
      </w:r>
      <w:r>
        <w:rPr>
          <w:rFonts w:ascii="Times Roman" w:hAnsi="Times Roman" w:hint="default"/>
          <w:rtl w:val="0"/>
        </w:rPr>
        <w:t xml:space="preserve">² </w:t>
      </w:r>
      <w:r>
        <w:rPr>
          <w:rFonts w:ascii="Times Roman" w:hAnsi="Times Roman"/>
          <w:rtl w:val="0"/>
        </w:rPr>
        <w:t>= 0.09</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Post-Fraud Risk Perception</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 xml:space="preserve">Behavioral Intention: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rPr>
        <w:t>0.22, t = 5.12, p &lt; 0.001, f</w:t>
      </w:r>
      <w:r>
        <w:rPr>
          <w:rFonts w:ascii="Times Roman" w:hAnsi="Times Roman" w:hint="default"/>
          <w:rtl w:val="0"/>
        </w:rPr>
        <w:t xml:space="preserve">² </w:t>
      </w:r>
      <w:r>
        <w:rPr>
          <w:rFonts w:ascii="Times Roman" w:hAnsi="Times Roman"/>
          <w:rtl w:val="0"/>
          <w:lang w:val="en-US"/>
        </w:rPr>
        <w:t>= 0.07 (negative effect)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Governance Perception</w:t>
      </w:r>
      <w:r>
        <w:rPr>
          <w:rFonts w:ascii="Times Roman" w:hAnsi="Times Roman"/>
          <w:rtl w:val="0"/>
          <w:lang w:val="en-US"/>
        </w:rPr>
        <w:t xml:space="preserve"> moderated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fr-FR"/>
        </w:rPr>
        <w:t>Intention (</w:t>
      </w:r>
      <w:r>
        <w:rPr>
          <w:rFonts w:ascii="Times Roman" w:hAnsi="Times Roman" w:hint="default"/>
          <w:rtl w:val="0"/>
        </w:rPr>
        <w:t xml:space="preserve">β </w:t>
      </w:r>
      <w:r>
        <w:rPr>
          <w:rFonts w:ascii="Times Roman" w:hAnsi="Times Roman"/>
          <w:rtl w:val="0"/>
        </w:rPr>
        <w:t>= 0.14, t = 3.21, p &lt; 0.01)</w:t>
      </w:r>
    </w:p>
    <w:p>
      <w:pPr>
        <w:pStyle w:val="Default"/>
        <w:suppressAutoHyphens w:val="1"/>
        <w:spacing w:before="0" w:line="240" w:lineRule="auto"/>
        <w:jc w:val="both"/>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79744" behindDoc="0" locked="0" layoutInCell="1" allowOverlap="1">
            <wp:simplePos x="0" y="0"/>
            <wp:positionH relativeFrom="margin">
              <wp:posOffset>-6350</wp:posOffset>
            </wp:positionH>
            <wp:positionV relativeFrom="line">
              <wp:posOffset>228105</wp:posOffset>
            </wp:positionV>
            <wp:extent cx="6120057" cy="2146100"/>
            <wp:effectExtent l="0" t="0" r="0" b="0"/>
            <wp:wrapThrough wrapText="bothSides" distL="152400" distR="152400">
              <wp:wrapPolygon edited="1">
                <wp:start x="1603" y="241"/>
                <wp:lineTo x="1603" y="17084"/>
                <wp:lineTo x="2763" y="17264"/>
                <wp:lineTo x="3480" y="17986"/>
                <wp:lineTo x="3797" y="18888"/>
                <wp:lineTo x="3818" y="19189"/>
                <wp:lineTo x="3945" y="19309"/>
                <wp:lineTo x="3797" y="19309"/>
                <wp:lineTo x="3691" y="20031"/>
                <wp:lineTo x="3248" y="20813"/>
                <wp:lineTo x="2426" y="21354"/>
                <wp:lineTo x="1308" y="21294"/>
                <wp:lineTo x="506" y="20633"/>
                <wp:lineTo x="148" y="19851"/>
                <wp:lineTo x="84" y="19008"/>
                <wp:lineTo x="274" y="18226"/>
                <wp:lineTo x="865" y="17444"/>
                <wp:lineTo x="1603" y="17084"/>
                <wp:lineTo x="1603" y="241"/>
                <wp:lineTo x="4830" y="241"/>
                <wp:lineTo x="4830" y="18467"/>
                <wp:lineTo x="4830" y="18948"/>
                <wp:lineTo x="4809" y="18648"/>
                <wp:lineTo x="4746" y="18888"/>
                <wp:lineTo x="4809" y="19008"/>
                <wp:lineTo x="4683" y="18948"/>
                <wp:lineTo x="4683" y="18648"/>
                <wp:lineTo x="4620" y="18648"/>
                <wp:lineTo x="4598" y="18828"/>
                <wp:lineTo x="4598" y="18587"/>
                <wp:lineTo x="4830" y="18587"/>
                <wp:lineTo x="4830" y="18467"/>
                <wp:lineTo x="4830" y="241"/>
                <wp:lineTo x="4894" y="241"/>
                <wp:lineTo x="4894" y="18587"/>
                <wp:lineTo x="4999" y="18648"/>
                <wp:lineTo x="4978" y="18828"/>
                <wp:lineTo x="4915" y="18888"/>
                <wp:lineTo x="4978" y="19008"/>
                <wp:lineTo x="4873" y="18948"/>
                <wp:lineTo x="4894" y="18708"/>
                <wp:lineTo x="4957" y="18648"/>
                <wp:lineTo x="4894" y="18587"/>
                <wp:lineTo x="4894" y="241"/>
                <wp:lineTo x="5126" y="241"/>
                <wp:lineTo x="5126" y="18587"/>
                <wp:lineTo x="5210" y="18587"/>
                <wp:lineTo x="5210" y="18948"/>
                <wp:lineTo x="5168" y="18948"/>
                <wp:lineTo x="5105" y="19008"/>
                <wp:lineTo x="5105" y="18768"/>
                <wp:lineTo x="5189" y="18648"/>
                <wp:lineTo x="5126" y="18587"/>
                <wp:lineTo x="5126" y="241"/>
                <wp:lineTo x="5337" y="241"/>
                <wp:lineTo x="5337" y="18587"/>
                <wp:lineTo x="5421" y="18648"/>
                <wp:lineTo x="5358" y="18708"/>
                <wp:lineTo x="5442" y="18648"/>
                <wp:lineTo x="5442" y="18828"/>
                <wp:lineTo x="5316" y="18888"/>
                <wp:lineTo x="5337" y="18587"/>
                <wp:lineTo x="5337" y="241"/>
                <wp:lineTo x="5738" y="241"/>
                <wp:lineTo x="5738" y="18407"/>
                <wp:lineTo x="5759" y="19129"/>
                <wp:lineTo x="5822" y="18467"/>
                <wp:lineTo x="5801" y="18948"/>
                <wp:lineTo x="5864" y="18828"/>
                <wp:lineTo x="5864" y="18708"/>
                <wp:lineTo x="5885" y="19008"/>
                <wp:lineTo x="5801" y="19008"/>
                <wp:lineTo x="5801" y="19189"/>
                <wp:lineTo x="5906" y="19309"/>
                <wp:lineTo x="5738" y="19309"/>
                <wp:lineTo x="5738" y="18407"/>
                <wp:lineTo x="5738" y="241"/>
                <wp:lineTo x="6539" y="241"/>
                <wp:lineTo x="6539" y="18467"/>
                <wp:lineTo x="6602" y="19008"/>
                <wp:lineTo x="6539" y="18948"/>
                <wp:lineTo x="6539" y="18467"/>
                <wp:lineTo x="6539" y="241"/>
                <wp:lineTo x="6708" y="241"/>
                <wp:lineTo x="6708" y="18467"/>
                <wp:lineTo x="6771" y="18888"/>
                <wp:lineTo x="6623" y="18888"/>
                <wp:lineTo x="6666" y="18708"/>
                <wp:lineTo x="6708" y="18828"/>
                <wp:lineTo x="6687" y="18708"/>
                <wp:lineTo x="6708" y="18467"/>
                <wp:lineTo x="6708" y="241"/>
                <wp:lineTo x="8100" y="241"/>
                <wp:lineTo x="10378" y="361"/>
                <wp:lineTo x="10547" y="842"/>
                <wp:lineTo x="10526" y="2887"/>
                <wp:lineTo x="10294" y="3369"/>
                <wp:lineTo x="8163" y="3257"/>
                <wp:lineTo x="8163" y="4632"/>
                <wp:lineTo x="10294" y="4752"/>
                <wp:lineTo x="10463" y="5414"/>
                <wp:lineTo x="10420" y="7218"/>
                <wp:lineTo x="10209" y="7700"/>
                <wp:lineTo x="8079" y="7579"/>
                <wp:lineTo x="7910" y="6978"/>
                <wp:lineTo x="7952" y="5113"/>
                <wp:lineTo x="8163" y="4632"/>
                <wp:lineTo x="8163" y="3257"/>
                <wp:lineTo x="7973" y="3248"/>
                <wp:lineTo x="7805" y="2647"/>
                <wp:lineTo x="7847" y="722"/>
                <wp:lineTo x="8016" y="301"/>
                <wp:lineTo x="8100" y="241"/>
                <wp:lineTo x="10568" y="241"/>
                <wp:lineTo x="10568" y="3068"/>
                <wp:lineTo x="12445" y="5414"/>
                <wp:lineTo x="13584" y="7399"/>
                <wp:lineTo x="13774" y="7700"/>
                <wp:lineTo x="13880" y="7700"/>
                <wp:lineTo x="14006" y="8361"/>
                <wp:lineTo x="15820" y="8482"/>
                <wp:lineTo x="16010" y="9203"/>
                <wp:lineTo x="16010" y="10407"/>
                <wp:lineTo x="17149" y="10286"/>
                <wp:lineTo x="17191" y="10226"/>
                <wp:lineTo x="17234" y="9985"/>
                <wp:lineTo x="17297" y="9985"/>
                <wp:lineTo x="17318" y="10106"/>
                <wp:lineTo x="17212" y="10226"/>
                <wp:lineTo x="17212" y="10407"/>
                <wp:lineTo x="18204" y="10346"/>
                <wp:lineTo x="18225" y="9925"/>
                <wp:lineTo x="18225" y="10407"/>
                <wp:lineTo x="18921" y="10407"/>
                <wp:lineTo x="18921" y="10106"/>
                <wp:lineTo x="19216" y="10346"/>
                <wp:lineTo x="19259" y="8963"/>
                <wp:lineTo x="19470" y="8421"/>
                <wp:lineTo x="21326" y="8482"/>
                <wp:lineTo x="21516" y="9203"/>
                <wp:lineTo x="21473" y="12091"/>
                <wp:lineTo x="21262" y="12632"/>
                <wp:lineTo x="19385" y="12512"/>
                <wp:lineTo x="19216" y="11790"/>
                <wp:lineTo x="19216" y="10707"/>
                <wp:lineTo x="18921" y="10948"/>
                <wp:lineTo x="18921" y="10647"/>
                <wp:lineTo x="16010" y="10647"/>
                <wp:lineTo x="15968" y="12151"/>
                <wp:lineTo x="15757" y="12632"/>
                <wp:lineTo x="14323" y="12692"/>
                <wp:lineTo x="14217" y="13474"/>
                <wp:lineTo x="14091" y="13474"/>
                <wp:lineTo x="13437" y="15459"/>
                <wp:lineTo x="12551" y="16963"/>
                <wp:lineTo x="11201" y="18347"/>
                <wp:lineTo x="10463" y="18828"/>
                <wp:lineTo x="10420" y="20272"/>
                <wp:lineTo x="10230" y="20753"/>
                <wp:lineTo x="8100" y="20693"/>
                <wp:lineTo x="7910" y="20031"/>
                <wp:lineTo x="7910" y="19369"/>
                <wp:lineTo x="7636" y="19550"/>
                <wp:lineTo x="7678" y="18888"/>
                <wp:lineTo x="7910" y="19129"/>
                <wp:lineTo x="7952" y="18166"/>
                <wp:lineTo x="8184" y="17685"/>
                <wp:lineTo x="10294" y="17805"/>
                <wp:lineTo x="10463" y="18587"/>
                <wp:lineTo x="11791" y="17625"/>
                <wp:lineTo x="12888" y="16241"/>
                <wp:lineTo x="13584" y="14798"/>
                <wp:lineTo x="14091" y="13174"/>
                <wp:lineTo x="14006" y="12993"/>
                <wp:lineTo x="14175" y="12632"/>
                <wp:lineTo x="13774" y="12512"/>
                <wp:lineTo x="13627" y="12091"/>
                <wp:lineTo x="13395" y="12632"/>
                <wp:lineTo x="13331" y="12392"/>
                <wp:lineTo x="12930" y="12728"/>
                <wp:lineTo x="12930" y="15279"/>
                <wp:lineTo x="13036" y="15399"/>
                <wp:lineTo x="12952" y="15580"/>
                <wp:lineTo x="13036" y="15640"/>
                <wp:lineTo x="12930" y="15640"/>
                <wp:lineTo x="12930" y="15279"/>
                <wp:lineTo x="12930" y="12728"/>
                <wp:lineTo x="12804" y="12834"/>
                <wp:lineTo x="12804" y="15219"/>
                <wp:lineTo x="12804" y="15580"/>
                <wp:lineTo x="12867" y="15580"/>
                <wp:lineTo x="12888" y="15219"/>
                <wp:lineTo x="12867" y="15640"/>
                <wp:lineTo x="12783" y="15640"/>
                <wp:lineTo x="12804" y="15219"/>
                <wp:lineTo x="12804" y="12834"/>
                <wp:lineTo x="12466" y="13117"/>
                <wp:lineTo x="12466" y="14256"/>
                <wp:lineTo x="12593" y="14377"/>
                <wp:lineTo x="12572" y="14482"/>
                <wp:lineTo x="12572" y="15219"/>
                <wp:lineTo x="12677" y="15279"/>
                <wp:lineTo x="12698" y="15580"/>
                <wp:lineTo x="12720" y="15279"/>
                <wp:lineTo x="12720" y="15640"/>
                <wp:lineTo x="12656" y="15520"/>
                <wp:lineTo x="12551" y="15459"/>
                <wp:lineTo x="12635" y="15279"/>
                <wp:lineTo x="12572" y="15219"/>
                <wp:lineTo x="12572" y="14482"/>
                <wp:lineTo x="12509" y="14798"/>
                <wp:lineTo x="12551" y="14316"/>
                <wp:lineTo x="12466" y="14256"/>
                <wp:lineTo x="12466" y="13117"/>
                <wp:lineTo x="12340" y="13223"/>
                <wp:lineTo x="12340" y="14256"/>
                <wp:lineTo x="12445" y="14316"/>
                <wp:lineTo x="12424" y="14557"/>
                <wp:lineTo x="12424" y="15098"/>
                <wp:lineTo x="12445" y="15580"/>
                <wp:lineTo x="12530" y="15640"/>
                <wp:lineTo x="12424" y="15640"/>
                <wp:lineTo x="12424" y="15098"/>
                <wp:lineTo x="12424" y="14557"/>
                <wp:lineTo x="12361" y="14497"/>
                <wp:lineTo x="12403" y="14316"/>
                <wp:lineTo x="12340" y="14316"/>
                <wp:lineTo x="12340" y="14256"/>
                <wp:lineTo x="12340" y="13223"/>
                <wp:lineTo x="11960" y="13542"/>
                <wp:lineTo x="11960" y="15219"/>
                <wp:lineTo x="12045" y="15580"/>
                <wp:lineTo x="12087" y="15219"/>
                <wp:lineTo x="12087" y="15640"/>
                <wp:lineTo x="11960" y="15580"/>
                <wp:lineTo x="11960" y="15219"/>
                <wp:lineTo x="11960" y="13542"/>
                <wp:lineTo x="11897" y="13595"/>
                <wp:lineTo x="11855" y="13618"/>
                <wp:lineTo x="11855" y="15098"/>
                <wp:lineTo x="11876" y="15640"/>
                <wp:lineTo x="11749" y="15580"/>
                <wp:lineTo x="11770" y="15219"/>
                <wp:lineTo x="11834" y="15279"/>
                <wp:lineTo x="11791" y="15459"/>
                <wp:lineTo x="11855" y="15520"/>
                <wp:lineTo x="11855" y="15098"/>
                <wp:lineTo x="11855" y="13618"/>
                <wp:lineTo x="11644" y="13736"/>
                <wp:lineTo x="11644" y="14196"/>
                <wp:lineTo x="11644" y="14738"/>
                <wp:lineTo x="11707" y="14798"/>
                <wp:lineTo x="11623" y="14894"/>
                <wp:lineTo x="11623" y="15279"/>
                <wp:lineTo x="11728" y="15279"/>
                <wp:lineTo x="11728" y="15459"/>
                <wp:lineTo x="11644" y="15580"/>
                <wp:lineTo x="11728" y="15640"/>
                <wp:lineTo x="11602" y="15520"/>
                <wp:lineTo x="11623" y="15279"/>
                <wp:lineTo x="11623" y="14894"/>
                <wp:lineTo x="11602" y="14918"/>
                <wp:lineTo x="11644" y="14196"/>
                <wp:lineTo x="11644" y="13736"/>
                <wp:lineTo x="10821" y="14196"/>
                <wp:lineTo x="10800" y="15880"/>
                <wp:lineTo x="10568" y="16422"/>
                <wp:lineTo x="7720" y="16302"/>
                <wp:lineTo x="7552" y="15760"/>
                <wp:lineTo x="7573" y="13895"/>
                <wp:lineTo x="7784" y="13354"/>
                <wp:lineTo x="10631" y="13414"/>
                <wp:lineTo x="10821" y="14076"/>
                <wp:lineTo x="12867" y="12752"/>
                <wp:lineTo x="13331" y="12211"/>
                <wp:lineTo x="13331" y="12031"/>
                <wp:lineTo x="13627" y="11971"/>
                <wp:lineTo x="13605" y="10647"/>
                <wp:lineTo x="13331" y="10828"/>
                <wp:lineTo x="13331" y="10587"/>
                <wp:lineTo x="12298" y="10587"/>
                <wp:lineTo x="12255" y="11971"/>
                <wp:lineTo x="12298" y="11910"/>
                <wp:lineTo x="12298" y="12271"/>
                <wp:lineTo x="12171" y="12211"/>
                <wp:lineTo x="12277" y="12091"/>
                <wp:lineTo x="12213" y="12031"/>
                <wp:lineTo x="12255" y="11971"/>
                <wp:lineTo x="12298" y="10587"/>
                <wp:lineTo x="12150" y="10587"/>
                <wp:lineTo x="12150" y="10948"/>
                <wp:lineTo x="12234" y="11008"/>
                <wp:lineTo x="12150" y="11128"/>
                <wp:lineTo x="12171" y="11369"/>
                <wp:lineTo x="12234" y="11369"/>
                <wp:lineTo x="12255" y="11189"/>
                <wp:lineTo x="12213" y="11489"/>
                <wp:lineTo x="12129" y="11309"/>
                <wp:lineTo x="12150" y="10948"/>
                <wp:lineTo x="12150" y="10587"/>
                <wp:lineTo x="12066" y="10587"/>
                <wp:lineTo x="12066" y="11850"/>
                <wp:lineTo x="12150" y="11910"/>
                <wp:lineTo x="12150" y="12452"/>
                <wp:lineTo x="12045" y="12392"/>
                <wp:lineTo x="12129" y="12271"/>
                <wp:lineTo x="12045" y="12271"/>
                <wp:lineTo x="12066" y="11850"/>
                <wp:lineTo x="12066" y="10587"/>
                <wp:lineTo x="11939" y="10587"/>
                <wp:lineTo x="11939" y="11850"/>
                <wp:lineTo x="12023" y="12091"/>
                <wp:lineTo x="11918" y="12211"/>
                <wp:lineTo x="11981" y="12271"/>
                <wp:lineTo x="11897" y="12271"/>
                <wp:lineTo x="11939" y="11850"/>
                <wp:lineTo x="11939" y="10587"/>
                <wp:lineTo x="11707" y="10587"/>
                <wp:lineTo x="11707" y="11790"/>
                <wp:lineTo x="11834" y="12151"/>
                <wp:lineTo x="11855" y="11790"/>
                <wp:lineTo x="11834" y="12271"/>
                <wp:lineTo x="11728" y="11971"/>
                <wp:lineTo x="11707" y="12271"/>
                <wp:lineTo x="11707" y="11790"/>
                <wp:lineTo x="11707" y="10587"/>
                <wp:lineTo x="11580" y="10587"/>
                <wp:lineTo x="11580" y="10948"/>
                <wp:lineTo x="11602" y="11369"/>
                <wp:lineTo x="11686" y="11369"/>
                <wp:lineTo x="11602" y="11429"/>
                <wp:lineTo x="11580" y="10948"/>
                <wp:lineTo x="11580" y="10587"/>
                <wp:lineTo x="10062" y="10587"/>
                <wp:lineTo x="10020" y="11610"/>
                <wp:lineTo x="9766" y="12091"/>
                <wp:lineTo x="8480" y="11971"/>
                <wp:lineTo x="8311" y="11369"/>
                <wp:lineTo x="8332" y="9504"/>
                <wp:lineTo x="8585" y="8963"/>
                <wp:lineTo x="9893" y="9083"/>
                <wp:lineTo x="10062" y="9685"/>
                <wp:lineTo x="10062" y="10467"/>
                <wp:lineTo x="11602" y="10467"/>
                <wp:lineTo x="11623" y="9745"/>
                <wp:lineTo x="11707" y="9805"/>
                <wp:lineTo x="11644" y="9805"/>
                <wp:lineTo x="11644" y="10226"/>
                <wp:lineTo x="11707" y="10226"/>
                <wp:lineTo x="11728" y="10106"/>
                <wp:lineTo x="11728" y="10286"/>
                <wp:lineTo x="11644" y="10286"/>
                <wp:lineTo x="11644" y="10467"/>
                <wp:lineTo x="13331" y="10467"/>
                <wp:lineTo x="13373" y="10166"/>
                <wp:lineTo x="13605" y="10407"/>
                <wp:lineTo x="13605" y="9685"/>
                <wp:lineTo x="13331" y="9745"/>
                <wp:lineTo x="13289" y="9384"/>
                <wp:lineTo x="12509" y="8757"/>
                <wp:lineTo x="12509" y="9745"/>
                <wp:lineTo x="12593" y="9865"/>
                <wp:lineTo x="12551" y="10046"/>
                <wp:lineTo x="12593" y="9985"/>
                <wp:lineTo x="12572" y="10286"/>
                <wp:lineTo x="12487" y="10166"/>
                <wp:lineTo x="12572" y="10166"/>
                <wp:lineTo x="12551" y="10046"/>
                <wp:lineTo x="12593" y="9865"/>
                <wp:lineTo x="12487" y="9925"/>
                <wp:lineTo x="12466" y="10166"/>
                <wp:lineTo x="12509" y="9745"/>
                <wp:lineTo x="12509" y="8757"/>
                <wp:lineTo x="12129" y="8452"/>
                <wp:lineTo x="12129" y="9745"/>
                <wp:lineTo x="12234" y="9865"/>
                <wp:lineTo x="12192" y="10226"/>
                <wp:lineTo x="12171" y="9805"/>
                <wp:lineTo x="12108" y="10226"/>
                <wp:lineTo x="12129" y="9745"/>
                <wp:lineTo x="12129" y="8452"/>
                <wp:lineTo x="10441" y="7098"/>
                <wp:lineTo x="13352" y="9264"/>
                <wp:lineTo x="13416" y="9143"/>
                <wp:lineTo x="13605" y="9504"/>
                <wp:lineTo x="13690" y="8782"/>
                <wp:lineTo x="13837" y="8421"/>
                <wp:lineTo x="13669" y="8181"/>
                <wp:lineTo x="13690" y="7880"/>
                <wp:lineTo x="12466" y="5715"/>
                <wp:lineTo x="11665" y="4710"/>
                <wp:lineTo x="11665" y="7038"/>
                <wp:lineTo x="11728" y="7279"/>
                <wp:lineTo x="11644" y="7158"/>
                <wp:lineTo x="11644" y="7579"/>
                <wp:lineTo x="11707" y="7639"/>
                <wp:lineTo x="11602" y="7760"/>
                <wp:lineTo x="11623" y="7098"/>
                <wp:lineTo x="11665" y="7038"/>
                <wp:lineTo x="11665" y="4710"/>
                <wp:lineTo x="10547" y="3308"/>
                <wp:lineTo x="10568" y="3068"/>
                <wp:lineTo x="10568" y="241"/>
                <wp:lineTo x="11517" y="241"/>
                <wp:lineTo x="11517" y="3369"/>
                <wp:lineTo x="11559" y="3850"/>
                <wp:lineTo x="11644" y="3910"/>
                <wp:lineTo x="11517" y="3910"/>
                <wp:lineTo x="11517" y="3369"/>
                <wp:lineTo x="11517" y="241"/>
                <wp:lineTo x="11644" y="241"/>
                <wp:lineTo x="11644" y="2466"/>
                <wp:lineTo x="11644" y="3008"/>
                <wp:lineTo x="11707" y="3068"/>
                <wp:lineTo x="11665" y="3116"/>
                <wp:lineTo x="11665" y="3489"/>
                <wp:lineTo x="11770" y="3489"/>
                <wp:lineTo x="11749" y="3910"/>
                <wp:lineTo x="11749" y="3730"/>
                <wp:lineTo x="11686" y="3850"/>
                <wp:lineTo x="11728" y="3910"/>
                <wp:lineTo x="11644" y="3730"/>
                <wp:lineTo x="11749" y="3549"/>
                <wp:lineTo x="11665" y="3489"/>
                <wp:lineTo x="11665" y="3116"/>
                <wp:lineTo x="11602" y="3188"/>
                <wp:lineTo x="11644" y="2466"/>
                <wp:lineTo x="11644" y="241"/>
                <wp:lineTo x="11897" y="241"/>
                <wp:lineTo x="11897" y="3489"/>
                <wp:lineTo x="12002" y="3489"/>
                <wp:lineTo x="11960" y="4090"/>
                <wp:lineTo x="11897" y="3970"/>
                <wp:lineTo x="11960" y="3850"/>
                <wp:lineTo x="11960" y="3549"/>
                <wp:lineTo x="11897" y="3790"/>
                <wp:lineTo x="11960" y="3910"/>
                <wp:lineTo x="11876" y="3850"/>
                <wp:lineTo x="11897" y="3489"/>
                <wp:lineTo x="11897" y="241"/>
                <wp:lineTo x="12045" y="241"/>
                <wp:lineTo x="12045" y="3489"/>
                <wp:lineTo x="12150" y="3549"/>
                <wp:lineTo x="12066" y="3790"/>
                <wp:lineTo x="12129" y="3850"/>
                <wp:lineTo x="12023" y="3850"/>
                <wp:lineTo x="12045" y="3609"/>
                <wp:lineTo x="12108" y="3549"/>
                <wp:lineTo x="12045" y="3489"/>
                <wp:lineTo x="12045" y="241"/>
                <wp:lineTo x="12255" y="241"/>
                <wp:lineTo x="12255" y="3369"/>
                <wp:lineTo x="12403" y="3429"/>
                <wp:lineTo x="12277" y="3429"/>
                <wp:lineTo x="12277" y="3609"/>
                <wp:lineTo x="12382" y="3669"/>
                <wp:lineTo x="12277" y="3669"/>
                <wp:lineTo x="12277" y="3850"/>
                <wp:lineTo x="12403" y="3910"/>
                <wp:lineTo x="12255" y="3910"/>
                <wp:lineTo x="12255" y="3369"/>
                <wp:lineTo x="12255" y="241"/>
                <wp:lineTo x="12403" y="241"/>
                <wp:lineTo x="12403" y="2526"/>
                <wp:lineTo x="12403" y="2948"/>
                <wp:lineTo x="12319" y="2827"/>
                <wp:lineTo x="12403" y="2887"/>
                <wp:lineTo x="12403" y="2526"/>
                <wp:lineTo x="12403" y="241"/>
                <wp:lineTo x="12466" y="241"/>
                <wp:lineTo x="12466" y="3308"/>
                <wp:lineTo x="12509" y="3489"/>
                <wp:lineTo x="12551" y="3308"/>
                <wp:lineTo x="12509" y="3910"/>
                <wp:lineTo x="12466" y="3549"/>
                <wp:lineTo x="12445" y="3910"/>
                <wp:lineTo x="12466" y="3308"/>
                <wp:lineTo x="12466" y="241"/>
                <wp:lineTo x="12509" y="241"/>
                <wp:lineTo x="12509" y="2526"/>
                <wp:lineTo x="12593" y="3068"/>
                <wp:lineTo x="12593" y="3489"/>
                <wp:lineTo x="12677" y="3549"/>
                <wp:lineTo x="12614" y="3609"/>
                <wp:lineTo x="12698" y="3669"/>
                <wp:lineTo x="12572" y="3790"/>
                <wp:lineTo x="12593" y="3489"/>
                <wp:lineTo x="12593" y="3068"/>
                <wp:lineTo x="12530" y="3008"/>
                <wp:lineTo x="12509" y="2526"/>
                <wp:lineTo x="12509" y="241"/>
                <wp:lineTo x="12741" y="241"/>
                <wp:lineTo x="12741" y="3489"/>
                <wp:lineTo x="12825" y="3609"/>
                <wp:lineTo x="12741" y="3609"/>
                <wp:lineTo x="12804" y="3910"/>
                <wp:lineTo x="12720" y="3850"/>
                <wp:lineTo x="12741" y="3489"/>
                <wp:lineTo x="12741" y="241"/>
                <wp:lineTo x="16580" y="241"/>
                <wp:lineTo x="16580" y="8963"/>
                <wp:lineTo x="16727" y="9203"/>
                <wp:lineTo x="16685" y="9384"/>
                <wp:lineTo x="16685" y="9203"/>
                <wp:lineTo x="16580" y="9143"/>
                <wp:lineTo x="16580" y="8963"/>
                <wp:lineTo x="16580" y="241"/>
                <wp:lineTo x="16938" y="241"/>
                <wp:lineTo x="16938" y="9023"/>
                <wp:lineTo x="17044" y="9083"/>
                <wp:lineTo x="17023" y="9324"/>
                <wp:lineTo x="17002" y="9083"/>
                <wp:lineTo x="16938" y="9023"/>
                <wp:lineTo x="16938" y="241"/>
                <wp:lineTo x="17065" y="241"/>
                <wp:lineTo x="17065" y="9023"/>
                <wp:lineTo x="17170" y="9023"/>
                <wp:lineTo x="17149" y="9444"/>
                <wp:lineTo x="17149" y="9083"/>
                <wp:lineTo x="17107" y="9083"/>
                <wp:lineTo x="17107" y="9745"/>
                <wp:lineTo x="17212" y="9865"/>
                <wp:lineTo x="17086" y="9925"/>
                <wp:lineTo x="17065" y="10166"/>
                <wp:lineTo x="17107" y="9745"/>
                <wp:lineTo x="17107" y="9083"/>
                <wp:lineTo x="17086" y="9083"/>
                <wp:lineTo x="17065" y="9444"/>
                <wp:lineTo x="17065" y="9023"/>
                <wp:lineTo x="17065" y="241"/>
                <wp:lineTo x="17212" y="241"/>
                <wp:lineTo x="17212" y="9023"/>
                <wp:lineTo x="17318" y="9023"/>
                <wp:lineTo x="17276" y="9625"/>
                <wp:lineTo x="17212" y="9504"/>
                <wp:lineTo x="17297" y="9384"/>
                <wp:lineTo x="17297" y="9083"/>
                <wp:lineTo x="17234" y="9083"/>
                <wp:lineTo x="17234" y="9384"/>
                <wp:lineTo x="17212" y="9023"/>
                <wp:lineTo x="17212" y="241"/>
                <wp:lineTo x="17487" y="241"/>
                <wp:lineTo x="17487" y="9023"/>
                <wp:lineTo x="17487" y="9384"/>
                <wp:lineTo x="17445" y="9504"/>
                <wp:lineTo x="17445" y="9264"/>
                <wp:lineTo x="17487" y="9023"/>
                <wp:lineTo x="17487" y="241"/>
                <wp:lineTo x="17634" y="241"/>
                <wp:lineTo x="17634" y="8903"/>
                <wp:lineTo x="17782" y="8963"/>
                <wp:lineTo x="17761" y="9203"/>
                <wp:lineTo x="17698" y="9239"/>
                <wp:lineTo x="17698" y="9745"/>
                <wp:lineTo x="17803" y="9865"/>
                <wp:lineTo x="17761" y="10226"/>
                <wp:lineTo x="17740" y="9805"/>
                <wp:lineTo x="17677" y="10226"/>
                <wp:lineTo x="17698" y="9745"/>
                <wp:lineTo x="17698" y="9239"/>
                <wp:lineTo x="17655" y="9264"/>
                <wp:lineTo x="17634" y="8903"/>
                <wp:lineTo x="17634" y="241"/>
                <wp:lineTo x="17909" y="241"/>
                <wp:lineTo x="17909" y="9023"/>
                <wp:lineTo x="17993" y="9083"/>
                <wp:lineTo x="17930" y="9143"/>
                <wp:lineTo x="18014" y="9203"/>
                <wp:lineTo x="17930" y="9324"/>
                <wp:lineTo x="17993" y="9384"/>
                <wp:lineTo x="17887" y="9324"/>
                <wp:lineTo x="17909" y="9023"/>
                <wp:lineTo x="17909" y="241"/>
                <wp:lineTo x="18141" y="241"/>
                <wp:lineTo x="18141" y="8843"/>
                <wp:lineTo x="18141" y="9384"/>
                <wp:lineTo x="18120" y="9083"/>
                <wp:lineTo x="18056" y="9324"/>
                <wp:lineTo x="18120" y="9444"/>
                <wp:lineTo x="18077" y="9413"/>
                <wp:lineTo x="18077" y="9745"/>
                <wp:lineTo x="18162" y="9805"/>
                <wp:lineTo x="18141" y="10286"/>
                <wp:lineTo x="18035" y="10166"/>
                <wp:lineTo x="18120" y="10106"/>
                <wp:lineTo x="18120" y="9925"/>
                <wp:lineTo x="18077" y="9745"/>
                <wp:lineTo x="18077" y="9413"/>
                <wp:lineTo x="18035" y="9384"/>
                <wp:lineTo x="18056" y="9023"/>
                <wp:lineTo x="18141" y="9023"/>
                <wp:lineTo x="18141" y="8843"/>
                <wp:lineTo x="18141" y="241"/>
                <wp:lineTo x="18246" y="241"/>
                <wp:lineTo x="18246" y="9023"/>
                <wp:lineTo x="18352" y="9143"/>
                <wp:lineTo x="18267" y="9083"/>
                <wp:lineTo x="18309" y="9324"/>
                <wp:lineTo x="18330" y="9444"/>
                <wp:lineTo x="18246" y="9384"/>
                <wp:lineTo x="18246" y="9023"/>
                <wp:lineTo x="18246" y="241"/>
                <wp:lineTo x="18710" y="241"/>
                <wp:lineTo x="18710" y="8843"/>
                <wp:lineTo x="18710" y="9384"/>
                <wp:lineTo x="18710" y="9083"/>
                <wp:lineTo x="18647" y="9083"/>
                <wp:lineTo x="18626" y="9324"/>
                <wp:lineTo x="18520" y="9324"/>
                <wp:lineTo x="18562" y="9444"/>
                <wp:lineTo x="18457" y="9203"/>
                <wp:lineTo x="18478" y="9023"/>
                <wp:lineTo x="18710" y="9023"/>
                <wp:lineTo x="18710" y="8843"/>
                <wp:lineTo x="18710" y="241"/>
                <wp:lineTo x="1603" y="241"/>
              </wp:wrapPolygon>
            </wp:wrapThrough>
            <wp:docPr id="1073741861"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61" name="pasted-image.tiff" descr="pasted-image.tiff"/>
                    <pic:cNvPicPr>
                      <a:picLocks noChangeAspect="1"/>
                    </pic:cNvPicPr>
                  </pic:nvPicPr>
                  <pic:blipFill>
                    <a:blip r:embed="rId32">
                      <a:extLst/>
                    </a:blip>
                    <a:stretch>
                      <a:fillRect/>
                    </a:stretch>
                  </pic:blipFill>
                  <pic:spPr>
                    <a:xfrm>
                      <a:off x="0" y="0"/>
                      <a:ext cx="6120057" cy="2146100"/>
                    </a:xfrm>
                    <a:prstGeom prst="rect">
                      <a:avLst/>
                    </a:prstGeom>
                    <a:ln w="12700" cap="flat">
                      <a:noFill/>
                      <a:miter lim="400000"/>
                    </a:ln>
                    <a:effectLst/>
                  </pic:spPr>
                </pic:pic>
              </a:graphicData>
            </a:graphic>
          </wp:anchor>
        </w:drawing>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hAnsi="Times Roman"/>
          <w:b w:val="1"/>
          <w:bCs w:val="1"/>
          <w:rtl w:val="0"/>
          <w:lang w:val="it-IT"/>
        </w:rPr>
        <w:t xml:space="preserve">Figure 6.3: </w:t>
      </w:r>
      <w:r>
        <w:rPr>
          <w:rFonts w:ascii="Times Roman" w:hAnsi="Times Roman"/>
          <w:i w:val="1"/>
          <w:iCs w:val="1"/>
          <w:rtl w:val="0"/>
          <w:lang w:val="en-US"/>
        </w:rPr>
        <w:t>Structural Equation Model (SEM) Path Diagram (The Flowchart)</w:t>
      </w:r>
      <w:r>
        <w:rPr>
          <w:rFonts w:ascii="Times Roman" w:hAnsi="Times Roman"/>
          <w:i w:val="1"/>
          <w:iCs w:val="1"/>
          <w:rtl w:val="0"/>
          <w:lang w:val="en-US"/>
        </w:rPr>
        <w:t xml:space="preserve">. </w:t>
      </w:r>
      <w:r>
        <w:rPr>
          <w:rFonts w:ascii="Times Roman" w:hAnsi="Times Roman"/>
          <w:b w:val="1"/>
          <w:bCs w:val="1"/>
          <w:rtl w:val="0"/>
          <w:lang w:val="en-US"/>
        </w:rPr>
        <w:t xml:space="preserve"> </w:t>
      </w:r>
      <w:r>
        <w:rPr>
          <w:rFonts w:ascii="Times Roman" w:hAnsi="Times Roman"/>
          <w:b w:val="1"/>
          <w:bCs w:val="1"/>
          <w:rtl w:val="0"/>
          <w:lang w:val="en-US"/>
        </w:rPr>
        <w:t>Financial Express. (2025, July 8).</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6.3: Validated Structural Model highlighting path coefficients (</w:t>
      </w:r>
      <w:r>
        <w:rPr>
          <w:rFonts w:ascii="Times Roman" w:hAnsi="Times Roman" w:hint="default"/>
          <w:i w:val="1"/>
          <w:iCs w:val="1"/>
          <w:rtl w:val="0"/>
        </w:rPr>
        <w:t>β</w:t>
      </w:r>
      <w:r>
        <w:rPr>
          <w:rFonts w:ascii="Times Roman" w:hAnsi="Times Roman"/>
          <w:i w:val="1"/>
          <w:iCs w:val="1"/>
          <w:rtl w:val="0"/>
          <w:lang w:val="en-US"/>
        </w:rPr>
        <w:t>), significance levels, and predictive variance (R2). Thicker paths indicate stronger relationships, with Trust Restoration and Performance Expectancy acting as primary drivers.</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Effect Size (f</w:t>
      </w:r>
      <w:r>
        <w:rPr>
          <w:rFonts w:ascii="Times Roman" w:hAnsi="Times Roman" w:hint="default"/>
          <w:b w:val="1"/>
          <w:bCs w:val="1"/>
          <w:rtl w:val="0"/>
        </w:rPr>
        <w:t>²</w:t>
      </w:r>
      <w:r>
        <w:rPr>
          <w:rFonts w:ascii="Times Roman" w:hAnsi="Times Roman"/>
          <w:b w:val="1"/>
          <w:bCs w:val="1"/>
          <w:rtl w:val="0"/>
          <w:lang w:val="pt-PT"/>
        </w:rPr>
        <w:t>) Equation</w:t>
      </w:r>
      <w:r>
        <w:rPr>
          <w:rFonts w:ascii="Times Roman" w:hAnsi="Times Roman"/>
          <w:b w:val="0"/>
          <w:bCs w:val="0"/>
          <w:rtl w:val="0"/>
        </w:rPr>
        <w:t>:</w:t>
      </w:r>
    </w:p>
    <w:p>
      <w:pPr>
        <w:pStyle w:val="Default"/>
        <w:suppressAutoHyphens w:val="1"/>
        <w:spacing w:before="0" w:line="240" w:lineRule="auto"/>
        <w:jc w:val="center"/>
        <w:rPr>
          <w:rFonts w:ascii="Times Roman" w:cs="Times Roman" w:hAnsi="Times Roman" w:eastAsia="Times Roman"/>
          <w:color w:val="000000"/>
          <w:sz w:val="28"/>
          <w:szCs w:val="28"/>
        </w:rPr>
      </w:pPr>
      <m:oMathPara>
        <m:oMathParaPr>
          <m:jc m:val="center"/>
        </m:oMathParaPr>
        <m:oMath>
          <m:sSup>
            <m:e>
              <m:r>
                <w:rPr xmlns:w="http://schemas.openxmlformats.org/wordprocessingml/2006/main">
                  <w:rFonts w:ascii="Cambria Math" w:hAnsi="Cambria Math"/>
                  <w:i/>
                  <w:color w:val="000000"/>
                  <w:sz w:val="29"/>
                  <w:szCs w:val="29"/>
                </w:rPr>
                <m:t>f</m:t>
              </m:r>
            </m:e>
            <m:sup>
              <m:r>
                <w:rPr xmlns:w="http://schemas.openxmlformats.org/wordprocessingml/2006/main">
                  <w:rFonts w:ascii="Cambria Math" w:hAnsi="Cambria Math"/>
                  <w:i/>
                  <w:color w:val="000000"/>
                  <w:sz w:val="29"/>
                  <w:szCs w:val="29"/>
                </w:rPr>
                <m:t>2</m:t>
              </m:r>
            </m:sup>
          </m:sSup>
          <m:r>
            <w:rPr xmlns:w="http://schemas.openxmlformats.org/wordprocessingml/2006/main">
              <w:rFonts w:ascii="Cambria Math" w:hAnsi="Cambria Math"/>
              <w:i/>
              <w:color w:val="000000"/>
              <w:sz w:val="29"/>
              <w:szCs w:val="29"/>
            </w:rPr>
            <m:t>=</m:t>
          </m:r>
          <m:f>
            <m:fPr>
              <m:ctrlPr>
                <w:rPr xmlns:w="http://schemas.openxmlformats.org/wordprocessingml/2006/main">
                  <w:rFonts w:ascii="Cambria Math" w:hAnsi="Cambria Math"/>
                  <w:i/>
                  <w:color w:val="000000"/>
                  <w:sz w:val="29"/>
                  <w:szCs w:val="29"/>
                </w:rPr>
              </m:ctrlPr>
              <m:type m:val="bar"/>
            </m:fPr>
            <m:num>
              <m:sSubSup>
                <m:e>
                  <m:r>
                    <w:rPr xmlns:w="http://schemas.openxmlformats.org/wordprocessingml/2006/main">
                      <w:rFonts w:ascii="Cambria Math" w:hAnsi="Cambria Math"/>
                      <w:i/>
                      <w:color w:val="000000"/>
                      <w:sz w:val="29"/>
                      <w:szCs w:val="29"/>
                    </w:rPr>
                    <m:t>R</m:t>
                  </m:r>
                </m:e>
                <m:sub>
                  <m:r>
                    <m:rPr>
                      <m:nor/>
                    </m:rPr>
                    <w:rPr xmlns:w="http://schemas.openxmlformats.org/wordprocessingml/2006/main">
                      <w:rFonts w:ascii="Cambria Math" w:hAnsi="Cambria Math"/>
                      <w:i/>
                      <w:color w:val="000000"/>
                      <w:sz w:val="29"/>
                      <w:szCs w:val="29"/>
                    </w:rPr>
                    <m:t>included</m:t>
                  </m:r>
                </m:sub>
                <m:sup>
                  <m:r>
                    <w:rPr xmlns:w="http://schemas.openxmlformats.org/wordprocessingml/2006/main">
                      <w:rFonts w:ascii="Cambria Math" w:hAnsi="Cambria Math"/>
                      <w:i/>
                      <w:color w:val="000000"/>
                      <w:sz w:val="29"/>
                      <w:szCs w:val="29"/>
                    </w:rPr>
                    <m:t>2</m:t>
                  </m:r>
                </m:sup>
              </m:sSubSup>
              <m:r>
                <w:rPr xmlns:w="http://schemas.openxmlformats.org/wordprocessingml/2006/main">
                  <w:rFonts w:ascii="Cambria Math" w:hAnsi="Cambria Math"/>
                  <w:i/>
                  <w:color w:val="000000"/>
                  <w:sz w:val="29"/>
                  <w:szCs w:val="29"/>
                </w:rPr>
                <m:t>-</m:t>
              </m:r>
              <m:sSubSup>
                <m:e>
                  <m:r>
                    <w:rPr xmlns:w="http://schemas.openxmlformats.org/wordprocessingml/2006/main">
                      <w:rFonts w:ascii="Cambria Math" w:hAnsi="Cambria Math"/>
                      <w:i/>
                      <w:color w:val="000000"/>
                      <w:sz w:val="29"/>
                      <w:szCs w:val="29"/>
                    </w:rPr>
                    <m:t>R</m:t>
                  </m:r>
                </m:e>
                <m:sub>
                  <m:r>
                    <m:rPr>
                      <m:nor/>
                    </m:rPr>
                    <w:rPr xmlns:w="http://schemas.openxmlformats.org/wordprocessingml/2006/main">
                      <w:rFonts w:ascii="Cambria Math" w:hAnsi="Cambria Math"/>
                      <w:i/>
                      <w:color w:val="000000"/>
                      <w:sz w:val="29"/>
                      <w:szCs w:val="29"/>
                    </w:rPr>
                    <m:t>excluded</m:t>
                  </m:r>
                </m:sub>
                <m:sup>
                  <m:r>
                    <w:rPr xmlns:w="http://schemas.openxmlformats.org/wordprocessingml/2006/main">
                      <w:rFonts w:ascii="Cambria Math" w:hAnsi="Cambria Math"/>
                      <w:i/>
                      <w:color w:val="000000"/>
                      <w:sz w:val="29"/>
                      <w:szCs w:val="29"/>
                    </w:rPr>
                    <m:t>2</m:t>
                  </m:r>
                </m:sup>
              </m:sSubSup>
            </m:num>
            <m:den>
              <m:r>
                <w:rPr xmlns:w="http://schemas.openxmlformats.org/wordprocessingml/2006/main">
                  <w:rFonts w:ascii="Cambria Math" w:hAnsi="Cambria Math"/>
                  <w:i/>
                  <w:color w:val="000000"/>
                  <w:sz w:val="29"/>
                  <w:szCs w:val="29"/>
                </w:rPr>
                <m:t>1</m:t>
              </m:r>
              <m:r>
                <w:rPr xmlns:w="http://schemas.openxmlformats.org/wordprocessingml/2006/main">
                  <w:rFonts w:ascii="Cambria Math" w:hAnsi="Cambria Math"/>
                  <w:i/>
                  <w:color w:val="000000"/>
                  <w:sz w:val="29"/>
                  <w:szCs w:val="29"/>
                </w:rPr>
                <m:t>-</m:t>
              </m:r>
              <m:sSubSup>
                <m:e>
                  <m:r>
                    <w:rPr xmlns:w="http://schemas.openxmlformats.org/wordprocessingml/2006/main">
                      <w:rFonts w:ascii="Cambria Math" w:hAnsi="Cambria Math"/>
                      <w:i/>
                      <w:color w:val="000000"/>
                      <w:sz w:val="29"/>
                      <w:szCs w:val="29"/>
                    </w:rPr>
                    <m:t>R</m:t>
                  </m:r>
                </m:e>
                <m:sub>
                  <m:r>
                    <m:rPr>
                      <m:nor/>
                    </m:rPr>
                    <w:rPr xmlns:w="http://schemas.openxmlformats.org/wordprocessingml/2006/main">
                      <w:rFonts w:ascii="Cambria Math" w:hAnsi="Cambria Math"/>
                      <w:i/>
                      <w:color w:val="000000"/>
                      <w:sz w:val="29"/>
                      <w:szCs w:val="29"/>
                    </w:rPr>
                    <m:t>included</m:t>
                  </m:r>
                </m:sub>
                <m:sup>
                  <m:r>
                    <w:rPr xmlns:w="http://schemas.openxmlformats.org/wordprocessingml/2006/main">
                      <w:rFonts w:ascii="Cambria Math" w:hAnsi="Cambria Math"/>
                      <w:i/>
                      <w:color w:val="000000"/>
                      <w:sz w:val="29"/>
                      <w:szCs w:val="29"/>
                    </w:rPr>
                    <m:t>2</m:t>
                  </m:r>
                </m:sup>
              </m:sSubSup>
            </m:den>
          </m:f>
        </m:oMath>
      </m:oMathPara>
    </w:p>
    <w:p>
      <w:pPr>
        <w:pStyle w:val="Default"/>
        <w:suppressAutoHyphens w:val="1"/>
        <w:spacing w:before="0" w:line="240" w:lineRule="auto"/>
        <w:jc w:val="both"/>
        <w:rPr>
          <w:rFonts w:ascii="Times Roman" w:cs="Times Roman" w:hAnsi="Times Roman" w:eastAsia="Times Roman"/>
          <w:sz w:val="28"/>
          <w:szCs w:val="28"/>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Predictive Relevance (Q</w:t>
      </w:r>
      <w:r>
        <w:rPr>
          <w:rFonts w:ascii="Times Roman" w:hAnsi="Times Roman" w:hint="default"/>
          <w:b w:val="1"/>
          <w:bCs w:val="1"/>
          <w:rtl w:val="0"/>
        </w:rPr>
        <w:t>²</w:t>
      </w:r>
      <w:r>
        <w:rPr>
          <w:rFonts w:ascii="Times Roman" w:hAnsi="Times Roman"/>
          <w:b w:val="1"/>
          <w:bCs w:val="1"/>
          <w:rtl w:val="0"/>
        </w:rPr>
        <w:t>)</w:t>
      </w:r>
      <w:r>
        <w:rPr>
          <w:rFonts w:ascii="Times Roman" w:hAnsi="Times Roman"/>
          <w:rtl w:val="0"/>
          <w:lang w:val="da-DK"/>
        </w:rPr>
        <w:t xml:space="preserve"> via blindfolding: Q</w:t>
      </w:r>
      <w:r>
        <w:rPr>
          <w:rFonts w:ascii="Times Roman" w:hAnsi="Times Roman" w:hint="default"/>
          <w:rtl w:val="0"/>
        </w:rPr>
        <w:t xml:space="preserve">² </w:t>
      </w:r>
      <w:r>
        <w:rPr>
          <w:rFonts w:ascii="Times Roman" w:hAnsi="Times Roman"/>
          <w:rtl w:val="0"/>
          <w:lang w:val="fr-FR"/>
        </w:rPr>
        <w:t>= 0.41 (Intention), Q</w:t>
      </w:r>
      <w:r>
        <w:rPr>
          <w:rFonts w:ascii="Times Roman" w:hAnsi="Times Roman" w:hint="default"/>
          <w:rtl w:val="0"/>
        </w:rPr>
        <w:t xml:space="preserve">² </w:t>
      </w:r>
      <w:r>
        <w:rPr>
          <w:rFonts w:ascii="Times Roman" w:hAnsi="Times Roman"/>
          <w:rtl w:val="0"/>
          <w:lang w:val="it-IT"/>
        </w:rPr>
        <w:t xml:space="preserve">= 0.33 (Usage) </w:t>
      </w:r>
      <w:r>
        <w:rPr>
          <w:rFonts w:ascii="Times Roman" w:hAnsi="Times Roman" w:hint="default"/>
          <w:rtl w:val="0"/>
          <w:lang w:val="en-US"/>
        </w:rPr>
        <w:t xml:space="preserve">— </w:t>
      </w:r>
      <w:r>
        <w:rPr>
          <w:rFonts w:ascii="Times Roman" w:hAnsi="Times Roman"/>
          <w:rtl w:val="0"/>
          <w:lang w:val="en-US"/>
        </w:rPr>
        <w:t>both &gt; 0, indicating medium predictive relevance.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it-IT"/>
        </w:rPr>
        <w:t>Model Fit</w:t>
      </w:r>
      <w:r>
        <w:rPr>
          <w:rFonts w:ascii="Times Roman" w:hAnsi="Times Roman"/>
          <w:rtl w:val="0"/>
          <w:lang w:val="en-US"/>
        </w:rPr>
        <w:t xml:space="preserve">: SRMR = 0.048 (excellent), </w:t>
      </w:r>
      <w:r>
        <w:rPr>
          <w:rFonts w:ascii="Times Roman" w:hAnsi="Times Roman" w:hint="default"/>
          <w:rtl w:val="0"/>
        </w:rPr>
        <w:t>χ²</w:t>
      </w:r>
      <w:r>
        <w:rPr>
          <w:rFonts w:ascii="Times Roman" w:hAnsi="Times Roman"/>
          <w:rtl w:val="0"/>
        </w:rPr>
        <w:t>/df = 2.19.</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Multi-Group Analysis (MGA)</w:t>
      </w:r>
      <w:r>
        <w:rPr>
          <w:rFonts w:ascii="Times Roman" w:hAnsi="Times Roman"/>
          <w:rtl w:val="0"/>
          <w:lang w:val="en-US"/>
        </w:rPr>
        <w:t xml:space="preserve"> showed significant differences: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Rural users: stronger Agent Quality effect (</w:t>
      </w:r>
      <w:r>
        <w:rPr>
          <w:rFonts w:ascii="Times Roman" w:hAnsi="Times Roman" w:hint="default"/>
          <w:rtl w:val="0"/>
        </w:rPr>
        <w:t xml:space="preserve">β </w:t>
      </w:r>
      <w:r>
        <w:rPr>
          <w:rFonts w:ascii="Times Roman" w:hAnsi="Times Roman"/>
          <w:rtl w:val="0"/>
        </w:rPr>
        <w:t>= 0.38 vs. 0.19 urban, p &lt; 0.05)</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Females: stronger negative Post-Fraud Risk effect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pt-PT"/>
        </w:rPr>
        <w:t xml:space="preserve">0.31 vs. </w:t>
      </w:r>
      <w:r>
        <w:rPr>
          <w:rFonts w:ascii="Times Roman" w:hAnsi="Times Roman" w:hint="default"/>
          <w:rtl w:val="0"/>
        </w:rPr>
        <w:t>−</w:t>
      </w:r>
      <w:r>
        <w:rPr>
          <w:rFonts w:ascii="Times Roman" w:hAnsi="Times Roman"/>
          <w:rtl w:val="0"/>
          <w:lang w:val="pt-PT"/>
        </w:rPr>
        <w:t>0.15 males, p &lt; 0.05)</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results strongly support the integrated UTAUT2 + Institutional + Digital Divide model in the Bangladeshi context, with Trust Restoration and Performance Expectancy as the most influential drivers, moderated by governance perceptions and demographic divides.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6.6 Key Challenges Identified and Prioritized (Importance-Performance Analysis </w:t>
      </w:r>
      <w:r>
        <w:rPr>
          <w:rFonts w:ascii="Times Roman" w:hAnsi="Times Roman" w:hint="default"/>
          <w:b w:val="1"/>
          <w:bCs w:val="1"/>
          <w:sz w:val="28"/>
          <w:szCs w:val="28"/>
          <w:rtl w:val="0"/>
        </w:rPr>
        <w:t xml:space="preserve">– </w:t>
      </w:r>
      <w:r>
        <w:rPr>
          <w:rFonts w:ascii="Times Roman" w:hAnsi="Times Roman"/>
          <w:b w:val="1"/>
          <w:bCs w:val="1"/>
          <w:sz w:val="28"/>
          <w:szCs w:val="28"/>
          <w:rtl w:val="0"/>
          <w:lang w:val="it-IT"/>
        </w:rPr>
        <w:t>IPA + Multi-Dimensional Scaling)</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integration of quantitative survey data (N = 592) and qualitative interview findings (n = 28 key informants) enabled a robust prioritization of challenges facing Bangladesh</w:t>
      </w:r>
      <w:r>
        <w:rPr>
          <w:rFonts w:ascii="Times Roman" w:hAnsi="Times Roman" w:hint="default"/>
          <w:rtl w:val="1"/>
        </w:rPr>
        <w:t>’</w:t>
      </w:r>
      <w:r>
        <w:rPr>
          <w:rFonts w:ascii="Times Roman" w:hAnsi="Times Roman"/>
          <w:rtl w:val="0"/>
          <w:lang w:val="en-US"/>
        </w:rPr>
        <w:t xml:space="preserve">s e-banking ecosystem. Using </w:t>
      </w:r>
      <w:r>
        <w:rPr>
          <w:rFonts w:ascii="Times Roman" w:hAnsi="Times Roman"/>
          <w:b w:val="1"/>
          <w:bCs w:val="1"/>
          <w:rtl w:val="0"/>
          <w:lang w:val="en-US"/>
        </w:rPr>
        <w:t>Importance-Performance Analysis (IPA)</w:t>
      </w:r>
      <w:r>
        <w:rPr>
          <w:rFonts w:ascii="Times Roman" w:hAnsi="Times Roman"/>
          <w:rtl w:val="0"/>
          <w:lang w:val="en-US"/>
        </w:rPr>
        <w:t xml:space="preserve"> and </w:t>
      </w:r>
      <w:r>
        <w:rPr>
          <w:rFonts w:ascii="Times Roman" w:hAnsi="Times Roman"/>
          <w:b w:val="1"/>
          <w:bCs w:val="1"/>
          <w:rtl w:val="0"/>
          <w:lang w:val="en-US"/>
        </w:rPr>
        <w:t>Multi-Dimensional Scaling (MDS)</w:t>
      </w:r>
      <w:r>
        <w:rPr>
          <w:rFonts w:ascii="Times Roman" w:hAnsi="Times Roman"/>
          <w:rtl w:val="0"/>
          <w:lang w:val="en-US"/>
        </w:rPr>
        <w:t>, four major challenge clusters were identified and ranked. These findings directly address the research gaps outlined in Chapter 3 and validate the integrated conceptual model</w:t>
      </w:r>
      <w:r>
        <w:rPr>
          <w:rFonts w:ascii="Times Roman" w:hAnsi="Times Roman" w:hint="default"/>
          <w:rtl w:val="1"/>
        </w:rPr>
        <w:t>’</w:t>
      </w:r>
      <w:r>
        <w:rPr>
          <w:rFonts w:ascii="Times Roman" w:hAnsi="Times Roman"/>
          <w:rtl w:val="0"/>
          <w:lang w:val="en-US"/>
        </w:rPr>
        <w:t>s emphasis on institutional and digital divide factors.</w:t>
      </w: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80768" behindDoc="0" locked="0" layoutInCell="1" allowOverlap="1">
                <wp:simplePos x="0" y="0"/>
                <wp:positionH relativeFrom="margin">
                  <wp:posOffset>450672</wp:posOffset>
                </wp:positionH>
                <wp:positionV relativeFrom="line">
                  <wp:posOffset>302260</wp:posOffset>
                </wp:positionV>
                <wp:extent cx="5736872" cy="4594656"/>
                <wp:effectExtent l="0" t="0" r="0" b="0"/>
                <wp:wrapThrough wrapText="bothSides" distL="152400" distR="152400">
                  <wp:wrapPolygon edited="1">
                    <wp:start x="0" y="0"/>
                    <wp:lineTo x="21600" y="0"/>
                    <wp:lineTo x="21600" y="21600"/>
                    <wp:lineTo x="0" y="21600"/>
                    <wp:lineTo x="0" y="0"/>
                  </wp:wrapPolygon>
                </wp:wrapThrough>
                <wp:docPr id="1073741864" name="officeArt object" descr="pasted-image.tiff"/>
                <wp:cNvGraphicFramePr/>
                <a:graphic xmlns:a="http://schemas.openxmlformats.org/drawingml/2006/main">
                  <a:graphicData uri="http://schemas.microsoft.com/office/word/2010/wordprocessingGroup">
                    <wpg:wgp>
                      <wpg:cNvGrpSpPr/>
                      <wpg:grpSpPr>
                        <a:xfrm>
                          <a:off x="0" y="0"/>
                          <a:ext cx="5736872" cy="4594656"/>
                          <a:chOff x="0" y="0"/>
                          <a:chExt cx="5736871" cy="4594655"/>
                        </a:xfrm>
                      </wpg:grpSpPr>
                      <pic:pic xmlns:pic="http://schemas.openxmlformats.org/drawingml/2006/picture">
                        <pic:nvPicPr>
                          <pic:cNvPr id="1073741863" name="pasted-image.tiff" descr="pasted-image.tiff"/>
                          <pic:cNvPicPr>
                            <a:picLocks noChangeAspect="1"/>
                          </pic:cNvPicPr>
                        </pic:nvPicPr>
                        <pic:blipFill>
                          <a:blip r:embed="rId33">
                            <a:extLst/>
                          </a:blip>
                          <a:stretch>
                            <a:fillRect/>
                          </a:stretch>
                        </pic:blipFill>
                        <pic:spPr>
                          <a:xfrm>
                            <a:off x="127000" y="88900"/>
                            <a:ext cx="5482872" cy="4264456"/>
                          </a:xfrm>
                          <a:prstGeom prst="rect">
                            <a:avLst/>
                          </a:prstGeom>
                          <a:ln>
                            <a:noFill/>
                          </a:ln>
                          <a:effectLst/>
                        </pic:spPr>
                      </pic:pic>
                      <pic:pic xmlns:pic="http://schemas.openxmlformats.org/drawingml/2006/picture">
                        <pic:nvPicPr>
                          <pic:cNvPr id="1073741862" name="pasted-image.tiff" descr="pasted-image.tiff"/>
                          <pic:cNvPicPr>
                            <a:picLocks noChangeAspect="0"/>
                          </pic:cNvPicPr>
                        </pic:nvPicPr>
                        <pic:blipFill>
                          <a:blip r:embed="rId34">
                            <a:extLst/>
                          </a:blip>
                          <a:stretch>
                            <a:fillRect/>
                          </a:stretch>
                        </pic:blipFill>
                        <pic:spPr>
                          <a:xfrm>
                            <a:off x="0" y="0"/>
                            <a:ext cx="5736872" cy="4594656"/>
                          </a:xfrm>
                          <a:prstGeom prst="rect">
                            <a:avLst/>
                          </a:prstGeom>
                          <a:effectLst/>
                        </pic:spPr>
                      </pic:pic>
                    </wpg:wgp>
                  </a:graphicData>
                </a:graphic>
              </wp:anchor>
            </w:drawing>
          </mc:Choice>
          <mc:Fallback>
            <w:pict>
              <v:group id="_x0000_s1050" style="visibility:visible;position:absolute;margin-left:35.5pt;margin-top:23.8pt;width:451.7pt;height:361.8pt;z-index:251680768;mso-position-horizontal:absolute;mso-position-horizontal-relative:margin;mso-position-vertical:absolute;mso-position-vertical-relative:line;mso-wrap-distance-left:12.0pt;mso-wrap-distance-top:12.0pt;mso-wrap-distance-right:12.0pt;mso-wrap-distance-bottom:12.0pt;" coordorigin="0,0" coordsize="5736872,4594656">
                <w10:wrap type="through" side="bothSides" anchorx="margin"/>
                <v:shape id="_x0000_s1051" type="#_x0000_t75" style="position:absolute;left:127000;top:88900;width:5482872;height:4264456;">
                  <v:imagedata r:id="rId33" o:title="pasted-image-enhanced.png"/>
                </v:shape>
                <v:shape id="_x0000_s1052" type="#_x0000_t75" style="position:absolute;left:0;top:0;width:5736872;height:4594656;">
                  <v:imagedata r:id="rId34" o:title=""/>
                </v:shape>
              </v:group>
            </w:pict>
          </mc:Fallback>
        </mc:AlternateConten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6.4:</w:t>
      </w:r>
      <w:r>
        <w:rPr>
          <w:rFonts w:ascii="Times Roman" w:hAnsi="Times Roman"/>
          <w:rtl w:val="0"/>
        </w:rPr>
        <w:t xml:space="preserve"> </w:t>
      </w:r>
      <w:r>
        <w:rPr>
          <w:rFonts w:ascii="Times Roman" w:hAnsi="Times Roman"/>
          <w:i w:val="1"/>
          <w:iCs w:val="1"/>
          <w:rtl w:val="0"/>
          <w:lang w:val="en-US"/>
        </w:rPr>
        <w:t>Importance-Performance Analysis (IPA) Matrix</w:t>
      </w:r>
      <w:r>
        <w:rPr>
          <w:rFonts w:ascii="Times Roman" w:hAnsi="Times Roman"/>
          <w:i w:val="1"/>
          <w:iCs w:val="1"/>
          <w:rtl w:val="0"/>
          <w:lang w:val="en-US"/>
        </w:rPr>
        <w:t xml:space="preserve">. </w:t>
      </w:r>
      <w:r>
        <w:rPr>
          <w:rFonts w:ascii="Times Roman" w:hAnsi="Times Roman"/>
          <w:b w:val="1"/>
          <w:bCs w:val="1"/>
          <w:rtl w:val="0"/>
          <w:lang w:val="en-US"/>
        </w:rPr>
        <w:t>Bank for International Settlements. (2025).</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6.4: Importance-Performance Analysis (IPA) matrix. Challenges falling into the top-left quadrant ("Concentrate Here") represent critical ecosystem vulnerabilities requiring immediate strategic and regulatory intervention.</w:t>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6.6.1 Security, Fraud &amp; Cyber Risks; Trust Deficits Post-2024</w:t>
      </w:r>
      <w:r>
        <w:rPr>
          <w:rFonts w:ascii="Times Roman" w:hAnsi="Times Roman" w:hint="default"/>
          <w:b w:val="1"/>
          <w:bCs w:val="1"/>
          <w:sz w:val="26"/>
          <w:szCs w:val="26"/>
          <w:rtl w:val="0"/>
        </w:rPr>
        <w:t>–</w:t>
      </w:r>
      <w:r>
        <w:rPr>
          <w:rFonts w:ascii="Times Roman" w:hAnsi="Times Roman"/>
          <w:b w:val="1"/>
          <w:bCs w:val="1"/>
          <w:sz w:val="26"/>
          <w:szCs w:val="26"/>
          <w:rtl w:val="0"/>
          <w:lang w:val="fr-FR"/>
        </w:rPr>
        <w:t>25 Incidents (Quantitative + Qualitative Triangulation)</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Quantitative Findings (IPA Results):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Security, Fraud &amp; Cyber Risks emerged as the </w:t>
      </w:r>
      <w:r>
        <w:rPr>
          <w:rFonts w:ascii="Times Roman" w:hAnsi="Times Roman"/>
          <w:b w:val="1"/>
          <w:bCs w:val="1"/>
          <w:rtl w:val="0"/>
          <w:lang w:val="en-US"/>
        </w:rPr>
        <w:t>highest priority challenge</w:t>
      </w:r>
      <w:r>
        <w:rPr>
          <w:rFonts w:ascii="Times Roman" w:hAnsi="Times Roman"/>
          <w:rtl w:val="0"/>
          <w:lang w:val="en-US"/>
        </w:rPr>
        <w:t xml:space="preserve">. On a 7-point scale, respondents rated its </w:t>
      </w:r>
      <w:r>
        <w:rPr>
          <w:rFonts w:ascii="Times Roman" w:hAnsi="Times Roman"/>
          <w:b w:val="1"/>
          <w:bCs w:val="1"/>
          <w:rtl w:val="0"/>
          <w:lang w:val="fr-FR"/>
        </w:rPr>
        <w:t>importance</w:t>
      </w:r>
      <w:r>
        <w:rPr>
          <w:rFonts w:ascii="Times Roman" w:hAnsi="Times Roman"/>
          <w:rtl w:val="0"/>
          <w:lang w:val="en-US"/>
        </w:rPr>
        <w:t xml:space="preserve"> at 6.48 (highest among all challenges) but its </w:t>
      </w:r>
      <w:r>
        <w:rPr>
          <w:rFonts w:ascii="Times Roman" w:hAnsi="Times Roman"/>
          <w:b w:val="1"/>
          <w:bCs w:val="1"/>
          <w:rtl w:val="0"/>
          <w:lang w:val="en-US"/>
        </w:rPr>
        <w:t>performance</w:t>
      </w:r>
      <w:r>
        <w:rPr>
          <w:rFonts w:ascii="Times Roman" w:hAnsi="Times Roman"/>
          <w:rtl w:val="0"/>
          <w:lang w:val="en-US"/>
        </w:rPr>
        <w:t xml:space="preserve"> (current handling) at only 3.92. This placed it firmly in the </w:t>
      </w:r>
      <w:r>
        <w:rPr>
          <w:rFonts w:ascii="Times Roman" w:hAnsi="Times Roman" w:hint="default"/>
          <w:b w:val="1"/>
          <w:bCs w:val="1"/>
          <w:rtl w:val="1"/>
          <w:lang w:val="ar-SA" w:bidi="ar-SA"/>
        </w:rPr>
        <w:t>“</w:t>
      </w:r>
      <w:r>
        <w:rPr>
          <w:rFonts w:ascii="Times Roman" w:hAnsi="Times Roman"/>
          <w:b w:val="1"/>
          <w:bCs w:val="1"/>
          <w:rtl w:val="0"/>
          <w:lang w:val="en-US"/>
        </w:rPr>
        <w:t>Concentrate Here</w:t>
      </w:r>
      <w:r>
        <w:rPr>
          <w:rFonts w:ascii="Times Roman" w:hAnsi="Times Roman" w:hint="default"/>
          <w:b w:val="1"/>
          <w:bCs w:val="1"/>
          <w:rtl w:val="0"/>
        </w:rPr>
        <w:t>”</w:t>
      </w:r>
      <w:r>
        <w:rPr>
          <w:rFonts w:ascii="Times Roman" w:hAnsi="Times Roman"/>
          <w:rtl w:val="0"/>
          <w:lang w:val="en-US"/>
        </w:rPr>
        <w:t xml:space="preserve"> quadrant of the IPA matrix. Post-Fraud Risk Perception also scored high in importance (6.21) but low in performance (4.15).</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Qualitative Insights: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Key informants (particularly from BFIU and commercial banks) highlighted recurring SIM-swap fraud, phishing attacks, and data breaches in 2024</w:t>
      </w:r>
      <w:r>
        <w:rPr>
          <w:rFonts w:ascii="Times Roman" w:hAnsi="Times Roman" w:hint="default"/>
          <w:rtl w:val="0"/>
        </w:rPr>
        <w:t>–</w:t>
      </w:r>
      <w:r>
        <w:rPr>
          <w:rFonts w:ascii="Times Roman" w:hAnsi="Times Roman"/>
          <w:rtl w:val="0"/>
          <w:lang w:val="en-US"/>
        </w:rPr>
        <w:t>2025 as major trust eroders. One senior BFIU official noted: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Despite new e-KYC guidelines, enforcement remains weak. Many agents still bypass biometric verification, creating systemic vulnerabilities.</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Triangulation &amp; Prioritization: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Survey data showed that 67% of respondents who experienced or heard about fraud incidents reduced their MFS usage frequency. Trust Restoration scores were significantly lower among those affected (M = 4.21 vs. 5.89, p &lt; 0.001). This challenge ranked </w:t>
      </w:r>
      <w:r>
        <w:rPr>
          <w:rFonts w:ascii="Times Roman" w:hAnsi="Times Roman"/>
          <w:b w:val="1"/>
          <w:bCs w:val="1"/>
          <w:rtl w:val="0"/>
          <w:lang w:val="en-US"/>
        </w:rPr>
        <w:t>#1</w:t>
      </w:r>
      <w:r>
        <w:rPr>
          <w:rFonts w:ascii="Times Roman" w:hAnsi="Times Roman"/>
          <w:rtl w:val="0"/>
          <w:lang w:val="en-US"/>
        </w:rPr>
        <w:t xml:space="preserve"> in overall priority due to its direct negative impact on Behavioral Intention (</w:t>
      </w:r>
      <w:r>
        <w:rPr>
          <w:rFonts w:ascii="Times Roman" w:hAnsi="Times Roman" w:hint="default"/>
          <w:rtl w:val="0"/>
        </w:rPr>
        <w:t xml:space="preserve">β </w:t>
      </w:r>
      <w:r>
        <w:rPr>
          <w:rFonts w:ascii="Times Roman" w:hAnsi="Times Roman"/>
          <w:rtl w:val="0"/>
          <w:lang w:val="en-US"/>
        </w:rPr>
        <w:t>= -0.22 in the structural model).</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6.6.2 Digital Literacy &amp; Gender/Rural Divides; Infrastructure &amp; Network Quality Gaps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de-DE"/>
        </w:rPr>
        <w:t>Quantitative Findings (IPA + MDS):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Digital Literacy and Gender/Rural Divides were placed in the </w:t>
      </w:r>
      <w:r>
        <w:rPr>
          <w:rFonts w:ascii="Times Roman" w:hAnsi="Times Roman" w:hint="default"/>
          <w:b w:val="1"/>
          <w:bCs w:val="1"/>
          <w:rtl w:val="1"/>
          <w:lang w:val="ar-SA" w:bidi="ar-SA"/>
        </w:rPr>
        <w:t>“</w:t>
      </w:r>
      <w:r>
        <w:rPr>
          <w:rFonts w:ascii="Times Roman" w:hAnsi="Times Roman"/>
          <w:b w:val="1"/>
          <w:bCs w:val="1"/>
          <w:rtl w:val="0"/>
          <w:lang w:val="en-US"/>
        </w:rPr>
        <w:t xml:space="preserve">High Importance </w:t>
      </w:r>
      <w:r>
        <w:rPr>
          <w:rFonts w:ascii="Times Roman" w:hAnsi="Times Roman" w:hint="default"/>
          <w:b w:val="1"/>
          <w:bCs w:val="1"/>
          <w:rtl w:val="0"/>
        </w:rPr>
        <w:t xml:space="preserve">– </w:t>
      </w:r>
      <w:r>
        <w:rPr>
          <w:rFonts w:ascii="Times Roman" w:hAnsi="Times Roman"/>
          <w:b w:val="1"/>
          <w:bCs w:val="1"/>
          <w:rtl w:val="0"/>
          <w:lang w:val="en-US"/>
        </w:rPr>
        <w:t>Moderate Performance</w:t>
      </w:r>
      <w:r>
        <w:rPr>
          <w:rFonts w:ascii="Times Roman" w:hAnsi="Times Roman" w:hint="default"/>
          <w:b w:val="1"/>
          <w:bCs w:val="1"/>
          <w:rtl w:val="0"/>
        </w:rPr>
        <w:t>”</w:t>
      </w:r>
      <w:r>
        <w:rPr>
          <w:rFonts w:ascii="Times Roman" w:hAnsi="Times Roman"/>
          <w:rtl w:val="0"/>
          <w:lang w:val="en-US"/>
        </w:rPr>
        <w:t xml:space="preserve"> quadrant. Rural respondents reported significantly lower digital literacy self-assessment scores (M = 4.12) compared to urban users (M = 5.67, p &lt; 0.001). Infrastructure &amp; Network Quality also scored high in importance (6.03) but moderate performance (4.48), particularly among rural users.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Multi-Dimensional Scaling (MDS)</w:t>
      </w:r>
      <w:r>
        <w:rPr>
          <w:rFonts w:ascii="Times Roman" w:hAnsi="Times Roman"/>
          <w:rtl w:val="0"/>
          <w:lang w:val="en-US"/>
        </w:rPr>
        <w:t xml:space="preserve"> positioned </w:t>
      </w:r>
      <w:r>
        <w:rPr>
          <w:rFonts w:ascii="Times Roman" w:hAnsi="Times Roman" w:hint="default"/>
          <w:rtl w:val="1"/>
          <w:lang w:val="ar-SA" w:bidi="ar-SA"/>
        </w:rPr>
        <w:t>“</w:t>
      </w:r>
      <w:r>
        <w:rPr>
          <w:rFonts w:ascii="Times Roman" w:hAnsi="Times Roman"/>
          <w:rtl w:val="0"/>
          <w:lang w:val="en-US"/>
        </w:rPr>
        <w:t>Infrastructure &amp; Network Quality</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rPr>
        <w:t>Digital Literacy</w:t>
      </w:r>
      <w:r>
        <w:rPr>
          <w:rFonts w:ascii="Times Roman" w:hAnsi="Times Roman" w:hint="default"/>
          <w:rtl w:val="0"/>
        </w:rPr>
        <w:t xml:space="preserve">” </w:t>
      </w:r>
      <w:r>
        <w:rPr>
          <w:rFonts w:ascii="Times Roman" w:hAnsi="Times Roman"/>
          <w:rtl w:val="0"/>
          <w:lang w:val="en-US"/>
        </w:rPr>
        <w:t>on the same dimension, indicating they are closely interrelated barriers. Female rural users showed the largest gap between importance and performance.</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Qualitative Insights: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Agent network managers and development partners emphasized that many rural users lack basic smartphone skills and fear making mistakes. One rural agent stated: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Women often come with their husbands or sons because they don</w:t>
      </w:r>
      <w:r>
        <w:rPr>
          <w:rFonts w:ascii="Times Roman" w:hAnsi="Times Roman" w:hint="default"/>
          <w:rtl w:val="1"/>
        </w:rPr>
        <w:t>’</w:t>
      </w:r>
      <w:r>
        <w:rPr>
          <w:rFonts w:ascii="Times Roman" w:hAnsi="Times Roman"/>
          <w:rtl w:val="0"/>
          <w:lang w:val="en-US"/>
        </w:rPr>
        <w:t>t know how to use the app or read English messages.</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Triangulation &amp; Prioritization: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This cluster ranked </w:t>
      </w:r>
      <w:r>
        <w:rPr>
          <w:rFonts w:ascii="Times Roman" w:hAnsi="Times Roman"/>
          <w:b w:val="1"/>
          <w:bCs w:val="1"/>
          <w:rtl w:val="0"/>
        </w:rPr>
        <w:t>#2</w:t>
      </w:r>
      <w:r>
        <w:rPr>
          <w:rFonts w:ascii="Times Roman" w:hAnsi="Times Roman"/>
          <w:rtl w:val="0"/>
          <w:lang w:val="en-US"/>
        </w:rPr>
        <w:t xml:space="preserve"> in priority. The structural model confirmed that Digital Literacy significantly moderated the Effort Expectancy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Intention relationship, with stronger effects in rural areas. Addressing this cluster is critical for achieving the 80%+ inclusion target under the Cashless Economy Roadmap 2030.</w: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6.6.3 Regulatory &amp; Governance Issues: Market Concentration, e-Money Violations, BFIU Capacity Constraints, Enforcement Gaps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it-IT"/>
        </w:rPr>
        <w:t>Quantitative Findings: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Governance Perception scored high in importance (5.98) but low in performance (3.87), placing it in the </w:t>
      </w:r>
      <w:r>
        <w:rPr>
          <w:rFonts w:ascii="Times Roman" w:hAnsi="Times Roman" w:hint="default"/>
          <w:b w:val="1"/>
          <w:bCs w:val="1"/>
          <w:rtl w:val="1"/>
          <w:lang w:val="ar-SA" w:bidi="ar-SA"/>
        </w:rPr>
        <w:t>“</w:t>
      </w:r>
      <w:r>
        <w:rPr>
          <w:rFonts w:ascii="Times Roman" w:hAnsi="Times Roman"/>
          <w:b w:val="1"/>
          <w:bCs w:val="1"/>
          <w:rtl w:val="0"/>
          <w:lang w:val="en-US"/>
        </w:rPr>
        <w:t>Concentrate Here</w:t>
      </w:r>
      <w:r>
        <w:rPr>
          <w:rFonts w:ascii="Times Roman" w:hAnsi="Times Roman" w:hint="default"/>
          <w:b w:val="1"/>
          <w:bCs w:val="1"/>
          <w:rtl w:val="0"/>
        </w:rPr>
        <w:t>”</w:t>
      </w:r>
      <w:r>
        <w:rPr>
          <w:rFonts w:ascii="Times Roman" w:hAnsi="Times Roman"/>
          <w:rtl w:val="0"/>
          <w:lang w:val="en-US"/>
        </w:rPr>
        <w:t xml:space="preserve"> IPA quadrant. Market concentration concerns were also prominent, with 71% of respondents agreeing that </w:t>
      </w:r>
      <w:r>
        <w:rPr>
          <w:rFonts w:ascii="Times Roman" w:hAnsi="Times Roman" w:hint="default"/>
          <w:rtl w:val="1"/>
          <w:lang w:val="ar-SA" w:bidi="ar-SA"/>
        </w:rPr>
        <w:t>“</w:t>
      </w:r>
      <w:r>
        <w:rPr>
          <w:rFonts w:ascii="Times Roman" w:hAnsi="Times Roman"/>
          <w:rtl w:val="0"/>
          <w:lang w:val="en-US"/>
        </w:rPr>
        <w:t>a few big players control too much of the market.</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Qualitative Insights: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Experts from Bangladesh Bank, commercial banks, and TI-Bangladesh highlighted several systemic issues: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Market Concentration</w:t>
      </w:r>
      <w:r>
        <w:rPr>
          <w:rFonts w:ascii="Times Roman" w:hAnsi="Times Roman"/>
          <w:rtl w:val="0"/>
          <w:lang w:val="en-US"/>
        </w:rPr>
        <w:t>: bKash</w:t>
      </w:r>
      <w:r>
        <w:rPr>
          <w:rFonts w:ascii="Times Roman" w:hAnsi="Times Roman" w:hint="default"/>
          <w:rtl w:val="1"/>
        </w:rPr>
        <w:t>’</w:t>
      </w:r>
      <w:r>
        <w:rPr>
          <w:rFonts w:ascii="Times Roman" w:hAnsi="Times Roman"/>
          <w:rtl w:val="0"/>
          <w:lang w:val="fr-FR"/>
        </w:rPr>
        <w:t>s dominant position (</w:t>
      </w:r>
      <w:r>
        <w:rPr>
          <w:rFonts w:ascii="Times Roman" w:hAnsi="Times Roman" w:hint="default"/>
          <w:rtl w:val="0"/>
        </w:rPr>
        <w:t>≈</w:t>
      </w:r>
      <w:r>
        <w:rPr>
          <w:rFonts w:ascii="Times Roman" w:hAnsi="Times Roman"/>
          <w:rtl w:val="0"/>
          <w:lang w:val="en-US"/>
        </w:rPr>
        <w:t>63% market share) creates risks of monopolistic practices.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e-Money Violations</w:t>
      </w:r>
      <w:r>
        <w:rPr>
          <w:rFonts w:ascii="Times Roman" w:hAnsi="Times Roman"/>
          <w:rtl w:val="0"/>
          <w:lang w:val="en-US"/>
        </w:rPr>
        <w:t>: Frequent breaches of trust account rules by smaller MFS providers.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BFIU Capacity Constraints</w:t>
      </w:r>
      <w:r>
        <w:rPr>
          <w:rFonts w:ascii="Times Roman" w:hAnsi="Times Roman"/>
          <w:rtl w:val="0"/>
          <w:lang w:val="en-US"/>
        </w:rPr>
        <w:t>: Limited staff and outdated monitoring systems hinder real-time fraud detection.</w:t>
      </w:r>
    </w:p>
    <w:p>
      <w:pPr>
        <w:pStyle w:val="Default"/>
        <w:numPr>
          <w:ilvl w:val="0"/>
          <w:numId w:val="3"/>
        </w:numPr>
        <w:suppressAutoHyphens w:val="1"/>
        <w:spacing w:before="0" w:line="240" w:lineRule="auto"/>
        <w:jc w:val="both"/>
        <w:rPr>
          <w:rFonts w:ascii="Times Roman" w:hAnsi="Times Roman"/>
          <w:lang w:val="fr-FR"/>
        </w:rPr>
      </w:pPr>
      <w:r>
        <w:rPr>
          <w:rFonts w:ascii="Times Roman" w:hAnsi="Times Roman"/>
          <w:b w:val="1"/>
          <w:bCs w:val="1"/>
          <w:rtl w:val="0"/>
          <w:lang w:val="fr-FR"/>
        </w:rPr>
        <w:t>Enforcement Gaps</w:t>
      </w:r>
      <w:r>
        <w:rPr>
          <w:rFonts w:ascii="Times Roman" w:hAnsi="Times Roman"/>
          <w:rtl w:val="0"/>
          <w:lang w:val="en-US"/>
        </w:rPr>
        <w:t>: Weak penalties and slow investigation processes reduce deterrence.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One commercial bank executive remarked: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Regulations exist on paper, but enforcement is inconsistent. Some players operate in grey areas with little consequence.</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Triangulation &amp; Prioritization: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This cluster ranked </w:t>
      </w:r>
      <w:r>
        <w:rPr>
          <w:rFonts w:ascii="Times Roman" w:hAnsi="Times Roman"/>
          <w:b w:val="1"/>
          <w:bCs w:val="1"/>
          <w:rtl w:val="0"/>
        </w:rPr>
        <w:t>#3</w:t>
      </w:r>
      <w:r>
        <w:rPr>
          <w:rFonts w:ascii="Times Roman" w:hAnsi="Times Roman"/>
          <w:rtl w:val="0"/>
          <w:lang w:val="en-US"/>
        </w:rPr>
        <w:t xml:space="preserve">. The structural model showed that Governance Perception significantly moderated the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Intention path, confirming its critical role. High concentration (HHI &gt; 2,800) was also linked to lower competition and innovation in qualitative narratives.</w: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both"/>
        <w:rPr>
          <w:rFonts w:ascii="Times New Roman" w:cs="Times New Roman" w:hAnsi="Times New Roman" w:eastAsia="Times New Roman"/>
          <w:b w:val="0"/>
          <w:bCs w:val="0"/>
          <w:sz w:val="26"/>
          <w:szCs w:val="26"/>
        </w:rPr>
      </w:pPr>
      <w:r>
        <w:rPr>
          <w:rFonts w:ascii="Times New Roman" w:hAnsi="Times New Roman"/>
          <w:b w:val="1"/>
          <w:bCs w:val="1"/>
          <w:sz w:val="26"/>
          <w:szCs w:val="26"/>
          <w:rtl w:val="0"/>
          <w:lang w:val="en-US"/>
        </w:rPr>
        <w:t>6.6.4 Agent Network Quality, High Fees, Last-Mile Delivery &amp; Liquidity Challenges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it-IT"/>
        </w:rPr>
        <w:t>Quantitative Findings: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Agent Quality scored moderately high in importance (5.72) but only moderate performance (4.61). High Fees and Liquidity Challenges were rated as moderately important but performed poorly in rural areas. IPA placed this cluster in the </w:t>
      </w:r>
      <w:r>
        <w:rPr>
          <w:rFonts w:ascii="Times Roman" w:hAnsi="Times Roman" w:hint="default"/>
          <w:b w:val="1"/>
          <w:bCs w:val="1"/>
          <w:rtl w:val="1"/>
          <w:lang w:val="ar-SA" w:bidi="ar-SA"/>
        </w:rPr>
        <w:t>“</w:t>
      </w:r>
      <w:r>
        <w:rPr>
          <w:rFonts w:ascii="Times Roman" w:hAnsi="Times Roman"/>
          <w:b w:val="1"/>
          <w:bCs w:val="1"/>
          <w:rtl w:val="0"/>
          <w:lang w:val="en-US"/>
        </w:rPr>
        <w:t>Keep Up Good Work</w:t>
      </w:r>
      <w:r>
        <w:rPr>
          <w:rFonts w:ascii="Times Roman" w:hAnsi="Times Roman" w:hint="default"/>
          <w:b w:val="1"/>
          <w:bCs w:val="1"/>
          <w:rtl w:val="0"/>
        </w:rPr>
        <w:t>”</w:t>
      </w:r>
      <w:r>
        <w:rPr>
          <w:rFonts w:ascii="Times Roman" w:hAnsi="Times Roman"/>
          <w:rtl w:val="0"/>
          <w:lang w:val="en-US"/>
        </w:rPr>
        <w:t xml:space="preserve"> to </w:t>
      </w:r>
      <w:r>
        <w:rPr>
          <w:rFonts w:ascii="Times Roman" w:hAnsi="Times Roman" w:hint="default"/>
          <w:b w:val="1"/>
          <w:bCs w:val="1"/>
          <w:rtl w:val="1"/>
          <w:lang w:val="ar-SA" w:bidi="ar-SA"/>
        </w:rPr>
        <w:t>“</w:t>
      </w:r>
      <w:r>
        <w:rPr>
          <w:rFonts w:ascii="Times Roman" w:hAnsi="Times Roman"/>
          <w:b w:val="1"/>
          <w:bCs w:val="1"/>
          <w:rtl w:val="0"/>
          <w:lang w:val="en-US"/>
        </w:rPr>
        <w:t>Low Priority</w:t>
      </w:r>
      <w:r>
        <w:rPr>
          <w:rFonts w:ascii="Times Roman" w:hAnsi="Times Roman" w:hint="default"/>
          <w:b w:val="1"/>
          <w:bCs w:val="1"/>
          <w:rtl w:val="0"/>
        </w:rPr>
        <w:t>”</w:t>
      </w:r>
      <w:r>
        <w:rPr>
          <w:rFonts w:ascii="Times Roman" w:hAnsi="Times Roman"/>
          <w:rtl w:val="0"/>
          <w:lang w:val="en-US"/>
        </w:rPr>
        <w:t xml:space="preserve"> transition zone overall, but it became critical when segmented by rural users.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Qualitative Insights: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Rural agent managers repeatedly cited liquidity shortages (</w:t>
      </w:r>
      <w:r>
        <w:rPr>
          <w:rFonts w:ascii="Times Roman" w:hAnsi="Times Roman" w:hint="default"/>
          <w:rtl w:val="1"/>
          <w:lang w:val="ar-SA" w:bidi="ar-SA"/>
        </w:rPr>
        <w:t>“</w:t>
      </w:r>
      <w:r>
        <w:rPr>
          <w:rFonts w:ascii="Times Roman" w:hAnsi="Times Roman"/>
          <w:rtl w:val="0"/>
          <w:lang w:val="en-US"/>
        </w:rPr>
        <w:t>We often run out of cash during peak hours</w:t>
      </w:r>
      <w:r>
        <w:rPr>
          <w:rFonts w:ascii="Times Roman" w:hAnsi="Times Roman" w:hint="default"/>
          <w:rtl w:val="0"/>
        </w:rPr>
        <w:t>”</w:t>
      </w:r>
      <w:r>
        <w:rPr>
          <w:rFonts w:ascii="Times Roman" w:hAnsi="Times Roman"/>
          <w:rtl w:val="0"/>
          <w:lang w:val="en-US"/>
        </w:rPr>
        <w:t>) and inconsistent training as major issues. High transaction fees on certain platforms (especially for cash-out) were also flagged as barriers for low-income users.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Triangulation &amp; Prioritization: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This cluster ranked </w:t>
      </w:r>
      <w:r>
        <w:rPr>
          <w:rFonts w:ascii="Times Roman" w:hAnsi="Times Roman"/>
          <w:b w:val="1"/>
          <w:bCs w:val="1"/>
          <w:rtl w:val="0"/>
        </w:rPr>
        <w:t>#4</w:t>
      </w:r>
      <w:r>
        <w:rPr>
          <w:rFonts w:ascii="Times Roman" w:hAnsi="Times Roman"/>
          <w:rtl w:val="0"/>
          <w:lang w:val="en-US"/>
        </w:rPr>
        <w:t xml:space="preserve"> overall but rose to </w:t>
      </w:r>
      <w:r>
        <w:rPr>
          <w:rFonts w:ascii="Times Roman" w:hAnsi="Times Roman"/>
          <w:b w:val="1"/>
          <w:bCs w:val="1"/>
          <w:rtl w:val="0"/>
        </w:rPr>
        <w:t>#2</w:t>
      </w:r>
      <w:r>
        <w:rPr>
          <w:rFonts w:ascii="Times Roman" w:hAnsi="Times Roman"/>
          <w:rtl w:val="0"/>
          <w:lang w:val="en-US"/>
        </w:rPr>
        <w:t xml:space="preserve"> among rural respondents. The structural model confirmed Agent Quality as a significant predictor of Behavioral Intention (</w:t>
      </w:r>
      <w:r>
        <w:rPr>
          <w:rFonts w:ascii="Times Roman" w:hAnsi="Times Roman" w:hint="default"/>
          <w:rtl w:val="0"/>
        </w:rPr>
        <w:t xml:space="preserve">β </w:t>
      </w:r>
      <w:r>
        <w:rPr>
          <w:rFonts w:ascii="Times Roman" w:hAnsi="Times Roman"/>
          <w:rtl w:val="0"/>
          <w:lang w:val="en-US"/>
        </w:rPr>
        <w:t>= 0.26), with stronger effects in rural areas (MGA result). Improving agent quality and liquidity management offers high marginal returns for last-mile inclusion.</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32"/>
        <w:gridCol w:w="3609"/>
        <w:gridCol w:w="1600"/>
        <w:gridCol w:w="1330"/>
        <w:gridCol w:w="2206"/>
      </w:tblGrid>
      <w:tr>
        <w:tblPrEx>
          <w:shd w:val="clear" w:color="auto" w:fill="auto"/>
        </w:tblPrEx>
        <w:trPr>
          <w:trHeight w:val="1013" w:hRule="atLeast"/>
        </w:trPr>
        <w:tc>
          <w:tcPr>
            <w:tcW w:type="dxa" w:w="83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Rank</w:t>
            </w:r>
          </w:p>
        </w:tc>
        <w:tc>
          <w:tcPr>
            <w:tcW w:type="dxa" w:w="360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Challenge Cluster</w:t>
            </w:r>
          </w:p>
        </w:tc>
        <w:tc>
          <w:tcPr>
            <w:tcW w:type="dxa" w:w="16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IPA Quadrant</w:t>
            </w:r>
          </w:p>
        </w:tc>
        <w:tc>
          <w:tcPr>
            <w:tcW w:type="dxa" w:w="13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Priority Level</w:t>
            </w:r>
          </w:p>
        </w:tc>
        <w:tc>
          <w:tcPr>
            <w:tcW w:type="dxa" w:w="2206"/>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Key Impact</w:t>
            </w:r>
          </w:p>
        </w:tc>
      </w:tr>
      <w:tr>
        <w:tblPrEx>
          <w:shd w:val="clear" w:color="auto" w:fill="auto"/>
        </w:tblPrEx>
        <w:trPr>
          <w:trHeight w:val="1013" w:hRule="atLeast"/>
        </w:trPr>
        <w:tc>
          <w:tcPr>
            <w:tcW w:type="dxa" w:w="83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w:t>
            </w:r>
          </w:p>
        </w:tc>
        <w:tc>
          <w:tcPr>
            <w:tcW w:type="dxa" w:w="360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Security, Fraud &amp; Cyber Risks + Trust Deficits</w:t>
            </w:r>
          </w:p>
        </w:tc>
        <w:tc>
          <w:tcPr>
            <w:tcW w:type="dxa" w:w="16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Concentrate Here</w:t>
            </w:r>
          </w:p>
        </w:tc>
        <w:tc>
          <w:tcPr>
            <w:tcW w:type="dxa" w:w="13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Very High</w:t>
            </w:r>
          </w:p>
        </w:tc>
        <w:tc>
          <w:tcPr>
            <w:tcW w:type="dxa" w:w="2206"/>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Strongest negative predictor</w:t>
            </w:r>
          </w:p>
        </w:tc>
      </w:tr>
      <w:tr>
        <w:tblPrEx>
          <w:shd w:val="clear" w:color="auto" w:fill="auto"/>
        </w:tblPrEx>
        <w:trPr>
          <w:trHeight w:val="1013" w:hRule="atLeast"/>
        </w:trPr>
        <w:tc>
          <w:tcPr>
            <w:tcW w:type="dxa" w:w="83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w:t>
            </w:r>
          </w:p>
        </w:tc>
        <w:tc>
          <w:tcPr>
            <w:tcW w:type="dxa" w:w="360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Digital Literacy &amp; Gender/Rural Divides</w:t>
            </w:r>
          </w:p>
        </w:tc>
        <w:tc>
          <w:tcPr>
            <w:tcW w:type="dxa" w:w="16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 Importance</w:t>
            </w:r>
          </w:p>
        </w:tc>
        <w:tc>
          <w:tcPr>
            <w:tcW w:type="dxa" w:w="13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w:t>
            </w:r>
          </w:p>
        </w:tc>
        <w:tc>
          <w:tcPr>
            <w:tcW w:type="dxa" w:w="2206"/>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Major barrier to inclusion</w:t>
            </w:r>
          </w:p>
        </w:tc>
      </w:tr>
      <w:tr>
        <w:tblPrEx>
          <w:shd w:val="clear" w:color="auto" w:fill="auto"/>
        </w:tblPrEx>
        <w:trPr>
          <w:trHeight w:val="1013" w:hRule="atLeast"/>
        </w:trPr>
        <w:tc>
          <w:tcPr>
            <w:tcW w:type="dxa" w:w="83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3</w:t>
            </w:r>
          </w:p>
        </w:tc>
        <w:tc>
          <w:tcPr>
            <w:tcW w:type="dxa" w:w="360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Regulatory &amp; Governance Issues</w:t>
            </w:r>
          </w:p>
        </w:tc>
        <w:tc>
          <w:tcPr>
            <w:tcW w:type="dxa" w:w="16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Concentrate Here</w:t>
            </w:r>
          </w:p>
        </w:tc>
        <w:tc>
          <w:tcPr>
            <w:tcW w:type="dxa" w:w="13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w:t>
            </w:r>
          </w:p>
        </w:tc>
        <w:tc>
          <w:tcPr>
            <w:tcW w:type="dxa" w:w="2206"/>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Moderates trust effects</w:t>
            </w:r>
          </w:p>
        </w:tc>
      </w:tr>
      <w:tr>
        <w:tblPrEx>
          <w:shd w:val="clear" w:color="auto" w:fill="auto"/>
        </w:tblPrEx>
        <w:trPr>
          <w:trHeight w:val="780" w:hRule="atLeast"/>
        </w:trPr>
        <w:tc>
          <w:tcPr>
            <w:tcW w:type="dxa" w:w="83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w:t>
            </w:r>
          </w:p>
        </w:tc>
        <w:tc>
          <w:tcPr>
            <w:tcW w:type="dxa" w:w="360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Agent Network Quality &amp; Liquidity</w:t>
            </w:r>
          </w:p>
        </w:tc>
        <w:tc>
          <w:tcPr>
            <w:tcW w:type="dxa" w:w="16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Moderate</w:t>
            </w:r>
          </w:p>
        </w:tc>
        <w:tc>
          <w:tcPr>
            <w:tcW w:type="dxa" w:w="132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Medium</w:t>
            </w:r>
          </w:p>
        </w:tc>
        <w:tc>
          <w:tcPr>
            <w:tcW w:type="dxa" w:w="2206"/>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Critical for rural users</w:t>
            </w:r>
          </w:p>
        </w:tc>
      </w:tr>
    </w:tbl>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prioritized challenges provide clear direction for policy interventions under the Smart Bangladesh 2041 vision and directly inform the recommendations in Chapter 7.</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6.7 Prospects and Opportunities: Perceived Benefits, Growth Drivers, Future Intentions &amp; Projections to 2030/2041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Building on the structural model results (R</w:t>
      </w:r>
      <w:r>
        <w:rPr>
          <w:rFonts w:ascii="Times Roman" w:hAnsi="Times Roman" w:hint="default"/>
          <w:rtl w:val="0"/>
        </w:rPr>
        <w:t xml:space="preserve">² </w:t>
      </w:r>
      <w:r>
        <w:rPr>
          <w:rFonts w:ascii="Times Roman" w:hAnsi="Times Roman"/>
          <w:rtl w:val="0"/>
          <w:lang w:val="en-US"/>
        </w:rPr>
        <w:t>= 0.68 for Behavioral Intention) and the strong positive effects of Performance Expectancy (</w:t>
      </w:r>
      <w:r>
        <w:rPr>
          <w:rFonts w:ascii="Times Roman" w:hAnsi="Times Roman" w:hint="default"/>
          <w:rtl w:val="0"/>
        </w:rPr>
        <w:t xml:space="preserve">β </w:t>
      </w:r>
      <w:r>
        <w:rPr>
          <w:rFonts w:ascii="Times Roman" w:hAnsi="Times Roman"/>
          <w:rtl w:val="0"/>
          <w:lang w:val="en-US"/>
        </w:rPr>
        <w:t>= 0.41) and Trust Restoration (</w:t>
      </w:r>
      <w:r>
        <w:rPr>
          <w:rFonts w:ascii="Times Roman" w:hAnsi="Times Roman" w:hint="default"/>
          <w:rtl w:val="0"/>
        </w:rPr>
        <w:t xml:space="preserve">β </w:t>
      </w:r>
      <w:r>
        <w:rPr>
          <w:rFonts w:ascii="Times Roman" w:hAnsi="Times Roman"/>
          <w:rtl w:val="0"/>
          <w:lang w:val="en-US"/>
        </w:rPr>
        <w:t>= 0.37), this section synthesizes quantitative survey findings, qualitative expert insights, and secondary data to outline the prospects and opportunities for Bangladesh</w:t>
      </w:r>
      <w:r>
        <w:rPr>
          <w:rFonts w:ascii="Times Roman" w:hAnsi="Times Roman" w:hint="default"/>
          <w:rtl w:val="1"/>
        </w:rPr>
        <w:t>’</w:t>
      </w:r>
      <w:r>
        <w:rPr>
          <w:rFonts w:ascii="Times Roman" w:hAnsi="Times Roman"/>
          <w:rtl w:val="0"/>
          <w:lang w:val="en-US"/>
        </w:rPr>
        <w:t xml:space="preserve">s e-banking ecosystem. The analysis projects forward to the </w:t>
      </w:r>
      <w:r>
        <w:rPr>
          <w:rFonts w:ascii="Times Roman" w:hAnsi="Times Roman"/>
          <w:b w:val="1"/>
          <w:bCs w:val="1"/>
          <w:rtl w:val="0"/>
          <w:lang w:val="en-US"/>
        </w:rPr>
        <w:t>Cashless Economy Roadmap 2030</w:t>
      </w:r>
      <w:r>
        <w:rPr>
          <w:rFonts w:ascii="Times Roman" w:hAnsi="Times Roman"/>
          <w:rtl w:val="0"/>
          <w:lang w:val="en-US"/>
        </w:rPr>
        <w:t xml:space="preserve"> and </w:t>
      </w:r>
      <w:r>
        <w:rPr>
          <w:rFonts w:ascii="Times Roman" w:hAnsi="Times Roman"/>
          <w:b w:val="1"/>
          <w:bCs w:val="1"/>
          <w:rtl w:val="0"/>
          <w:lang w:val="de-DE"/>
        </w:rPr>
        <w:t>Smart Bangladesh 2041</w:t>
      </w:r>
      <w:r>
        <w:rPr>
          <w:rFonts w:ascii="Times Roman" w:hAnsi="Times Roman"/>
          <w:rtl w:val="0"/>
          <w:lang w:val="en-US"/>
        </w:rPr>
        <w:t xml:space="preserve"> vision, highlighting both measurable inclusion gains and emerging innovation pathways.</w:t>
      </w: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6.7.1 Financial Inclusion Impact Metrics (Account Ownership, Active Usage, Gender Gap Closure) and Econometric Projections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rPr>
        <w:t>Current Status (2025</w:t>
      </w:r>
      <w:r>
        <w:rPr>
          <w:rFonts w:ascii="Times Roman" w:hAnsi="Times Roman" w:hint="default"/>
          <w:b w:val="1"/>
          <w:bCs w:val="1"/>
          <w:rtl w:val="0"/>
        </w:rPr>
        <w:t>–</w:t>
      </w:r>
      <w:r>
        <w:rPr>
          <w:rFonts w:ascii="Times Roman" w:hAnsi="Times Roman"/>
          <w:b w:val="1"/>
          <w:bCs w:val="1"/>
          <w:rtl w:val="0"/>
        </w:rPr>
        <w:t>2026):</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Survey results (N = 592) aligned closely with national benchmarks from the World Bank </w:t>
      </w:r>
      <w:r>
        <w:rPr>
          <w:rFonts w:ascii="Times Roman" w:hAnsi="Times Roman"/>
          <w:i w:val="1"/>
          <w:iCs w:val="1"/>
          <w:rtl w:val="0"/>
          <w:lang w:val="en-US"/>
        </w:rPr>
        <w:t>Global Findex Database 2025</w:t>
      </w:r>
      <w:r>
        <w:rPr>
          <w:rFonts w:ascii="Times Roman" w:hAnsi="Times Roman"/>
          <w:rtl w:val="0"/>
          <w:lang w:val="en-US"/>
        </w:rPr>
        <w:t xml:space="preserve"> and Bangladesh Bank (2025):</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Account Ownership</w:t>
      </w:r>
      <w:r>
        <w:rPr>
          <w:rFonts w:ascii="Times Roman" w:hAnsi="Times Roman"/>
          <w:rtl w:val="0"/>
          <w:lang w:val="en-US"/>
        </w:rPr>
        <w:t>: 58.4% of adults (up from 42% in 2017)</w:t>
      </w:r>
    </w:p>
    <w:p>
      <w:pPr>
        <w:pStyle w:val="Default"/>
        <w:numPr>
          <w:ilvl w:val="0"/>
          <w:numId w:val="3"/>
        </w:numPr>
        <w:suppressAutoHyphens w:val="1"/>
        <w:spacing w:before="0" w:line="240" w:lineRule="auto"/>
        <w:jc w:val="both"/>
        <w:rPr>
          <w:rFonts w:ascii="Times Roman" w:hAnsi="Times Roman"/>
        </w:rPr>
      </w:pPr>
      <w:r>
        <w:rPr>
          <w:rFonts w:ascii="Times Roman" w:hAnsi="Times Roman"/>
          <w:b w:val="1"/>
          <w:bCs w:val="1"/>
          <w:rtl w:val="0"/>
        </w:rPr>
        <w:t>Active Digital Usage</w:t>
      </w:r>
      <w:r>
        <w:rPr>
          <w:rFonts w:ascii="Times Roman" w:hAnsi="Times Roman"/>
          <w:rtl w:val="0"/>
          <w:lang w:val="en-US"/>
        </w:rPr>
        <w:t xml:space="preserve"> (at least one transaction in past 30 days): 42.3%</w:t>
      </w:r>
    </w:p>
    <w:p>
      <w:pPr>
        <w:pStyle w:val="Default"/>
        <w:numPr>
          <w:ilvl w:val="0"/>
          <w:numId w:val="3"/>
        </w:numPr>
        <w:suppressAutoHyphens w:val="1"/>
        <w:spacing w:before="0" w:line="240" w:lineRule="auto"/>
        <w:jc w:val="both"/>
        <w:rPr>
          <w:rFonts w:ascii="Times Roman" w:hAnsi="Times Roman"/>
          <w:lang w:val="de-DE"/>
        </w:rPr>
      </w:pPr>
      <w:r>
        <w:rPr>
          <w:rFonts w:ascii="Times Roman" w:hAnsi="Times Roman"/>
          <w:b w:val="1"/>
          <w:bCs w:val="1"/>
          <w:rtl w:val="0"/>
          <w:lang w:val="de-DE"/>
        </w:rPr>
        <w:t>Gender Gap</w:t>
      </w:r>
      <w:r>
        <w:rPr>
          <w:rFonts w:ascii="Times Roman" w:hAnsi="Times Roman"/>
          <w:rtl w:val="0"/>
          <w:lang w:val="en-US"/>
        </w:rPr>
        <w:t>: 11.8 percentage points (Male: 64.2%, Female: 52.4%)</w:t>
      </w:r>
    </w:p>
    <w:p>
      <w:pPr>
        <w:pStyle w:val="Default"/>
        <w:numPr>
          <w:ilvl w:val="0"/>
          <w:numId w:val="3"/>
        </w:numPr>
        <w:suppressAutoHyphens w:val="1"/>
        <w:spacing w:before="0" w:line="240" w:lineRule="auto"/>
        <w:jc w:val="both"/>
        <w:rPr>
          <w:rFonts w:ascii="Times Roman" w:hAnsi="Times Roman"/>
        </w:rPr>
      </w:pPr>
      <w:r>
        <w:rPr>
          <w:rFonts w:ascii="Times Roman" w:hAnsi="Times Roman"/>
          <w:b w:val="1"/>
          <w:bCs w:val="1"/>
          <w:rtl w:val="0"/>
        </w:rPr>
        <w:t>Rural-Urban Gap</w:t>
      </w:r>
      <w:r>
        <w:rPr>
          <w:rFonts w:ascii="Times Roman" w:hAnsi="Times Roman"/>
          <w:rtl w:val="0"/>
          <w:lang w:val="en-US"/>
        </w:rPr>
        <w:t>: 23.6 percentage points (Urban: 68.7%, Rural: 45.1%)</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rPr>
        <w:t>MFS Dominance</w:t>
      </w:r>
      <w:r>
        <w:rPr>
          <w:rFonts w:ascii="Times Roman" w:hAnsi="Times Roman"/>
          <w:rtl w:val="0"/>
          <w:lang w:val="en-US"/>
        </w:rPr>
        <w:t>: 78.6% of active users primarily rely on mobile financial services, with bKash, Nagad, and Rocket accounting for over 90% of digital transactions.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Qualitative Insights (Key Informants):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Experts from Bangladesh Bank, World Bank, and MFS providers expressed strong optimism. One senior Bangladesh Bank official stated: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With the new Digital Bank Guidelines and open banking pilots, we are on track to achieve 80%+ inclusion by 2030. The main challenge is converting dormant accounts into active users.</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Econometric Projections (2026</w:t>
      </w:r>
      <w:r>
        <w:rPr>
          <w:rFonts w:ascii="Times Roman" w:hAnsi="Times Roman" w:hint="default"/>
          <w:b w:val="1"/>
          <w:bCs w:val="1"/>
          <w:rtl w:val="0"/>
        </w:rPr>
        <w:t>–</w:t>
      </w:r>
      <w:r>
        <w:rPr>
          <w:rFonts w:ascii="Times Roman" w:hAnsi="Times Roman"/>
          <w:b w:val="1"/>
          <w:bCs w:val="1"/>
          <w:rtl w:val="0"/>
        </w:rPr>
        <w:t>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Using a combination of linear trend extrapolation from 2015</w:t>
      </w:r>
      <w:r>
        <w:rPr>
          <w:rFonts w:ascii="Times Roman" w:hAnsi="Times Roman" w:hint="default"/>
          <w:rtl w:val="0"/>
        </w:rPr>
        <w:t>–</w:t>
      </w:r>
      <w:r>
        <w:rPr>
          <w:rFonts w:ascii="Times Roman" w:hAnsi="Times Roman"/>
          <w:rtl w:val="0"/>
          <w:lang w:val="en-US"/>
        </w:rPr>
        <w:t>2025 data and logistic growth modeling (aligned with Findex and GSMA methodologies), the following projections were derived:</w:t>
      </w:r>
    </w:p>
    <w:p>
      <w:pPr>
        <w:pStyle w:val="Default"/>
        <w:suppressAutoHyphens w:val="1"/>
        <w:spacing w:before="0" w:line="240" w:lineRule="auto"/>
        <w:rPr>
          <w:rFonts w:ascii="Times Roman" w:cs="Times Roman" w:hAnsi="Times Roman" w:eastAsia="Times Roman"/>
        </w:rPr>
      </w:pP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113"/>
        <w:gridCol w:w="1675"/>
        <w:gridCol w:w="1701"/>
        <w:gridCol w:w="1444"/>
        <w:gridCol w:w="1904"/>
        <w:gridCol w:w="1801"/>
      </w:tblGrid>
      <w:tr>
        <w:tblPrEx>
          <w:shd w:val="clear" w:color="auto" w:fill="auto"/>
        </w:tblPrEx>
        <w:trPr>
          <w:trHeight w:val="1140" w:hRule="atLeast"/>
        </w:trPr>
        <w:tc>
          <w:tcPr>
            <w:tcW w:type="dxa" w:w="111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Year</w:t>
            </w:r>
          </w:p>
        </w:tc>
        <w:tc>
          <w:tcPr>
            <w:tcW w:type="dxa" w:w="167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Account Ownership</w:t>
            </w:r>
          </w:p>
        </w:tc>
        <w:tc>
          <w:tcPr>
            <w:tcW w:type="dxa" w:w="17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Active Digital Usage</w:t>
            </w:r>
          </w:p>
        </w:tc>
        <w:tc>
          <w:tcPr>
            <w:tcW w:type="dxa" w:w="14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Gender Gap (pp)</w:t>
            </w:r>
          </w:p>
        </w:tc>
        <w:tc>
          <w:tcPr>
            <w:tcW w:type="dxa" w:w="19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Rural-Urban Gap (pp)</w:t>
            </w:r>
          </w:p>
        </w:tc>
        <w:tc>
          <w:tcPr>
            <w:tcW w:type="dxa" w:w="18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Projected MFS Share</w:t>
            </w:r>
          </w:p>
        </w:tc>
      </w:tr>
      <w:tr>
        <w:tblPrEx>
          <w:shd w:val="clear" w:color="auto" w:fill="auto"/>
        </w:tblPrEx>
        <w:trPr>
          <w:trHeight w:val="1133" w:hRule="atLeast"/>
        </w:trPr>
        <w:tc>
          <w:tcPr>
            <w:tcW w:type="dxa" w:w="111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2025 (Actual)</w:t>
            </w:r>
          </w:p>
        </w:tc>
        <w:tc>
          <w:tcPr>
            <w:tcW w:type="dxa" w:w="167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58.4%</w:t>
            </w:r>
          </w:p>
        </w:tc>
        <w:tc>
          <w:tcPr>
            <w:tcW w:type="dxa" w:w="17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42.3%</w:t>
            </w:r>
          </w:p>
        </w:tc>
        <w:tc>
          <w:tcPr>
            <w:tcW w:type="dxa" w:w="14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11.8</w:t>
            </w:r>
          </w:p>
        </w:tc>
        <w:tc>
          <w:tcPr>
            <w:tcW w:type="dxa" w:w="19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23.6</w:t>
            </w:r>
          </w:p>
        </w:tc>
        <w:tc>
          <w:tcPr>
            <w:tcW w:type="dxa" w:w="18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78.6%</w:t>
            </w:r>
          </w:p>
        </w:tc>
      </w:tr>
      <w:tr>
        <w:tblPrEx>
          <w:shd w:val="clear" w:color="auto" w:fill="auto"/>
        </w:tblPrEx>
        <w:trPr>
          <w:trHeight w:val="618" w:hRule="atLeast"/>
        </w:trPr>
        <w:tc>
          <w:tcPr>
            <w:tcW w:type="dxa" w:w="111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2030</w:t>
            </w:r>
          </w:p>
        </w:tc>
        <w:tc>
          <w:tcPr>
            <w:tcW w:type="dxa" w:w="167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81.2%</w:t>
            </w:r>
          </w:p>
        </w:tc>
        <w:tc>
          <w:tcPr>
            <w:tcW w:type="dxa" w:w="17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56.8%</w:t>
            </w:r>
          </w:p>
        </w:tc>
        <w:tc>
          <w:tcPr>
            <w:tcW w:type="dxa" w:w="14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6.4</w:t>
            </w:r>
          </w:p>
        </w:tc>
        <w:tc>
          <w:tcPr>
            <w:tcW w:type="dxa" w:w="19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12.9</w:t>
            </w:r>
          </w:p>
        </w:tc>
        <w:tc>
          <w:tcPr>
            <w:tcW w:type="dxa" w:w="18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82.4%</w:t>
            </w:r>
          </w:p>
        </w:tc>
      </w:tr>
      <w:tr>
        <w:tblPrEx>
          <w:shd w:val="clear" w:color="auto" w:fill="auto"/>
        </w:tblPrEx>
        <w:trPr>
          <w:trHeight w:val="618" w:hRule="atLeast"/>
        </w:trPr>
        <w:tc>
          <w:tcPr>
            <w:tcW w:type="dxa" w:w="111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2041</w:t>
            </w:r>
          </w:p>
        </w:tc>
        <w:tc>
          <w:tcPr>
            <w:tcW w:type="dxa" w:w="167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92.7%</w:t>
            </w:r>
          </w:p>
        </w:tc>
        <w:tc>
          <w:tcPr>
            <w:tcW w:type="dxa" w:w="170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74.3%</w:t>
            </w:r>
          </w:p>
        </w:tc>
        <w:tc>
          <w:tcPr>
            <w:tcW w:type="dxa" w:w="14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2.1</w:t>
            </w:r>
          </w:p>
        </w:tc>
        <w:tc>
          <w:tcPr>
            <w:tcW w:type="dxa" w:w="19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5.8</w:t>
            </w:r>
          </w:p>
        </w:tc>
        <w:tc>
          <w:tcPr>
            <w:tcW w:type="dxa" w:w="1800"/>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68.5%</w:t>
            </w:r>
          </w:p>
        </w:tc>
      </w:tr>
    </w:tbl>
    <w:p>
      <w:pPr>
        <w:pStyle w:val="Default"/>
        <w:suppressAutoHyphens w:val="1"/>
        <w:spacing w:before="0" w:line="240" w:lineRule="auto"/>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cs="Times Roman" w:hAnsi="Times Roman" w:eastAsia="Times Roman"/>
        </w:rPr>
        <mc:AlternateContent>
          <mc:Choice Requires="wpg">
            <w:drawing xmlns:a="http://schemas.openxmlformats.org/drawingml/2006/main">
              <wp:anchor distT="152400" distB="152400" distL="152400" distR="152400" simplePos="0" relativeHeight="251681792" behindDoc="0" locked="0" layoutInCell="1" allowOverlap="1">
                <wp:simplePos x="0" y="0"/>
                <wp:positionH relativeFrom="margin">
                  <wp:posOffset>485548</wp:posOffset>
                </wp:positionH>
                <wp:positionV relativeFrom="page">
                  <wp:posOffset>1069030</wp:posOffset>
                </wp:positionV>
                <wp:extent cx="5667120" cy="3578072"/>
                <wp:effectExtent l="0" t="0" r="0" b="0"/>
                <wp:wrapThrough wrapText="bothSides" distL="152400" distR="152400">
                  <wp:wrapPolygon edited="1">
                    <wp:start x="0" y="0"/>
                    <wp:lineTo x="21600" y="0"/>
                    <wp:lineTo x="21600" y="21600"/>
                    <wp:lineTo x="0" y="21600"/>
                    <wp:lineTo x="0" y="0"/>
                  </wp:wrapPolygon>
                </wp:wrapThrough>
                <wp:docPr id="1073741867" name="officeArt object" descr="pasted-image.tiff"/>
                <wp:cNvGraphicFramePr/>
                <a:graphic xmlns:a="http://schemas.openxmlformats.org/drawingml/2006/main">
                  <a:graphicData uri="http://schemas.microsoft.com/office/word/2010/wordprocessingGroup">
                    <wpg:wgp>
                      <wpg:cNvGrpSpPr/>
                      <wpg:grpSpPr>
                        <a:xfrm>
                          <a:off x="0" y="0"/>
                          <a:ext cx="5667120" cy="3578072"/>
                          <a:chOff x="0" y="0"/>
                          <a:chExt cx="5667119" cy="3578071"/>
                        </a:xfrm>
                      </wpg:grpSpPr>
                      <pic:pic xmlns:pic="http://schemas.openxmlformats.org/drawingml/2006/picture">
                        <pic:nvPicPr>
                          <pic:cNvPr id="1073741866" name="pasted-image.tiff" descr="pasted-image.tiff"/>
                          <pic:cNvPicPr>
                            <a:picLocks noChangeAspect="1"/>
                          </pic:cNvPicPr>
                        </pic:nvPicPr>
                        <pic:blipFill>
                          <a:blip r:embed="rId35">
                            <a:extLst/>
                          </a:blip>
                          <a:stretch>
                            <a:fillRect/>
                          </a:stretch>
                        </pic:blipFill>
                        <pic:spPr>
                          <a:xfrm>
                            <a:off x="127000" y="88900"/>
                            <a:ext cx="5413120" cy="3247872"/>
                          </a:xfrm>
                          <a:prstGeom prst="rect">
                            <a:avLst/>
                          </a:prstGeom>
                          <a:ln>
                            <a:noFill/>
                          </a:ln>
                          <a:effectLst/>
                        </pic:spPr>
                      </pic:pic>
                      <pic:pic xmlns:pic="http://schemas.openxmlformats.org/drawingml/2006/picture">
                        <pic:nvPicPr>
                          <pic:cNvPr id="1073741865" name="pasted-image.tiff" descr="pasted-image.tiff"/>
                          <pic:cNvPicPr>
                            <a:picLocks noChangeAspect="0"/>
                          </pic:cNvPicPr>
                        </pic:nvPicPr>
                        <pic:blipFill>
                          <a:blip r:embed="rId36">
                            <a:extLst/>
                          </a:blip>
                          <a:stretch>
                            <a:fillRect/>
                          </a:stretch>
                        </pic:blipFill>
                        <pic:spPr>
                          <a:xfrm>
                            <a:off x="0" y="0"/>
                            <a:ext cx="5667120" cy="3578072"/>
                          </a:xfrm>
                          <a:prstGeom prst="rect">
                            <a:avLst/>
                          </a:prstGeom>
                          <a:effectLst/>
                        </pic:spPr>
                      </pic:pic>
                    </wpg:wgp>
                  </a:graphicData>
                </a:graphic>
              </wp:anchor>
            </w:drawing>
          </mc:Choice>
          <mc:Fallback>
            <w:pict>
              <v:group id="_x0000_s1053" style="visibility:visible;position:absolute;margin-left:38.2pt;margin-top:84.2pt;width:446.2pt;height:281.7pt;z-index:251681792;mso-position-horizontal:absolute;mso-position-horizontal-relative:margin;mso-position-vertical:absolute;mso-position-vertical-relative:page;mso-wrap-distance-left:12.0pt;mso-wrap-distance-top:12.0pt;mso-wrap-distance-right:12.0pt;mso-wrap-distance-bottom:12.0pt;" coordorigin="0,0" coordsize="5667120,3578072">
                <w10:wrap type="through" side="bothSides" anchorx="margin" anchory="page"/>
                <v:shape id="_x0000_s1054" type="#_x0000_t75" style="position:absolute;left:127000;top:88900;width:5413120;height:3247872;">
                  <v:imagedata r:id="rId35" o:title="pasted-image.tiff"/>
                </v:shape>
                <v:shape id="_x0000_s1055" type="#_x0000_t75" style="position:absolute;left:0;top:0;width:5667120;height:3578072;">
                  <v:imagedata r:id="rId36" o:title=""/>
                </v:shape>
              </v:group>
            </w:pict>
          </mc:Fallback>
        </mc:AlternateContent>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6.5:</w:t>
      </w:r>
      <w:r>
        <w:rPr>
          <w:rFonts w:ascii="Times Roman" w:hAnsi="Times Roman"/>
          <w:rtl w:val="0"/>
        </w:rPr>
        <w:t xml:space="preserve"> </w:t>
      </w:r>
      <w:r>
        <w:rPr>
          <w:rFonts w:ascii="Times Roman" w:hAnsi="Times Roman"/>
          <w:i w:val="1"/>
          <w:iCs w:val="1"/>
          <w:rtl w:val="0"/>
          <w:lang w:val="en-US"/>
        </w:rPr>
        <w:t>Financial Inclusion Projections (2025</w:t>
      </w:r>
      <w:r>
        <w:rPr>
          <w:rFonts w:ascii="Times Roman" w:hAnsi="Times Roman" w:hint="default"/>
          <w:i w:val="1"/>
          <w:iCs w:val="1"/>
          <w:rtl w:val="0"/>
        </w:rPr>
        <w:t>–</w:t>
      </w:r>
      <w:r>
        <w:rPr>
          <w:rFonts w:ascii="Times Roman" w:hAnsi="Times Roman"/>
          <w:i w:val="1"/>
          <w:iCs w:val="1"/>
          <w:rtl w:val="0"/>
        </w:rPr>
        <w:t>2041)</w:t>
      </w:r>
      <w:r>
        <w:rPr>
          <w:rFonts w:ascii="Times Roman" w:hAnsi="Times Roman"/>
          <w:i w:val="1"/>
          <w:iCs w:val="1"/>
          <w:rtl w:val="0"/>
          <w:lang w:val="en-US"/>
        </w:rPr>
        <w:t xml:space="preserve">. </w:t>
      </w:r>
      <w:r>
        <w:rPr>
          <w:rFonts w:ascii="Times Roman" w:hAnsi="Times Roman"/>
          <w:b w:val="1"/>
          <w:bCs w:val="1"/>
          <w:rtl w:val="0"/>
          <w:lang w:val="en-US"/>
        </w:rPr>
        <w:t>Financial Express. (2025, July 8).</w:t>
      </w:r>
    </w:p>
    <w:p>
      <w:pPr>
        <w:pStyle w:val="Default"/>
        <w:suppressAutoHyphens w:val="1"/>
        <w:spacing w:before="0" w:line="240" w:lineRule="auto"/>
        <w:rPr>
          <w:rFonts w:ascii="Times Roman" w:cs="Times Roman" w:hAnsi="Times Roman" w:eastAsia="Times Roman"/>
          <w:b w:val="1"/>
          <w:bCs w:val="1"/>
          <w:i w:val="1"/>
          <w:i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i w:val="0"/>
          <w:iCs w:val="0"/>
          <w:rtl w:val="0"/>
          <w:lang w:val="en-US"/>
        </w:rPr>
        <w:t>Description:</w:t>
      </w:r>
      <w:r>
        <w:rPr>
          <w:rFonts w:ascii="Times Roman" w:hAnsi="Times Roman"/>
          <w:i w:val="0"/>
          <w:iCs w:val="0"/>
          <w:rtl w:val="0"/>
        </w:rPr>
        <w:t xml:space="preserve"> </w:t>
      </w:r>
      <w:r>
        <w:rPr>
          <w:rFonts w:ascii="Times Roman" w:hAnsi="Times Roman"/>
          <w:i w:val="1"/>
          <w:iCs w:val="1"/>
          <w:rtl w:val="0"/>
          <w:lang w:val="en-US"/>
        </w:rPr>
        <w:t>Figure 6.5: Econometric projections of digital financial inclusion and gender gap closure towards the Smart Bangladesh 2041 vision. Dotted lines represent forecasted trajectories based on logistic growth modeling.</w:t>
      </w: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Key Growth Drivers Identified</w:t>
      </w:r>
      <w:r>
        <w:rPr>
          <w:rFonts w:ascii="Times Roman" w:hAnsi="Times Roman"/>
          <w:b w:val="0"/>
          <w:bCs w:val="0"/>
          <w:rtl w:val="0"/>
        </w:rPr>
        <w:t>:</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Continued expansion of agent networks (projected 1.8 million by 2030)</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Full implementation of e-KYC and biometric authentication (target: 100% new onboarding by Dec 2026)</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Open banking APIs and interoperability improvements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Government-to-Person (G2P) digitization (already at 92%)</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Gender Gap Closure Projection</w:t>
      </w:r>
      <w:r>
        <w:rPr>
          <w:rFonts w:ascii="Times Roman" w:hAnsi="Times Roman"/>
          <w:rtl w:val="0"/>
          <w:lang w:val="en-US"/>
        </w:rPr>
        <w:t>: The gender gap is expected to narrow significantly by 2030 due to targeted interventions (female agent recruitment, women-centric products, and digital literacy programs), reaching near parity by 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These projections are consistent with the </w:t>
      </w:r>
      <w:r>
        <w:rPr>
          <w:rFonts w:ascii="Times Roman" w:hAnsi="Times Roman"/>
          <w:b w:val="1"/>
          <w:bCs w:val="1"/>
          <w:rtl w:val="0"/>
          <w:lang w:val="en-US"/>
        </w:rPr>
        <w:t>Cashless Economy Roadmap 2030</w:t>
      </w:r>
      <w:r>
        <w:rPr>
          <w:rFonts w:ascii="Times Roman" w:hAnsi="Times Roman"/>
          <w:rtl w:val="0"/>
          <w:lang w:val="en-US"/>
        </w:rPr>
        <w:t xml:space="preserve"> target of reducing cash transactions to below 25% of retail payments and the </w:t>
      </w:r>
      <w:r>
        <w:rPr>
          <w:rFonts w:ascii="Times Roman" w:hAnsi="Times Roman"/>
          <w:b w:val="1"/>
          <w:bCs w:val="1"/>
          <w:rtl w:val="0"/>
          <w:lang w:val="de-DE"/>
        </w:rPr>
        <w:t>Smart Bangladesh 2041</w:t>
      </w:r>
      <w:r>
        <w:rPr>
          <w:rFonts w:ascii="Times Roman" w:hAnsi="Times Roman"/>
          <w:rtl w:val="0"/>
          <w:lang w:val="en-US"/>
        </w:rPr>
        <w:t xml:space="preserve"> vision of near-universal digital financial access.</w:t>
      </w: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6.7.2 Innovation Opportunities: AI-Driven Credit Scoring, Biometrics, CBDC Pilot Readiness, Open Finance APIs, Climate &amp; Green Fintech</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Survey respondents and key informants identified several high-potential innovation pathways that could accelerate both inclusion and sector efficiency:</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1. AI-Driven Credit Scoring</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Current Status</w:t>
      </w:r>
      <w:r>
        <w:rPr>
          <w:rFonts w:ascii="Times Roman" w:hAnsi="Times Roman"/>
          <w:rtl w:val="0"/>
          <w:lang w:val="en-US"/>
        </w:rPr>
        <w:t>: Limited adoption (mainly by fintech startups).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Opportunity</w:t>
      </w:r>
      <w:r>
        <w:rPr>
          <w:rFonts w:ascii="Times Roman" w:hAnsi="Times Roman"/>
          <w:rtl w:val="0"/>
          <w:lang w:val="en-US"/>
        </w:rPr>
        <w:t>: 68% of survey respondents expressed willingness to use AI-based micro-loans if approval is faster and collateral-free.</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Impact</w:t>
      </w:r>
      <w:r>
        <w:rPr>
          <w:rFonts w:ascii="Times Roman" w:hAnsi="Times Roman"/>
          <w:rtl w:val="0"/>
          <w:lang w:val="en-US"/>
        </w:rPr>
        <w:t>: Could significantly boost SME and women</w:t>
      </w:r>
      <w:r>
        <w:rPr>
          <w:rFonts w:ascii="Times Roman" w:hAnsi="Times Roman" w:hint="default"/>
          <w:rtl w:val="1"/>
        </w:rPr>
        <w:t>’</w:t>
      </w:r>
      <w:r>
        <w:rPr>
          <w:rFonts w:ascii="Times Roman" w:hAnsi="Times Roman"/>
          <w:rtl w:val="0"/>
          <w:lang w:val="en-US"/>
        </w:rPr>
        <w:t>s entrepreneurship financing. Experts predict a 25</w:t>
      </w:r>
      <w:r>
        <w:rPr>
          <w:rFonts w:ascii="Times Roman" w:hAnsi="Times Roman" w:hint="default"/>
          <w:rtl w:val="0"/>
        </w:rPr>
        <w:t>–</w:t>
      </w:r>
      <w:r>
        <w:rPr>
          <w:rFonts w:ascii="Times Roman" w:hAnsi="Times Roman"/>
          <w:rtl w:val="0"/>
          <w:lang w:val="en-US"/>
        </w:rPr>
        <w:t>35% increase in digital lending volume by 2030.</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2. Biometric Authentication</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Already showing strong results in pilot programs (35</w:t>
      </w:r>
      <w:r>
        <w:rPr>
          <w:rFonts w:ascii="Times Roman" w:hAnsi="Times Roman" w:hint="default"/>
          <w:rtl w:val="0"/>
        </w:rPr>
        <w:t>–</w:t>
      </w:r>
      <w:r>
        <w:rPr>
          <w:rFonts w:ascii="Times Roman" w:hAnsi="Times Roman"/>
          <w:rtl w:val="0"/>
          <w:lang w:val="en-US"/>
        </w:rPr>
        <w:t>40% reduction in fraud incidents).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Full-scale rollout expected by 2027</w:t>
      </w:r>
      <w:r>
        <w:rPr>
          <w:rFonts w:ascii="Times Roman" w:hAnsi="Times Roman" w:hint="default"/>
          <w:rtl w:val="0"/>
        </w:rPr>
        <w:t>–</w:t>
      </w:r>
      <w:r>
        <w:rPr>
          <w:rFonts w:ascii="Times Roman" w:hAnsi="Times Roman"/>
          <w:rtl w:val="0"/>
          <w:lang w:val="en-US"/>
        </w:rPr>
        <w:t xml:space="preserve">2028, further strengthening </w:t>
      </w:r>
      <w:r>
        <w:rPr>
          <w:rFonts w:ascii="Times Roman" w:hAnsi="Times Roman"/>
          <w:b w:val="1"/>
          <w:bCs w:val="1"/>
          <w:rtl w:val="0"/>
          <w:lang w:val="en-US"/>
        </w:rPr>
        <w:t>Trust Restoration</w:t>
      </w:r>
      <w:r>
        <w:rPr>
          <w:rFonts w:ascii="Times Roman" w:hAnsi="Times Roman"/>
          <w:rtl w:val="0"/>
          <w:lang w:val="en-US"/>
        </w:rPr>
        <w:t xml:space="preserve"> (currently the second strongest predictor of intention).</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3. CBDC Pilot Readiness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Bangladesh Bank is in the research phase (aligned with BIS and IMF frameworks).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 xml:space="preserve">74% of key informants believe a </w:t>
      </w:r>
      <w:r>
        <w:rPr>
          <w:rFonts w:ascii="Times Roman" w:hAnsi="Times Roman"/>
          <w:b w:val="1"/>
          <w:bCs w:val="1"/>
          <w:rtl w:val="0"/>
          <w:lang w:val="en-US"/>
        </w:rPr>
        <w:t>wholesale CBDC</w:t>
      </w:r>
      <w:r>
        <w:rPr>
          <w:rFonts w:ascii="Times Roman" w:hAnsi="Times Roman"/>
          <w:rtl w:val="0"/>
          <w:lang w:val="en-US"/>
        </w:rPr>
        <w:t xml:space="preserve"> pilot could launch by 2028</w:t>
      </w:r>
      <w:r>
        <w:rPr>
          <w:rFonts w:ascii="Times Roman" w:hAnsi="Times Roman" w:hint="default"/>
          <w:rtl w:val="0"/>
        </w:rPr>
        <w:t>–</w:t>
      </w:r>
      <w:r>
        <w:rPr>
          <w:rFonts w:ascii="Times Roman" w:hAnsi="Times Roman"/>
          <w:rtl w:val="0"/>
          <w:lang w:val="en-US"/>
        </w:rPr>
        <w:t>2029, followed by limited retail use by 2032.</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Potential to enhance interoperability and reduce settlement risks.</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4. Open Finance APIs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Pilots under the 2025 Digital Bank Guidelines are progressing well.</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Expected to enable personalized products (e.g., embedded insurance, savings automation) and increase competition, reducing market concentration (current HHI &gt; 2,800).</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nl-NL"/>
        </w:rPr>
        <w:t>5. Climate &amp; Green Fintech</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Emerging opportunity linked to Bangladesh</w:t>
      </w:r>
      <w:r>
        <w:rPr>
          <w:rFonts w:ascii="Times Roman" w:hAnsi="Times Roman" w:hint="default"/>
          <w:rtl w:val="1"/>
        </w:rPr>
        <w:t>’</w:t>
      </w:r>
      <w:r>
        <w:rPr>
          <w:rFonts w:ascii="Times Roman" w:hAnsi="Times Roman"/>
          <w:rtl w:val="0"/>
          <w:lang w:val="en-US"/>
        </w:rPr>
        <w:t>s climate vulnerability.</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Experts highlighted potential for digital green micro-credit, carbon-linked savings products, and climate insurance via MFS platforms.</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Aligns with the environmental pillar of Smart Bangladesh 2041.</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Qualitative Synthesis from Experts</w:t>
      </w:r>
      <w:r>
        <w:rPr>
          <w:rFonts w:ascii="Times Roman" w:hAnsi="Times Roman"/>
          <w:b w:val="0"/>
          <w:bCs w:val="0"/>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fintech CEO summarized the opportunity landscape:</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 xml:space="preserve">The next five years will be defined by convergence </w:t>
      </w:r>
      <w:r>
        <w:rPr>
          <w:rFonts w:ascii="Times Roman" w:hAnsi="Times Roman" w:hint="default"/>
          <w:rtl w:val="0"/>
          <w:lang w:val="en-US"/>
        </w:rPr>
        <w:t xml:space="preserve">— </w:t>
      </w:r>
      <w:r>
        <w:rPr>
          <w:rFonts w:ascii="Times Roman" w:hAnsi="Times Roman"/>
          <w:rtl w:val="0"/>
          <w:lang w:val="en-US"/>
        </w:rPr>
        <w:t>AI + biometrics + open data. Bangladesh has the mobile penetration and regulatory support to leapfrog traditional banking models, but we must fix trust and last-mile issues first.</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Projected Impact by 2030</w:t>
      </w:r>
      <w:r>
        <w:rPr>
          <w:rFonts w:ascii="Times Roman" w:hAnsi="Times Roman"/>
          <w:b w:val="0"/>
          <w:bCs w:val="0"/>
          <w:rtl w:val="0"/>
        </w:rPr>
        <w:t>:</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Digital lending volume: BDT 35,000+ crore (from ~BDT 12,000 crore in 2024)</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Active digital users: 85+ million (from current ~55 million)</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Reduction in gender gap: From 11.8 pp to under 7 pp</w: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jc w:val="both"/>
        <w:rPr>
          <w:rFonts w:ascii="Times Roman" w:cs="Times Roman" w:hAnsi="Times Roman" w:eastAsia="Times Roman"/>
          <w:b w:val="1"/>
          <w:bCs w:val="1"/>
          <w:sz w:val="28"/>
          <w:szCs w:val="28"/>
        </w:rPr>
      </w:pPr>
    </w:p>
    <w:p>
      <w:pPr>
        <w:pStyle w:val="Default"/>
        <w:suppressAutoHyphens w:val="1"/>
        <w:spacing w:before="0" w:after="281" w:line="240" w:lineRule="auto"/>
        <w:jc w:val="both"/>
        <w:rPr>
          <w:rFonts w:ascii="Times Roman" w:cs="Times Roman" w:hAnsi="Times Roman" w:eastAsia="Times Roman"/>
          <w:b w:val="1"/>
          <w:bCs w:val="1"/>
          <w:sz w:val="28"/>
          <w:szCs w:val="28"/>
        </w:rPr>
      </w:pPr>
      <w:r>
        <w:rPr>
          <w:rFonts w:ascii="Times Roman" w:hAnsi="Times Roman"/>
          <w:b w:val="1"/>
          <w:bCs w:val="1"/>
          <w:sz w:val="28"/>
          <w:szCs w:val="28"/>
          <w:rtl w:val="0"/>
          <w:lang w:val="en-US"/>
        </w:rPr>
        <w:t>Overall Synthesis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findings from both the structural model and expert interviews indicate that Bangladesh</w:t>
      </w:r>
      <w:r>
        <w:rPr>
          <w:rFonts w:ascii="Times Roman" w:hAnsi="Times Roman" w:hint="default"/>
          <w:rtl w:val="1"/>
        </w:rPr>
        <w:t>’</w:t>
      </w:r>
      <w:r>
        <w:rPr>
          <w:rFonts w:ascii="Times Roman" w:hAnsi="Times Roman"/>
          <w:rtl w:val="0"/>
          <w:lang w:val="en-US"/>
        </w:rPr>
        <w:t>s e-banking ecosystem is at an inflection point. With strong foundational growth in MFS, improving governance frameworks, and emerging technological innovations, the country is well-positioned to achieve ambitious inclusion targets by 2030 and realize the Smart Bangladesh 2041 vision.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However, realizing these prospects requires prioritized action on the challenges identified in Section 6.6 </w:t>
      </w:r>
      <w:r>
        <w:rPr>
          <w:rFonts w:ascii="Times Roman" w:hAnsi="Times Roman" w:hint="default"/>
          <w:rtl w:val="0"/>
          <w:lang w:val="en-US"/>
        </w:rPr>
        <w:t xml:space="preserve">— </w:t>
      </w:r>
      <w:r>
        <w:rPr>
          <w:rFonts w:ascii="Times Roman" w:hAnsi="Times Roman"/>
          <w:rtl w:val="0"/>
          <w:lang w:val="en-US"/>
        </w:rPr>
        <w:t xml:space="preserve">particularly cybersecurity governance, digital literacy, and last-mile agent quality </w:t>
      </w:r>
      <w:r>
        <w:rPr>
          <w:rFonts w:ascii="Times Roman" w:hAnsi="Times Roman" w:hint="default"/>
          <w:rtl w:val="0"/>
          <w:lang w:val="en-US"/>
        </w:rPr>
        <w:t xml:space="preserve">— </w:t>
      </w:r>
      <w:r>
        <w:rPr>
          <w:rFonts w:ascii="Times Roman" w:hAnsi="Times Roman"/>
          <w:rtl w:val="0"/>
          <w:lang w:val="en-US"/>
        </w:rPr>
        <w:t xml:space="preserve">to convert high </w:t>
      </w:r>
      <w:r>
        <w:rPr>
          <w:rFonts w:ascii="Times Roman" w:hAnsi="Times Roman"/>
          <w:b w:val="1"/>
          <w:bCs w:val="1"/>
          <w:rtl w:val="0"/>
          <w:lang w:val="en-US"/>
        </w:rPr>
        <w:t>Behavioral Intention</w:t>
      </w:r>
      <w:r>
        <w:rPr>
          <w:rFonts w:ascii="Times Roman" w:hAnsi="Times Roman"/>
          <w:rtl w:val="0"/>
          <w:lang w:val="en-US"/>
        </w:rPr>
        <w:t xml:space="preserve"> into sustained, inclusive </w:t>
      </w:r>
      <w:r>
        <w:rPr>
          <w:rFonts w:ascii="Times Roman" w:hAnsi="Times Roman"/>
          <w:b w:val="1"/>
          <w:bCs w:val="1"/>
          <w:rtl w:val="0"/>
          <w:lang w:val="en-US"/>
        </w:rPr>
        <w:t>Usage Behavior</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prospects and opportunities form the basis for the policy recommendations presented in Chapter 7.</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6.8 In-Depth Qualitative Themes and Expert Narratives (Quotations, Thick Descriptions, Reflexive Commentary)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Thematic analysis of 28 in-depth interviews revealed four dominant themes that powerfully explain and extend the quantitative findings. These themes were developed using Braun and Clarke</w:t>
      </w:r>
      <w:r>
        <w:rPr>
          <w:rFonts w:ascii="Times Roman" w:hAnsi="Times Roman" w:hint="default"/>
          <w:rtl w:val="1"/>
        </w:rPr>
        <w:t>’</w:t>
      </w:r>
      <w:r>
        <w:rPr>
          <w:rFonts w:ascii="Times Roman" w:hAnsi="Times Roman"/>
          <w:rtl w:val="0"/>
          <w:lang w:val="en-US"/>
        </w:rPr>
        <w:t>s (2022) reflexive six-phase approach, with thick descriptions and direct quotations presented below.</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 xml:space="preserve">Theme 1: </w:t>
      </w:r>
      <w:r>
        <w:rPr>
          <w:rFonts w:ascii="Times Roman" w:hAnsi="Times Roman" w:hint="default"/>
          <w:b w:val="1"/>
          <w:bCs w:val="1"/>
          <w:rtl w:val="1"/>
          <w:lang w:val="ar-SA" w:bidi="ar-SA"/>
        </w:rPr>
        <w:t>“</w:t>
      </w:r>
      <w:r>
        <w:rPr>
          <w:rFonts w:ascii="Times Roman" w:hAnsi="Times Roman"/>
          <w:b w:val="1"/>
          <w:bCs w:val="1"/>
          <w:rtl w:val="0"/>
          <w:lang w:val="en-US"/>
        </w:rPr>
        <w:t>Trust is Fragile but Recoverable</w:t>
      </w:r>
      <w:r>
        <w:rPr>
          <w:rFonts w:ascii="Times Roman" w:hAnsi="Times Roman" w:hint="default"/>
          <w:b w:val="1"/>
          <w:bCs w:val="1"/>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Post-2024</w:t>
      </w:r>
      <w:r>
        <w:rPr>
          <w:rFonts w:ascii="Times Roman" w:hAnsi="Times Roman" w:hint="default"/>
          <w:rtl w:val="0"/>
        </w:rPr>
        <w:t>–</w:t>
      </w:r>
      <w:r>
        <w:rPr>
          <w:rFonts w:ascii="Times Roman" w:hAnsi="Times Roman"/>
          <w:rtl w:val="0"/>
          <w:lang w:val="en-US"/>
        </w:rPr>
        <w:t>25 cyber incidents have created deep but not irreversible damage. A senior BFIU official stated: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People don</w:t>
      </w:r>
      <w:r>
        <w:rPr>
          <w:rFonts w:ascii="Times Roman" w:hAnsi="Times Roman" w:hint="default"/>
          <w:rtl w:val="1"/>
        </w:rPr>
        <w:t>’</w:t>
      </w:r>
      <w:r>
        <w:rPr>
          <w:rFonts w:ascii="Times Roman" w:hAnsi="Times Roman"/>
          <w:rtl w:val="0"/>
          <w:lang w:val="en-US"/>
        </w:rPr>
        <w:t>t trust the system anymore. One SIM-swap fraud can destroy years of awareness work. But when we respond quickly and compensate victims publicly, trust rebounds faster than we expect.</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Rural users particularly emphasized the role of </w:t>
      </w:r>
      <w:r>
        <w:rPr>
          <w:rFonts w:ascii="Times Roman" w:hAnsi="Times Roman"/>
          <w:b w:val="1"/>
          <w:bCs w:val="1"/>
          <w:rtl w:val="0"/>
          <w:lang w:val="en-US"/>
        </w:rPr>
        <w:t>personal relationships</w:t>
      </w:r>
      <w:r>
        <w:rPr>
          <w:rFonts w:ascii="Times Roman" w:hAnsi="Times Roman"/>
          <w:rtl w:val="0"/>
          <w:lang w:val="en-US"/>
        </w:rPr>
        <w:t xml:space="preserve"> with agents in rebuilding trust. One female rural respondent shared: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I don</w:t>
      </w:r>
      <w:r>
        <w:rPr>
          <w:rFonts w:ascii="Times Roman" w:hAnsi="Times Roman" w:hint="default"/>
          <w:rtl w:val="1"/>
        </w:rPr>
        <w:t>’</w:t>
      </w:r>
      <w:r>
        <w:rPr>
          <w:rFonts w:ascii="Times Roman" w:hAnsi="Times Roman"/>
          <w:rtl w:val="0"/>
          <w:lang w:val="en-US"/>
        </w:rPr>
        <w:t>t trust the app, but I trust my local agent. If she says it</w:t>
      </w:r>
      <w:r>
        <w:rPr>
          <w:rFonts w:ascii="Times Roman" w:hAnsi="Times Roman" w:hint="default"/>
          <w:rtl w:val="1"/>
        </w:rPr>
        <w:t>’</w:t>
      </w:r>
      <w:r>
        <w:rPr>
          <w:rFonts w:ascii="Times Roman" w:hAnsi="Times Roman"/>
          <w:rtl w:val="0"/>
          <w:lang w:val="en-US"/>
        </w:rPr>
        <w:t>s safe, I do it. When the agent network works, trust works.</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 xml:space="preserve">Theme 2: </w:t>
      </w:r>
      <w:r>
        <w:rPr>
          <w:rFonts w:ascii="Times Roman" w:hAnsi="Times Roman" w:hint="default"/>
          <w:b w:val="1"/>
          <w:bCs w:val="1"/>
          <w:rtl w:val="1"/>
          <w:lang w:val="ar-SA" w:bidi="ar-SA"/>
        </w:rPr>
        <w:t>“</w:t>
      </w:r>
      <w:r>
        <w:rPr>
          <w:rFonts w:ascii="Times Roman" w:hAnsi="Times Roman"/>
          <w:b w:val="1"/>
          <w:bCs w:val="1"/>
          <w:rtl w:val="0"/>
          <w:lang w:val="en-US"/>
        </w:rPr>
        <w:t>Governance Exists on Paper, Not on the Ground</w:t>
      </w:r>
      <w:r>
        <w:rPr>
          <w:rFonts w:ascii="Times Roman" w:hAnsi="Times Roman" w:hint="default"/>
          <w:b w:val="1"/>
          <w:bCs w:val="1"/>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recurring narrative was the gap between regulatory frameworks and ground-level enforcement. A commercial bank compliance officer noted: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 xml:space="preserve">We have excellent guidelines </w:t>
      </w:r>
      <w:r>
        <w:rPr>
          <w:rFonts w:ascii="Times Roman" w:hAnsi="Times Roman" w:hint="default"/>
          <w:rtl w:val="0"/>
          <w:lang w:val="en-US"/>
        </w:rPr>
        <w:t xml:space="preserve">— </w:t>
      </w:r>
      <w:r>
        <w:rPr>
          <w:rFonts w:ascii="Times Roman" w:hAnsi="Times Roman"/>
          <w:rtl w:val="0"/>
          <w:lang w:val="en-US"/>
        </w:rPr>
        <w:t xml:space="preserve">Digital Bank Version 2, e-KYC, partner network rules </w:t>
      </w:r>
      <w:r>
        <w:rPr>
          <w:rFonts w:ascii="Times Roman" w:hAnsi="Times Roman" w:hint="default"/>
          <w:rtl w:val="0"/>
          <w:lang w:val="en-US"/>
        </w:rPr>
        <w:t xml:space="preserve">— </w:t>
      </w:r>
      <w:r>
        <w:rPr>
          <w:rFonts w:ascii="Times Roman" w:hAnsi="Times Roman"/>
          <w:rtl w:val="0"/>
          <w:lang w:val="en-US"/>
        </w:rPr>
        <w:t>but enforcement is selective. Some players bend the rules and nothing happens.</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 xml:space="preserve">Theme 3: </w:t>
      </w:r>
      <w:r>
        <w:rPr>
          <w:rFonts w:ascii="Times Roman" w:hAnsi="Times Roman" w:hint="default"/>
          <w:b w:val="1"/>
          <w:bCs w:val="1"/>
          <w:rtl w:val="1"/>
          <w:lang w:val="ar-SA" w:bidi="ar-SA"/>
        </w:rPr>
        <w:t>“</w:t>
      </w:r>
      <w:r>
        <w:rPr>
          <w:rFonts w:ascii="Times Roman" w:hAnsi="Times Roman"/>
          <w:b w:val="1"/>
          <w:bCs w:val="1"/>
          <w:rtl w:val="0"/>
          <w:lang w:val="en-US"/>
        </w:rPr>
        <w:t>The Last Mile is Still Broken</w:t>
      </w:r>
      <w:r>
        <w:rPr>
          <w:rFonts w:ascii="Times Roman" w:hAnsi="Times Roman" w:hint="default"/>
          <w:b w:val="1"/>
          <w:bCs w:val="1"/>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Agent liquidity shortages, inconsistent training, and poor network connectivity were repeatedly cited as barriers. An agent network manager from Rangpur described: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During Eid, we run out of cash by 2 PM. Customers get angry and go back to cash. We lose them for weeks.</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 xml:space="preserve">Theme 4: </w:t>
      </w:r>
      <w:r>
        <w:rPr>
          <w:rFonts w:ascii="Times Roman" w:hAnsi="Times Roman" w:hint="default"/>
          <w:b w:val="1"/>
          <w:bCs w:val="1"/>
          <w:rtl w:val="1"/>
          <w:lang w:val="ar-SA" w:bidi="ar-SA"/>
        </w:rPr>
        <w:t>“</w:t>
      </w:r>
      <w:r>
        <w:rPr>
          <w:rFonts w:ascii="Times Roman" w:hAnsi="Times Roman"/>
          <w:b w:val="1"/>
          <w:bCs w:val="1"/>
          <w:rtl w:val="0"/>
          <w:lang w:val="en-US"/>
        </w:rPr>
        <w:t>Women Are Ready, But the System Isn</w:t>
      </w:r>
      <w:r>
        <w:rPr>
          <w:rFonts w:ascii="Times Roman" w:hAnsi="Times Roman" w:hint="default"/>
          <w:b w:val="1"/>
          <w:bCs w:val="1"/>
          <w:rtl w:val="1"/>
        </w:rPr>
        <w:t>’</w:t>
      </w:r>
      <w:r>
        <w:rPr>
          <w:rFonts w:ascii="Times Roman" w:hAnsi="Times Roman"/>
          <w:b w:val="1"/>
          <w:bCs w:val="1"/>
          <w:rtl w:val="0"/>
        </w:rPr>
        <w:t>t</w:t>
      </w:r>
      <w:r>
        <w:rPr>
          <w:rFonts w:ascii="Times Roman" w:hAnsi="Times Roman" w:hint="default"/>
          <w:b w:val="1"/>
          <w:bCs w:val="1"/>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Female users and women-focused fintech leaders highlighted persistent normative and infrastructural barriers despite high willingness to adopt. A female fintech founder stated:</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 xml:space="preserve">Women want to use digital finance. The problem is not demand </w:t>
      </w:r>
      <w:r>
        <w:rPr>
          <w:rFonts w:ascii="Times Roman" w:hAnsi="Times Roman" w:hint="default"/>
          <w:rtl w:val="0"/>
          <w:lang w:val="en-US"/>
        </w:rPr>
        <w:t xml:space="preserve">— </w:t>
      </w:r>
      <w:r>
        <w:rPr>
          <w:rFonts w:ascii="Times Roman" w:hAnsi="Times Roman"/>
          <w:rtl w:val="0"/>
        </w:rPr>
        <w:t>it</w:t>
      </w:r>
      <w:r>
        <w:rPr>
          <w:rFonts w:ascii="Times Roman" w:hAnsi="Times Roman" w:hint="default"/>
          <w:rtl w:val="1"/>
        </w:rPr>
        <w:t>’</w:t>
      </w:r>
      <w:r>
        <w:rPr>
          <w:rFonts w:ascii="Times Roman" w:hAnsi="Times Roman"/>
          <w:rtl w:val="0"/>
          <w:lang w:val="en-US"/>
        </w:rPr>
        <w:t>s design. Apps are in English, agents are mostly men, and there</w:t>
      </w:r>
      <w:r>
        <w:rPr>
          <w:rFonts w:ascii="Times Roman" w:hAnsi="Times Roman" w:hint="default"/>
          <w:rtl w:val="1"/>
        </w:rPr>
        <w:t>’</w:t>
      </w:r>
      <w:r>
        <w:rPr>
          <w:rFonts w:ascii="Times Roman" w:hAnsi="Times Roman"/>
          <w:rtl w:val="0"/>
          <w:lang w:val="en-US"/>
        </w:rPr>
        <w:t>s no privacy at cash points.</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Reflexive Commentary</w:t>
      </w:r>
      <w:r>
        <w:rPr>
          <w:rFonts w:ascii="Times Roman" w:hAnsi="Times Roman"/>
          <w:rtl w:val="0"/>
          <w:lang w:val="en-US"/>
        </w:rPr>
        <w:t xml:space="preserve">: As a researcher, I initially assumed technological solutions (biometrics, AI) would be the primary solution. However, repeated narratives about </w:t>
      </w:r>
      <w:r>
        <w:rPr>
          <w:rFonts w:ascii="Times Roman" w:hAnsi="Times Roman"/>
          <w:b w:val="1"/>
          <w:bCs w:val="1"/>
          <w:rtl w:val="0"/>
          <w:lang w:val="en-US"/>
        </w:rPr>
        <w:t>human relationships</w:t>
      </w:r>
      <w:r>
        <w:rPr>
          <w:rFonts w:ascii="Times Roman" w:hAnsi="Times Roman"/>
          <w:rtl w:val="0"/>
          <w:lang w:val="en-US"/>
        </w:rPr>
        <w:t xml:space="preserve"> (agent trust) and </w:t>
      </w:r>
      <w:r>
        <w:rPr>
          <w:rFonts w:ascii="Times Roman" w:hAnsi="Times Roman"/>
          <w:b w:val="1"/>
          <w:bCs w:val="1"/>
          <w:rtl w:val="0"/>
          <w:lang w:val="fr-FR"/>
        </w:rPr>
        <w:t>governance enforcement</w:t>
      </w:r>
      <w:r>
        <w:rPr>
          <w:rFonts w:ascii="Times Roman" w:hAnsi="Times Roman"/>
          <w:rtl w:val="0"/>
          <w:lang w:val="en-US"/>
        </w:rPr>
        <w:t xml:space="preserve"> shifted my perspective. The data clearly shows that technology alone cannot fix institutional and social trust deficits.</w: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6.9 Case Studies: bKash Success Factors &amp; Ecosystem Orchestration; Nagad Governance &amp; Regulatory Lessons; BRAC Bank &amp; Islami Bank Digital Transformation Journeys; Rural Agent Lived Experiences (Vignettes)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 xml:space="preserve">Case 1: bKash </w:t>
      </w:r>
      <w:r>
        <w:rPr>
          <w:rFonts w:ascii="Times Roman" w:hAnsi="Times Roman" w:hint="default"/>
          <w:b w:val="1"/>
          <w:bCs w:val="1"/>
          <w:rtl w:val="0"/>
        </w:rPr>
        <w:t xml:space="preserve">– </w:t>
      </w:r>
      <w:r>
        <w:rPr>
          <w:rFonts w:ascii="Times Roman" w:hAnsi="Times Roman"/>
          <w:b w:val="1"/>
          <w:bCs w:val="1"/>
          <w:rtl w:val="0"/>
          <w:lang w:val="en-US"/>
        </w:rPr>
        <w:t>Ecosystem Orchestration Success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bKash</w:t>
      </w:r>
      <w:r>
        <w:rPr>
          <w:rFonts w:ascii="Times Roman" w:hAnsi="Times Roman" w:hint="default"/>
          <w:rtl w:val="1"/>
        </w:rPr>
        <w:t>’</w:t>
      </w:r>
      <w:r>
        <w:rPr>
          <w:rFonts w:ascii="Times Roman" w:hAnsi="Times Roman"/>
          <w:rtl w:val="0"/>
          <w:lang w:val="fr-FR"/>
        </w:rPr>
        <w:t>s dominance (</w:t>
      </w:r>
      <w:r>
        <w:rPr>
          <w:rFonts w:ascii="Times Roman" w:hAnsi="Times Roman" w:hint="default"/>
          <w:rtl w:val="0"/>
        </w:rPr>
        <w:t>≈</w:t>
      </w:r>
      <w:r>
        <w:rPr>
          <w:rFonts w:ascii="Times Roman" w:hAnsi="Times Roman"/>
          <w:rtl w:val="0"/>
          <w:lang w:val="en-US"/>
        </w:rPr>
        <w:t>63% market share) stems from early-mover advantage, aggressive agent network expansion (over 300,000 agents), and deep integration with remittances and G2P payments. Its success factors include strong brand trust, USSD-based accessibility for feature phones, and strategic partnerships with BRAC Bank and international investors. However, experts noted risks of over-concentration.</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rPr>
        <w:t xml:space="preserve">Case 2: Nagad </w:t>
      </w:r>
      <w:r>
        <w:rPr>
          <w:rFonts w:ascii="Times Roman" w:hAnsi="Times Roman" w:hint="default"/>
          <w:b w:val="1"/>
          <w:bCs w:val="1"/>
          <w:rtl w:val="0"/>
        </w:rPr>
        <w:t xml:space="preserve">– </w:t>
      </w:r>
      <w:r>
        <w:rPr>
          <w:rFonts w:ascii="Times Roman" w:hAnsi="Times Roman"/>
          <w:b w:val="1"/>
          <w:bCs w:val="1"/>
          <w:rtl w:val="0"/>
          <w:lang w:val="en-US"/>
        </w:rPr>
        <w:t>Governance and Regulatory Lessons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rPr>
        <w:t>Nagad</w:t>
      </w:r>
      <w:r>
        <w:rPr>
          <w:rFonts w:ascii="Times Roman" w:hAnsi="Times Roman" w:hint="default"/>
          <w:rtl w:val="1"/>
        </w:rPr>
        <w:t>’</w:t>
      </w:r>
      <w:r>
        <w:rPr>
          <w:rFonts w:ascii="Times Roman" w:hAnsi="Times Roman"/>
          <w:rtl w:val="0"/>
          <w:lang w:val="en-US"/>
        </w:rPr>
        <w:t>s rapid rise (now ~20% market share) demonstrates the power of state backing (Bangladesh Postal Department) combined with aggressive pricing and rural focus. Key lessons include the importance of regulatory forbearance in early stages and the risks of political favoritism perceptions.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rPr>
        <w:t xml:space="preserve">Case 3: BRAC Bank &amp; Islami Bank </w:t>
      </w:r>
      <w:r>
        <w:rPr>
          <w:rFonts w:ascii="Times Roman" w:hAnsi="Times Roman" w:hint="default"/>
          <w:b w:val="1"/>
          <w:bCs w:val="1"/>
          <w:rtl w:val="0"/>
        </w:rPr>
        <w:t xml:space="preserve">– </w:t>
      </w:r>
      <w:r>
        <w:rPr>
          <w:rFonts w:ascii="Times Roman" w:hAnsi="Times Roman"/>
          <w:b w:val="1"/>
          <w:bCs w:val="1"/>
          <w:rtl w:val="0"/>
          <w:lang w:val="de-DE"/>
        </w:rPr>
        <w:t>Digital Transformation Journeys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BRAC Bank leveraged its microfinance heritage to integrate agent banking with digital channels. Islami Bank focused on Sharia-compliant digital products. Both banks showed that traditional banks can compete with pure fintechs when they invest in user experience and agent networks.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Case 4: Rural Agent Lived Experiences (Vignette)</w:t>
      </w:r>
    </w:p>
    <w:p>
      <w:pPr>
        <w:pStyle w:val="Default"/>
        <w:suppressAutoHyphens w:val="1"/>
        <w:spacing w:before="0" w:after="240" w:line="240" w:lineRule="auto"/>
        <w:jc w:val="both"/>
        <w:rPr>
          <w:rFonts w:ascii="Times Roman" w:cs="Times Roman" w:hAnsi="Times Roman" w:eastAsia="Times Roman"/>
        </w:rPr>
      </w:pPr>
      <w:r>
        <w:rPr>
          <w:rFonts w:ascii="Times Roman" w:hAnsi="Times Roman" w:hint="default"/>
          <w:rtl w:val="1"/>
          <w:lang w:val="ar-SA" w:bidi="ar-SA"/>
        </w:rPr>
        <w:t>“</w:t>
      </w:r>
      <w:r>
        <w:rPr>
          <w:rFonts w:ascii="Times Roman" w:hAnsi="Times Roman"/>
          <w:rtl w:val="0"/>
          <w:lang w:val="en-US"/>
        </w:rPr>
        <w:t>Ruma Begum, 34, agent in a village in Bogura: She wakes up at 5 AM, walks 4 km to her point, and serves 80</w:t>
      </w:r>
      <w:r>
        <w:rPr>
          <w:rFonts w:ascii="Times Roman" w:hAnsi="Times Roman" w:hint="default"/>
          <w:rtl w:val="0"/>
        </w:rPr>
        <w:t>–</w:t>
      </w:r>
      <w:r>
        <w:rPr>
          <w:rFonts w:ascii="Times Roman" w:hAnsi="Times Roman"/>
          <w:rtl w:val="0"/>
          <w:lang w:val="en-US"/>
        </w:rPr>
        <w:t>120 customers daily. She earns BDT 12,000</w:t>
      </w:r>
      <w:r>
        <w:rPr>
          <w:rFonts w:ascii="Times Roman" w:hAnsi="Times Roman" w:hint="default"/>
          <w:rtl w:val="0"/>
        </w:rPr>
        <w:t>–</w:t>
      </w:r>
      <w:r>
        <w:rPr>
          <w:rFonts w:ascii="Times Roman" w:hAnsi="Times Roman"/>
          <w:rtl w:val="0"/>
          <w:lang w:val="en-US"/>
        </w:rPr>
        <w:t xml:space="preserve">15,000/month but faces frequent liquidity shortages and network failures. She says: </w:t>
      </w:r>
      <w:r>
        <w:rPr>
          <w:rFonts w:ascii="Times Roman" w:hAnsi="Times Roman" w:hint="default"/>
          <w:rtl w:val="1"/>
        </w:rPr>
        <w:t>‘</w:t>
      </w:r>
      <w:r>
        <w:rPr>
          <w:rFonts w:ascii="Times Roman" w:hAnsi="Times Roman"/>
          <w:rtl w:val="0"/>
          <w:lang w:val="en-US"/>
        </w:rPr>
        <w:t>Customers trust me more than the app. When the network fails, I lose money and trust.</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These cases illustrate both the </w:t>
      </w:r>
      <w:r>
        <w:rPr>
          <w:rFonts w:ascii="Times Roman" w:hAnsi="Times Roman"/>
          <w:b w:val="1"/>
          <w:bCs w:val="1"/>
          <w:rtl w:val="0"/>
          <w:lang w:val="en-US"/>
        </w:rPr>
        <w:t>strengths</w:t>
      </w:r>
      <w:r>
        <w:rPr>
          <w:rFonts w:ascii="Times Roman" w:hAnsi="Times Roman"/>
          <w:rtl w:val="0"/>
          <w:lang w:val="en-US"/>
        </w:rPr>
        <w:t xml:space="preserve"> (scale, innovation, inclusion) and </w:t>
      </w:r>
      <w:r>
        <w:rPr>
          <w:rFonts w:ascii="Times Roman" w:hAnsi="Times Roman"/>
          <w:b w:val="1"/>
          <w:bCs w:val="1"/>
          <w:rtl w:val="0"/>
          <w:lang w:val="en-US"/>
        </w:rPr>
        <w:t>vulnerabilities</w:t>
      </w:r>
      <w:r>
        <w:rPr>
          <w:rFonts w:ascii="Times Roman" w:hAnsi="Times Roman"/>
          <w:rtl w:val="0"/>
          <w:lang w:val="en-US"/>
        </w:rPr>
        <w:t xml:space="preserve"> (concentration, enforcement gaps, last-mile fragility) of Bangladesh</w:t>
      </w:r>
      <w:r>
        <w:rPr>
          <w:rFonts w:ascii="Times Roman" w:hAnsi="Times Roman" w:hint="default"/>
          <w:rtl w:val="1"/>
        </w:rPr>
        <w:t>’</w:t>
      </w:r>
      <w:r>
        <w:rPr>
          <w:rFonts w:ascii="Times Roman" w:hAnsi="Times Roman"/>
          <w:rtl w:val="0"/>
          <w:lang w:val="pt-PT"/>
        </w:rPr>
        <w:t>s ecosystem.</w: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p>
    <w:p>
      <w:pPr>
        <w:pStyle w:val="Default"/>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6.10 Comparative Analysis with Regional Peers (India UPI, Pakistan Easypaisa, Kenya M-Pesa) and International Benchmarks (Nordics, Singapore)</w:t>
      </w:r>
    </w:p>
    <w:p>
      <w:pPr>
        <w:pStyle w:val="Default"/>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lang w:val="en-US"/>
        </w:rPr>
        <w:t>Regional Comparison:</w:t>
      </w:r>
    </w:p>
    <w:tbl>
      <w:tblPr>
        <w:tblW w:w="9638"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97"/>
        <w:gridCol w:w="3342"/>
        <w:gridCol w:w="3967"/>
        <w:gridCol w:w="932"/>
      </w:tblGrid>
      <w:tr>
        <w:tblPrEx>
          <w:shd w:val="clear" w:color="auto" w:fill="auto"/>
        </w:tblPrEx>
        <w:trPr>
          <w:trHeight w:val="780" w:hRule="atLeast"/>
        </w:trPr>
        <w:tc>
          <w:tcPr>
            <w:tcW w:type="dxa" w:w="139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Country</w:t>
            </w:r>
          </w:p>
        </w:tc>
        <w:tc>
          <w:tcPr>
            <w:tcW w:type="dxa" w:w="334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Key Strength</w:t>
            </w:r>
          </w:p>
        </w:tc>
        <w:tc>
          <w:tcPr>
            <w:tcW w:type="dxa" w:w="396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Major Lesson for Bangladesh</w:t>
            </w:r>
          </w:p>
        </w:tc>
        <w:tc>
          <w:tcPr>
            <w:tcW w:type="dxa" w:w="93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HHI Level</w:t>
            </w:r>
          </w:p>
        </w:tc>
      </w:tr>
      <w:tr>
        <w:tblPrEx>
          <w:shd w:val="clear" w:color="auto" w:fill="auto"/>
        </w:tblPrEx>
        <w:trPr>
          <w:trHeight w:val="780" w:hRule="atLeast"/>
        </w:trPr>
        <w:tc>
          <w:tcPr>
            <w:tcW w:type="dxa" w:w="139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India (UPI)</w:t>
            </w:r>
          </w:p>
        </w:tc>
        <w:tc>
          <w:tcPr>
            <w:tcW w:type="dxa" w:w="334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Interoperability &amp; Open Architecture</w:t>
            </w:r>
          </w:p>
        </w:tc>
        <w:tc>
          <w:tcPr>
            <w:tcW w:type="dxa" w:w="396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Zero/low fees + API openness = explosive growth</w:t>
            </w:r>
          </w:p>
        </w:tc>
        <w:tc>
          <w:tcPr>
            <w:tcW w:type="dxa" w:w="93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Moderate</w:t>
            </w:r>
          </w:p>
        </w:tc>
      </w:tr>
      <w:tr>
        <w:tblPrEx>
          <w:shd w:val="clear" w:color="auto" w:fill="auto"/>
        </w:tblPrEx>
        <w:trPr>
          <w:trHeight w:val="780" w:hRule="atLeast"/>
        </w:trPr>
        <w:tc>
          <w:tcPr>
            <w:tcW w:type="dxa" w:w="139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Kenya (M-Pesa)</w:t>
            </w:r>
          </w:p>
        </w:tc>
        <w:tc>
          <w:tcPr>
            <w:tcW w:type="dxa" w:w="334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Agent Network + Regulatory Forbearance</w:t>
            </w:r>
          </w:p>
        </w:tc>
        <w:tc>
          <w:tcPr>
            <w:tcW w:type="dxa" w:w="396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Last-mile agents + light-touch regulation</w:t>
            </w:r>
          </w:p>
        </w:tc>
        <w:tc>
          <w:tcPr>
            <w:tcW w:type="dxa" w:w="93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w:t>
            </w:r>
          </w:p>
        </w:tc>
      </w:tr>
      <w:tr>
        <w:tblPrEx>
          <w:shd w:val="clear" w:color="auto" w:fill="auto"/>
        </w:tblPrEx>
        <w:trPr>
          <w:trHeight w:val="420" w:hRule="atLeast"/>
        </w:trPr>
        <w:tc>
          <w:tcPr>
            <w:tcW w:type="dxa" w:w="139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Pakistan</w:t>
            </w:r>
          </w:p>
        </w:tc>
        <w:tc>
          <w:tcPr>
            <w:tcW w:type="dxa" w:w="334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Bank-MNO Partnerships</w:t>
            </w:r>
          </w:p>
        </w:tc>
        <w:tc>
          <w:tcPr>
            <w:tcW w:type="dxa" w:w="396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Need stronger interoperability</w:t>
            </w:r>
          </w:p>
        </w:tc>
        <w:tc>
          <w:tcPr>
            <w:tcW w:type="dxa" w:w="93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High</w:t>
            </w:r>
          </w:p>
        </w:tc>
      </w:tr>
      <w:tr>
        <w:tblPrEx>
          <w:shd w:val="clear" w:color="auto" w:fill="auto"/>
        </w:tblPrEx>
        <w:trPr>
          <w:trHeight w:val="780" w:hRule="atLeast"/>
        </w:trPr>
        <w:tc>
          <w:tcPr>
            <w:tcW w:type="dxa" w:w="139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b w:val="1"/>
                <w:bCs w:val="1"/>
                <w:sz w:val="28"/>
                <w:szCs w:val="28"/>
                <w:rtl w:val="0"/>
              </w:rPr>
              <w:t>Bangladesh</w:t>
            </w:r>
          </w:p>
        </w:tc>
        <w:tc>
          <w:tcPr>
            <w:tcW w:type="dxa" w:w="334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Scale of MFS + Agent Density</w:t>
            </w:r>
          </w:p>
        </w:tc>
        <w:tc>
          <w:tcPr>
            <w:tcW w:type="dxa" w:w="396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Risk of over-concentration</w:t>
            </w:r>
          </w:p>
        </w:tc>
        <w:tc>
          <w:tcPr>
            <w:tcW w:type="dxa" w:w="93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Very High</w:t>
            </w:r>
          </w:p>
        </w:tc>
      </w:tr>
    </w:tbl>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International Benchmarks</w:t>
      </w:r>
      <w:r>
        <w:rPr>
          <w:rFonts w:ascii="Times Roman" w:hAnsi="Times Roman"/>
          <w:b w:val="0"/>
          <w:bCs w:val="0"/>
          <w:rtl w:val="0"/>
        </w:rPr>
        <w:t>:</w:t>
      </w:r>
    </w:p>
    <w:p>
      <w:pPr>
        <w:pStyle w:val="Default"/>
        <w:numPr>
          <w:ilvl w:val="0"/>
          <w:numId w:val="3"/>
        </w:numPr>
        <w:suppressAutoHyphens w:val="1"/>
        <w:spacing w:before="0" w:line="240" w:lineRule="auto"/>
        <w:jc w:val="both"/>
        <w:rPr>
          <w:rFonts w:ascii="Times Roman" w:hAnsi="Times Roman"/>
          <w:lang w:val="it-IT"/>
        </w:rPr>
      </w:pPr>
      <w:r>
        <w:rPr>
          <w:rFonts w:ascii="Times Roman" w:hAnsi="Times Roman"/>
          <w:b w:val="1"/>
          <w:bCs w:val="1"/>
          <w:rtl w:val="0"/>
          <w:lang w:val="it-IT"/>
        </w:rPr>
        <w:t>Nordics &amp; Singapore</w:t>
      </w:r>
      <w:r>
        <w:rPr>
          <w:rFonts w:ascii="Times Roman" w:hAnsi="Times Roman"/>
          <w:rtl w:val="0"/>
          <w:lang w:val="en-US"/>
        </w:rPr>
        <w:t xml:space="preserve">: Near-universal digital banking (90%+ adoption) driven by high trust in institutions, strong cybersecurity, and seamless open banking. These countries demonstrate that </w:t>
      </w:r>
      <w:r>
        <w:rPr>
          <w:rFonts w:ascii="Times Roman" w:hAnsi="Times Roman"/>
          <w:b w:val="1"/>
          <w:bCs w:val="1"/>
          <w:rtl w:val="0"/>
          <w:lang w:val="en-US"/>
        </w:rPr>
        <w:t>trust + infrastructure + regulation</w:t>
      </w:r>
      <w:r>
        <w:rPr>
          <w:rFonts w:ascii="Times Roman" w:hAnsi="Times Roman"/>
          <w:rtl w:val="0"/>
          <w:lang w:val="en-US"/>
        </w:rPr>
        <w:t xml:space="preserve"> can achieve near-cashless societies.</w:t>
      </w:r>
    </w:p>
    <w:p>
      <w:pPr>
        <w:pStyle w:val="Default"/>
        <w:numPr>
          <w:ilvl w:val="0"/>
          <w:numId w:val="3"/>
        </w:numPr>
        <w:suppressAutoHyphens w:val="1"/>
        <w:spacing w:before="0" w:line="240" w:lineRule="auto"/>
        <w:jc w:val="both"/>
        <w:rPr>
          <w:rFonts w:ascii="Times Roman" w:hAnsi="Times Roman"/>
          <w:b w:val="1"/>
          <w:bCs w:val="1"/>
          <w:lang w:val="en-US"/>
        </w:rPr>
      </w:pPr>
      <w:r>
        <w:rPr>
          <w:rFonts w:ascii="Times Roman" w:hAnsi="Times Roman"/>
          <w:b w:val="1"/>
          <w:bCs w:val="1"/>
          <w:rtl w:val="0"/>
          <w:lang w:val="en-US"/>
        </w:rPr>
        <w:t>Key Lesson</w:t>
      </w:r>
      <w:r>
        <w:rPr>
          <w:rFonts w:ascii="Times Roman" w:hAnsi="Times Roman"/>
          <w:b w:val="0"/>
          <w:bCs w:val="0"/>
          <w:rtl w:val="0"/>
          <w:lang w:val="en-US"/>
        </w:rPr>
        <w:t xml:space="preserve">: Bangladesh has the </w:t>
      </w:r>
      <w:r>
        <w:rPr>
          <w:rFonts w:ascii="Times Roman" w:hAnsi="Times Roman"/>
          <w:b w:val="1"/>
          <w:bCs w:val="1"/>
          <w:rtl w:val="0"/>
          <w:lang w:val="it-IT"/>
        </w:rPr>
        <w:t>scale</w:t>
      </w:r>
      <w:r>
        <w:rPr>
          <w:rFonts w:ascii="Times Roman" w:hAnsi="Times Roman"/>
          <w:b w:val="0"/>
          <w:bCs w:val="0"/>
          <w:rtl w:val="0"/>
          <w:lang w:val="en-US"/>
        </w:rPr>
        <w:t xml:space="preserve"> (like Kenya) but lacks the </w:t>
      </w:r>
      <w:r>
        <w:rPr>
          <w:rFonts w:ascii="Times Roman" w:hAnsi="Times Roman"/>
          <w:b w:val="1"/>
          <w:bCs w:val="1"/>
          <w:rtl w:val="0"/>
          <w:lang w:val="en-US"/>
        </w:rPr>
        <w:t>interoperability and trust infrastructure</w:t>
      </w:r>
      <w:r>
        <w:rPr>
          <w:rFonts w:ascii="Times Roman" w:hAnsi="Times Roman"/>
          <w:b w:val="0"/>
          <w:bCs w:val="0"/>
          <w:rtl w:val="0"/>
          <w:lang w:val="en-US"/>
        </w:rPr>
        <w:t xml:space="preserve"> of Singapore/Nordics.</w:t>
      </w:r>
    </w:p>
    <w:p>
      <w:pPr>
        <w:pStyle w:val="Default"/>
        <w:suppressAutoHyphens w:val="1"/>
        <w:spacing w:before="0" w:line="240" w:lineRule="auto"/>
        <w:jc w:val="both"/>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 xml:space="preserve">6.11 Multi-Group and Moderation Analysis (Urban vs Rural, Male vs Female, High vs Low Income/Literacy </w:t>
      </w:r>
      <w:r>
        <w:rPr>
          <w:rFonts w:ascii="Times Roman" w:hAnsi="Times Roman" w:hint="default"/>
          <w:b w:val="1"/>
          <w:bCs w:val="1"/>
          <w:rtl w:val="0"/>
        </w:rPr>
        <w:t xml:space="preserve">– </w:t>
      </w:r>
      <w:r>
        <w:rPr>
          <w:rFonts w:ascii="Times Roman" w:hAnsi="Times Roman"/>
          <w:b w:val="1"/>
          <w:bCs w:val="1"/>
          <w:rtl w:val="0"/>
          <w:lang w:val="en-US"/>
        </w:rPr>
        <w:t>Path Differences &amp; Moderating Effects)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Multi-Group Analysis (MGA) using SmartPLS revealed significant structural differences: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rPr>
        <w:t>Urban vs Rural</w:t>
      </w:r>
      <w:r>
        <w:rPr>
          <w:rFonts w:ascii="Times Roman" w:hAnsi="Times Roman"/>
          <w:b w:val="0"/>
          <w:bCs w:val="0"/>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Agent Quality</w:t>
      </w:r>
      <w:r>
        <w:rPr>
          <w:rFonts w:ascii="Times Roman" w:hAnsi="Times Roman"/>
          <w:rtl w:val="0"/>
          <w:lang w:val="en-US"/>
        </w:rPr>
        <w:t xml:space="preserve"> had a much stronger effect on Behavioral Intention for rural users (</w:t>
      </w:r>
      <w:r>
        <w:rPr>
          <w:rFonts w:ascii="Times Roman" w:hAnsi="Times Roman" w:hint="default"/>
          <w:rtl w:val="0"/>
        </w:rPr>
        <w:t xml:space="preserve">β </w:t>
      </w:r>
      <w:r>
        <w:rPr>
          <w:rFonts w:ascii="Times Roman" w:hAnsi="Times Roman"/>
          <w:rtl w:val="0"/>
          <w:lang w:val="en-US"/>
        </w:rPr>
        <w:t>= 0.38) than urban users (</w:t>
      </w:r>
      <w:r>
        <w:rPr>
          <w:rFonts w:ascii="Times Roman" w:hAnsi="Times Roman" w:hint="default"/>
          <w:rtl w:val="0"/>
        </w:rPr>
        <w:t xml:space="preserve">β </w:t>
      </w:r>
      <w:r>
        <w:rPr>
          <w:rFonts w:ascii="Times Roman" w:hAnsi="Times Roman"/>
          <w:rtl w:val="0"/>
        </w:rPr>
        <w:t>= 0.19, p &lt; 0.05).</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Effort Expectancy</w:t>
      </w:r>
      <w:r>
        <w:rPr>
          <w:rFonts w:ascii="Times Roman" w:hAnsi="Times Roman"/>
          <w:rtl w:val="0"/>
          <w:lang w:val="en-US"/>
        </w:rPr>
        <w:t xml:space="preserve"> was more important for rural users due to lower digital literacy.</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de-DE"/>
        </w:rPr>
        <w:t>Male vs Female</w:t>
      </w:r>
      <w:r>
        <w:rPr>
          <w:rFonts w:ascii="Times Roman" w:hAnsi="Times Roman"/>
          <w:b w:val="0"/>
          <w:bCs w:val="0"/>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Post-Fraud Risk Perception</w:t>
      </w:r>
      <w:r>
        <w:rPr>
          <w:rFonts w:ascii="Times Roman" w:hAnsi="Times Roman"/>
          <w:rtl w:val="0"/>
          <w:lang w:val="en-US"/>
        </w:rPr>
        <w:t xml:space="preserve"> had a significantly stronger negative effect on female users (</w:t>
      </w:r>
      <w:r>
        <w:rPr>
          <w:rFonts w:ascii="Times Roman" w:hAnsi="Times Roman" w:hint="default"/>
          <w:rtl w:val="0"/>
        </w:rPr>
        <w:t xml:space="preserve">β </w:t>
      </w:r>
      <w:r>
        <w:rPr>
          <w:rFonts w:ascii="Times Roman" w:hAnsi="Times Roman"/>
          <w:rtl w:val="0"/>
          <w:lang w:val="en-US"/>
        </w:rPr>
        <w:t>= -0.31) compared to males (</w:t>
      </w:r>
      <w:r>
        <w:rPr>
          <w:rFonts w:ascii="Times Roman" w:hAnsi="Times Roman" w:hint="default"/>
          <w:rtl w:val="0"/>
        </w:rPr>
        <w:t xml:space="preserve">β </w:t>
      </w:r>
      <w:r>
        <w:rPr>
          <w:rFonts w:ascii="Times Roman" w:hAnsi="Times Roman"/>
          <w:rtl w:val="0"/>
        </w:rPr>
        <w:t>= -0.15, p &lt; 0.05).</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Social Influence</w:t>
      </w:r>
      <w:r>
        <w:rPr>
          <w:rFonts w:ascii="Times Roman" w:hAnsi="Times Roman"/>
          <w:rtl w:val="0"/>
          <w:lang w:val="en-US"/>
        </w:rPr>
        <w:t xml:space="preserve"> was stronger for women, reflecting normative pressures.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High vs Low Income/Literacy</w:t>
      </w:r>
      <w:r>
        <w:rPr>
          <w:rFonts w:ascii="Times Roman" w:hAnsi="Times Roman"/>
          <w:b w:val="0"/>
          <w:bCs w:val="0"/>
          <w:rtl w:val="0"/>
        </w:rPr>
        <w:t>:</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 xml:space="preserve">High-literacy users showed stronger effects of </w:t>
      </w:r>
      <w:r>
        <w:rPr>
          <w:rFonts w:ascii="Times Roman" w:hAnsi="Times Roman"/>
          <w:b w:val="1"/>
          <w:bCs w:val="1"/>
          <w:rtl w:val="0"/>
          <w:lang w:val="en-US"/>
        </w:rPr>
        <w:t>Performance Expectancy</w:t>
      </w:r>
      <w:r>
        <w:rPr>
          <w:rFonts w:ascii="Times Roman" w:hAnsi="Times Roman"/>
          <w:rtl w:val="0"/>
        </w:rPr>
        <w:t>.</w:t>
      </w:r>
    </w:p>
    <w:p>
      <w:pPr>
        <w:pStyle w:val="Default"/>
        <w:numPr>
          <w:ilvl w:val="0"/>
          <w:numId w:val="9"/>
        </w:numPr>
        <w:suppressAutoHyphens w:val="1"/>
        <w:spacing w:before="0" w:line="240" w:lineRule="auto"/>
        <w:jc w:val="both"/>
        <w:rPr>
          <w:rFonts w:ascii="Times Roman" w:hAnsi="Times Roman"/>
          <w:lang w:val="en-US"/>
        </w:rPr>
      </w:pPr>
      <w:r>
        <w:rPr>
          <w:rFonts w:ascii="Times Roman" w:hAnsi="Times Roman"/>
          <w:rtl w:val="0"/>
          <w:lang w:val="en-US"/>
        </w:rPr>
        <w:t xml:space="preserve">Low-income users were more sensitive to </w:t>
      </w:r>
      <w:r>
        <w:rPr>
          <w:rFonts w:ascii="Times Roman" w:hAnsi="Times Roman"/>
          <w:b w:val="1"/>
          <w:bCs w:val="1"/>
          <w:rtl w:val="0"/>
          <w:lang w:val="en-US"/>
        </w:rPr>
        <w:t>Price Value</w:t>
      </w:r>
      <w:r>
        <w:rPr>
          <w:rFonts w:ascii="Times Roman" w:hAnsi="Times Roman"/>
          <w:rtl w:val="0"/>
          <w:lang w:val="en-US"/>
        </w:rPr>
        <w:t xml:space="preserve"> and </w:t>
      </w:r>
      <w:r>
        <w:rPr>
          <w:rFonts w:ascii="Times Roman" w:hAnsi="Times Roman"/>
          <w:b w:val="1"/>
          <w:bCs w:val="1"/>
          <w:rtl w:val="0"/>
          <w:lang w:val="en-US"/>
        </w:rPr>
        <w:t>Agent Quality</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moderation effects validate the integrated model</w:t>
      </w:r>
      <w:r>
        <w:rPr>
          <w:rFonts w:ascii="Times Roman" w:hAnsi="Times Roman" w:hint="default"/>
          <w:rtl w:val="1"/>
        </w:rPr>
        <w:t>’</w:t>
      </w:r>
      <w:r>
        <w:rPr>
          <w:rFonts w:ascii="Times Roman" w:hAnsi="Times Roman"/>
          <w:rtl w:val="0"/>
          <w:lang w:val="en-US"/>
        </w:rPr>
        <w:t>s emphasis on digital divide variables and provide targeted policy insights (e.g., gender-sensitive trust-building interventions and rural agent quality upgrades).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6.12 Robustness Checks, Sensitivity Analyses, and Supplementary Econometric Outputs (Alternative Models, Endogeneity Tests, Appendix Reference)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Multiple robustness checks were performed:</w:t>
      </w:r>
    </w:p>
    <w:p>
      <w:pPr>
        <w:pStyle w:val="Default"/>
        <w:numPr>
          <w:ilvl w:val="0"/>
          <w:numId w:val="12"/>
        </w:numPr>
        <w:suppressAutoHyphens w:val="1"/>
        <w:spacing w:before="0" w:line="240" w:lineRule="auto"/>
        <w:jc w:val="both"/>
        <w:rPr>
          <w:rFonts w:ascii="Times Roman" w:hAnsi="Times Roman"/>
          <w:lang w:val="it-IT"/>
        </w:rPr>
      </w:pPr>
      <w:r>
        <w:rPr>
          <w:rFonts w:ascii="Times Roman" w:hAnsi="Times Roman"/>
          <w:b w:val="1"/>
          <w:bCs w:val="1"/>
          <w:rtl w:val="0"/>
          <w:lang w:val="it-IT"/>
        </w:rPr>
        <w:t>Alternative Model Specifications</w:t>
      </w:r>
      <w:r>
        <w:rPr>
          <w:rFonts w:ascii="Times Roman" w:hAnsi="Times Roman"/>
          <w:rtl w:val="0"/>
          <w:lang w:val="en-US"/>
        </w:rPr>
        <w:t>: Replacing PLS-SEM with covariance-based SEM (AMOS) produced consistent path directions and significance levels.</w:t>
      </w:r>
    </w:p>
    <w:p>
      <w:pPr>
        <w:pStyle w:val="Default"/>
        <w:numPr>
          <w:ilvl w:val="0"/>
          <w:numId w:val="8"/>
        </w:numPr>
        <w:suppressAutoHyphens w:val="1"/>
        <w:spacing w:before="0" w:line="240" w:lineRule="auto"/>
        <w:jc w:val="both"/>
        <w:rPr>
          <w:rFonts w:ascii="Times Roman" w:hAnsi="Times Roman"/>
          <w:lang w:val="en-US"/>
        </w:rPr>
      </w:pPr>
      <w:r>
        <w:rPr>
          <w:rFonts w:ascii="Times Roman" w:hAnsi="Times Roman"/>
          <w:b w:val="1"/>
          <w:bCs w:val="1"/>
          <w:rtl w:val="0"/>
          <w:lang w:val="en-US"/>
        </w:rPr>
        <w:t>Endogeneity Tests</w:t>
      </w:r>
      <w:r>
        <w:rPr>
          <w:rFonts w:ascii="Times Roman" w:hAnsi="Times Roman"/>
          <w:rtl w:val="0"/>
          <w:lang w:val="en-US"/>
        </w:rPr>
        <w:t xml:space="preserve">: Gaussian Copula approach and instrumental variable analysis (using </w:t>
      </w:r>
      <w:r>
        <w:rPr>
          <w:rFonts w:ascii="Times Roman" w:hAnsi="Times Roman" w:hint="default"/>
          <w:rtl w:val="1"/>
          <w:lang w:val="ar-SA" w:bidi="ar-SA"/>
        </w:rPr>
        <w:t>“</w:t>
      </w:r>
      <w:r>
        <w:rPr>
          <w:rFonts w:ascii="Times Roman" w:hAnsi="Times Roman"/>
          <w:rtl w:val="0"/>
          <w:lang w:val="en-US"/>
        </w:rPr>
        <w:t>division-level internet speed</w:t>
      </w:r>
      <w:r>
        <w:rPr>
          <w:rFonts w:ascii="Times Roman" w:hAnsi="Times Roman" w:hint="default"/>
          <w:rtl w:val="0"/>
        </w:rPr>
        <w:t xml:space="preserve">” </w:t>
      </w:r>
      <w:r>
        <w:rPr>
          <w:rFonts w:ascii="Times Roman" w:hAnsi="Times Roman"/>
          <w:rtl w:val="0"/>
          <w:lang w:val="en-US"/>
        </w:rPr>
        <w:t xml:space="preserve">as instrument) confirmed that key relationships (e.g.,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Intention) were not driven by endogeneity.</w:t>
      </w:r>
    </w:p>
    <w:p>
      <w:pPr>
        <w:pStyle w:val="Default"/>
        <w:numPr>
          <w:ilvl w:val="0"/>
          <w:numId w:val="8"/>
        </w:numPr>
        <w:suppressAutoHyphens w:val="1"/>
        <w:spacing w:before="0" w:line="240" w:lineRule="auto"/>
        <w:jc w:val="both"/>
        <w:rPr>
          <w:rFonts w:ascii="Times Roman" w:hAnsi="Times Roman"/>
          <w:lang w:val="en-US"/>
        </w:rPr>
      </w:pPr>
      <w:r>
        <w:rPr>
          <w:rFonts w:ascii="Times Roman" w:hAnsi="Times Roman"/>
          <w:b w:val="1"/>
          <w:bCs w:val="1"/>
          <w:rtl w:val="0"/>
          <w:lang w:val="en-US"/>
        </w:rPr>
        <w:t>Sensitivity Analysis</w:t>
      </w:r>
      <w:r>
        <w:rPr>
          <w:rFonts w:ascii="Times Roman" w:hAnsi="Times Roman"/>
          <w:rtl w:val="0"/>
          <w:lang w:val="en-US"/>
        </w:rPr>
        <w:t>: Removing outliers and re-running the model with different imputation methods yielded stable results (path coefficient changes &lt; 8%).</w:t>
      </w:r>
    </w:p>
    <w:p>
      <w:pPr>
        <w:pStyle w:val="Default"/>
        <w:numPr>
          <w:ilvl w:val="0"/>
          <w:numId w:val="8"/>
        </w:numPr>
        <w:suppressAutoHyphens w:val="1"/>
        <w:spacing w:before="0" w:line="240" w:lineRule="auto"/>
        <w:jc w:val="both"/>
        <w:rPr>
          <w:rFonts w:ascii="Times Roman" w:hAnsi="Times Roman"/>
          <w:lang w:val="en-US"/>
        </w:rPr>
      </w:pPr>
      <w:r>
        <w:rPr>
          <w:rFonts w:ascii="Times Roman" w:hAnsi="Times Roman"/>
          <w:b w:val="1"/>
          <w:bCs w:val="1"/>
          <w:rtl w:val="0"/>
          <w:lang w:val="en-US"/>
        </w:rPr>
        <w:t>Common Method Bias</w:t>
      </w:r>
      <w:r>
        <w:rPr>
          <w:rFonts w:ascii="Times Roman" w:hAnsi="Times Roman"/>
          <w:rtl w:val="0"/>
          <w:lang w:val="en-US"/>
        </w:rPr>
        <w:t>: Both Harman</w:t>
      </w:r>
      <w:r>
        <w:rPr>
          <w:rFonts w:ascii="Times Roman" w:hAnsi="Times Roman" w:hint="default"/>
          <w:rtl w:val="1"/>
        </w:rPr>
        <w:t>’</w:t>
      </w:r>
      <w:r>
        <w:rPr>
          <w:rFonts w:ascii="Times Roman" w:hAnsi="Times Roman"/>
          <w:rtl w:val="0"/>
          <w:lang w:val="en-US"/>
        </w:rPr>
        <w:t>s test and full collinearity assessment confirmed no serious bias.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All supplementary outputs (including alternative model tables and endogeneity diagnostics) are presented in </w:t>
      </w:r>
      <w:r>
        <w:rPr>
          <w:rFonts w:ascii="Times Roman" w:hAnsi="Times Roman"/>
          <w:b w:val="1"/>
          <w:bCs w:val="1"/>
          <w:rtl w:val="0"/>
          <w:lang w:val="da-DK"/>
        </w:rPr>
        <w:t>Appendix C</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6.13 Integrated Summary of Quantitative and Qualitative Findings (Joint Display Tables)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Joint Display Table: Key Relationships</w:t>
      </w:r>
    </w:p>
    <w:tbl>
      <w:tblPr>
        <w:tblW w:w="9577" w:type="dxa"/>
        <w:jc w:val="center"/>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54"/>
        <w:gridCol w:w="3283"/>
        <w:gridCol w:w="2237"/>
        <w:gridCol w:w="2103"/>
      </w:tblGrid>
      <w:tr>
        <w:tblPrEx>
          <w:shd w:val="clear" w:color="auto" w:fill="auto"/>
        </w:tblPrEx>
        <w:trPr>
          <w:trHeight w:val="780" w:hRule="atLeast"/>
        </w:trPr>
        <w:tc>
          <w:tcPr>
            <w:tcW w:type="dxa" w:w="195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Quantitative Finding</w:t>
            </w:r>
          </w:p>
        </w:tc>
        <w:tc>
          <w:tcPr>
            <w:tcW w:type="dxa" w:w="32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Qualitative Explanation (Expert Quote)</w:t>
            </w:r>
          </w:p>
        </w:tc>
        <w:tc>
          <w:tcPr>
            <w:tcW w:type="dxa" w:w="223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Meta-Inference</w:t>
            </w:r>
          </w:p>
        </w:tc>
        <w:tc>
          <w:tcPr>
            <w:tcW w:type="dxa" w:w="210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20"/>
              <w:left w:type="dxa" w:w="20"/>
              <w:bottom w:type="dxa" w:w="20"/>
              <w:right w:type="dxa" w:w="20"/>
            </w:tcMar>
            <w:vAlign w:val="center"/>
          </w:tcPr>
          <w:p>
            <w:pPr>
              <w:pStyle w:val="Table Style 2"/>
              <w:suppressAutoHyphens w:val="1"/>
              <w:jc w:val="center"/>
            </w:pPr>
            <w:r>
              <w:rPr>
                <w:rFonts w:ascii="Times Roman" w:hAnsi="Times Roman"/>
                <w:b w:val="1"/>
                <w:bCs w:val="1"/>
                <w:outline w:val="0"/>
                <w:color w:val="feffff"/>
                <w:sz w:val="28"/>
                <w:szCs w:val="28"/>
                <w:rtl w:val="0"/>
                <w14:textFill>
                  <w14:solidFill>
                    <w14:srgbClr w14:val="FFFFFF"/>
                  </w14:solidFill>
                </w14:textFill>
              </w:rPr>
              <w:t>Policy Implication</w:t>
            </w:r>
          </w:p>
        </w:tc>
      </w:tr>
      <w:tr>
        <w:tblPrEx>
          <w:shd w:val="clear" w:color="auto" w:fill="auto"/>
        </w:tblPrEx>
        <w:trPr>
          <w:trHeight w:val="1140" w:hRule="atLeast"/>
        </w:trPr>
        <w:tc>
          <w:tcPr>
            <w:tcW w:type="dxa" w:w="195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Performance Expectancy (</w:t>
            </w:r>
            <w:r>
              <w:rPr>
                <w:rFonts w:ascii="Times Roman" w:hAnsi="Times Roman" w:hint="default"/>
                <w:sz w:val="28"/>
                <w:szCs w:val="28"/>
                <w:rtl w:val="0"/>
              </w:rPr>
              <w:t xml:space="preserve">β </w:t>
            </w:r>
            <w:r>
              <w:rPr>
                <w:rFonts w:ascii="Times Roman" w:hAnsi="Times Roman"/>
                <w:sz w:val="28"/>
                <w:szCs w:val="28"/>
                <w:rtl w:val="0"/>
              </w:rPr>
              <w:t>= 0.41)</w:t>
            </w:r>
          </w:p>
        </w:tc>
        <w:tc>
          <w:tcPr>
            <w:tcW w:type="dxa" w:w="32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r>
              <w:rPr>
                <w:rFonts w:ascii="Times Roman" w:hAnsi="Times Roman"/>
                <w:sz w:val="28"/>
                <w:szCs w:val="28"/>
                <w:rtl w:val="0"/>
              </w:rPr>
              <w:t>Speed and convenience are everything</w:t>
            </w:r>
            <w:r>
              <w:rPr>
                <w:rFonts w:ascii="Times Roman" w:hAnsi="Times Roman" w:hint="default"/>
                <w:sz w:val="28"/>
                <w:szCs w:val="28"/>
                <w:rtl w:val="0"/>
              </w:rPr>
              <w:t xml:space="preserve">” – </w:t>
            </w:r>
            <w:r>
              <w:rPr>
                <w:rFonts w:ascii="Times Roman" w:hAnsi="Times Roman"/>
                <w:sz w:val="28"/>
                <w:szCs w:val="28"/>
                <w:rtl w:val="0"/>
              </w:rPr>
              <w:t>Fintech CEO</w:t>
            </w:r>
          </w:p>
        </w:tc>
        <w:tc>
          <w:tcPr>
            <w:tcW w:type="dxa" w:w="223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Strongest driver of intention</w:t>
            </w:r>
          </w:p>
        </w:tc>
        <w:tc>
          <w:tcPr>
            <w:tcW w:type="dxa" w:w="210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Prioritize faster, simpler interfaces</w:t>
            </w:r>
          </w:p>
        </w:tc>
      </w:tr>
      <w:tr>
        <w:tblPrEx>
          <w:shd w:val="clear" w:color="auto" w:fill="auto"/>
        </w:tblPrEx>
        <w:trPr>
          <w:trHeight w:val="1140" w:hRule="atLeast"/>
        </w:trPr>
        <w:tc>
          <w:tcPr>
            <w:tcW w:type="dxa" w:w="195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Trust Restoration (</w:t>
            </w:r>
            <w:r>
              <w:rPr>
                <w:rFonts w:ascii="Times Roman" w:hAnsi="Times Roman" w:hint="default"/>
                <w:sz w:val="28"/>
                <w:szCs w:val="28"/>
                <w:rtl w:val="0"/>
              </w:rPr>
              <w:t xml:space="preserve">β </w:t>
            </w:r>
            <w:r>
              <w:rPr>
                <w:rFonts w:ascii="Times Roman" w:hAnsi="Times Roman"/>
                <w:sz w:val="28"/>
                <w:szCs w:val="28"/>
                <w:rtl w:val="0"/>
              </w:rPr>
              <w:t>= 0.37)</w:t>
            </w:r>
          </w:p>
        </w:tc>
        <w:tc>
          <w:tcPr>
            <w:tcW w:type="dxa" w:w="32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r>
              <w:rPr>
                <w:rFonts w:ascii="Times Roman" w:hAnsi="Times Roman"/>
                <w:sz w:val="28"/>
                <w:szCs w:val="28"/>
                <w:rtl w:val="0"/>
              </w:rPr>
              <w:t>One fraud destroys years of trust</w:t>
            </w:r>
            <w:r>
              <w:rPr>
                <w:rFonts w:ascii="Times Roman" w:hAnsi="Times Roman" w:hint="default"/>
                <w:sz w:val="28"/>
                <w:szCs w:val="28"/>
                <w:rtl w:val="0"/>
              </w:rPr>
              <w:t xml:space="preserve">” – </w:t>
            </w:r>
            <w:r>
              <w:rPr>
                <w:rFonts w:ascii="Times Roman" w:hAnsi="Times Roman"/>
                <w:sz w:val="28"/>
                <w:szCs w:val="28"/>
                <w:rtl w:val="0"/>
              </w:rPr>
              <w:t>BFIU Official</w:t>
            </w:r>
          </w:p>
        </w:tc>
        <w:tc>
          <w:tcPr>
            <w:tcW w:type="dxa" w:w="223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Critical but fragile</w:t>
            </w:r>
          </w:p>
        </w:tc>
        <w:tc>
          <w:tcPr>
            <w:tcW w:type="dxa" w:w="210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Rapid, transparent fraud response</w:t>
            </w:r>
          </w:p>
        </w:tc>
      </w:tr>
      <w:tr>
        <w:tblPrEx>
          <w:shd w:val="clear" w:color="auto" w:fill="auto"/>
        </w:tblPrEx>
        <w:trPr>
          <w:trHeight w:val="1140" w:hRule="atLeast"/>
        </w:trPr>
        <w:tc>
          <w:tcPr>
            <w:tcW w:type="dxa" w:w="195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Agent Quality stronger in rural areas</w:t>
            </w:r>
          </w:p>
        </w:tc>
        <w:tc>
          <w:tcPr>
            <w:tcW w:type="dxa" w:w="32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r>
              <w:rPr>
                <w:rFonts w:ascii="Times Roman" w:hAnsi="Times Roman"/>
                <w:sz w:val="28"/>
                <w:szCs w:val="28"/>
                <w:rtl w:val="0"/>
              </w:rPr>
              <w:t>Customers trust the agent, not the app</w:t>
            </w:r>
            <w:r>
              <w:rPr>
                <w:rFonts w:ascii="Times Roman" w:hAnsi="Times Roman" w:hint="default"/>
                <w:sz w:val="28"/>
                <w:szCs w:val="28"/>
                <w:rtl w:val="0"/>
              </w:rPr>
              <w:t xml:space="preserve">” – </w:t>
            </w:r>
            <w:r>
              <w:rPr>
                <w:rFonts w:ascii="Times Roman" w:hAnsi="Times Roman"/>
                <w:sz w:val="28"/>
                <w:szCs w:val="28"/>
                <w:rtl w:val="0"/>
              </w:rPr>
              <w:t>Rural Agent</w:t>
            </w:r>
          </w:p>
        </w:tc>
        <w:tc>
          <w:tcPr>
            <w:tcW w:type="dxa" w:w="223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Last-mile human element is vital</w:t>
            </w:r>
          </w:p>
        </w:tc>
        <w:tc>
          <w:tcPr>
            <w:tcW w:type="dxa" w:w="210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Invest in agent training &amp; liquidity</w:t>
            </w:r>
          </w:p>
        </w:tc>
      </w:tr>
      <w:tr>
        <w:tblPrEx>
          <w:shd w:val="clear" w:color="auto" w:fill="auto"/>
        </w:tblPrEx>
        <w:trPr>
          <w:trHeight w:val="1500" w:hRule="atLeast"/>
        </w:trPr>
        <w:tc>
          <w:tcPr>
            <w:tcW w:type="dxa" w:w="195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Post-Fraud Risk stronger for women</w:t>
            </w:r>
          </w:p>
        </w:tc>
        <w:tc>
          <w:tcPr>
            <w:tcW w:type="dxa" w:w="32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r>
              <w:rPr>
                <w:rFonts w:ascii="Times Roman" w:hAnsi="Times Roman"/>
                <w:sz w:val="28"/>
                <w:szCs w:val="28"/>
                <w:rtl w:val="0"/>
              </w:rPr>
              <w:t>Women are more careful after hearing stories</w:t>
            </w:r>
            <w:r>
              <w:rPr>
                <w:rFonts w:ascii="Times Roman" w:hAnsi="Times Roman" w:hint="default"/>
                <w:sz w:val="28"/>
                <w:szCs w:val="28"/>
                <w:rtl w:val="0"/>
              </w:rPr>
              <w:t xml:space="preserve">” – </w:t>
            </w:r>
            <w:r>
              <w:rPr>
                <w:rFonts w:ascii="Times Roman" w:hAnsi="Times Roman"/>
                <w:sz w:val="28"/>
                <w:szCs w:val="28"/>
                <w:rtl w:val="0"/>
              </w:rPr>
              <w:t>Female User</w:t>
            </w:r>
          </w:p>
        </w:tc>
        <w:tc>
          <w:tcPr>
            <w:tcW w:type="dxa" w:w="223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Gender-sensitive risk communication needed</w:t>
            </w:r>
          </w:p>
        </w:tc>
        <w:tc>
          <w:tcPr>
            <w:tcW w:type="dxa" w:w="210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Targeted awareness campaigns for women</w:t>
            </w:r>
          </w:p>
        </w:tc>
      </w:tr>
      <w:tr>
        <w:tblPrEx>
          <w:shd w:val="clear" w:color="auto" w:fill="auto"/>
        </w:tblPrEx>
        <w:trPr>
          <w:trHeight w:val="1140" w:hRule="atLeast"/>
        </w:trPr>
        <w:tc>
          <w:tcPr>
            <w:tcW w:type="dxa" w:w="195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Governance Perception moderates trust</w:t>
            </w:r>
          </w:p>
        </w:tc>
        <w:tc>
          <w:tcPr>
            <w:tcW w:type="dxa" w:w="328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hint="default"/>
                <w:sz w:val="28"/>
                <w:szCs w:val="28"/>
                <w:rtl w:val="0"/>
              </w:rPr>
              <w:t>“</w:t>
            </w:r>
            <w:r>
              <w:rPr>
                <w:rFonts w:ascii="Times Roman" w:hAnsi="Times Roman"/>
                <w:sz w:val="28"/>
                <w:szCs w:val="28"/>
                <w:rtl w:val="0"/>
              </w:rPr>
              <w:t>Rules exist but enforcement is weak</w:t>
            </w:r>
            <w:r>
              <w:rPr>
                <w:rFonts w:ascii="Times Roman" w:hAnsi="Times Roman" w:hint="default"/>
                <w:sz w:val="28"/>
                <w:szCs w:val="28"/>
                <w:rtl w:val="0"/>
              </w:rPr>
              <w:t xml:space="preserve">” – </w:t>
            </w:r>
            <w:r>
              <w:rPr>
                <w:rFonts w:ascii="Times Roman" w:hAnsi="Times Roman"/>
                <w:sz w:val="28"/>
                <w:szCs w:val="28"/>
                <w:rtl w:val="0"/>
              </w:rPr>
              <w:t>Bank Compliance Officer</w:t>
            </w:r>
          </w:p>
        </w:tc>
        <w:tc>
          <w:tcPr>
            <w:tcW w:type="dxa" w:w="2237"/>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Institutional trust is a key moderator</w:t>
            </w:r>
          </w:p>
        </w:tc>
        <w:tc>
          <w:tcPr>
            <w:tcW w:type="dxa" w:w="2102"/>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20"/>
              <w:left w:type="dxa" w:w="20"/>
              <w:bottom w:type="dxa" w:w="20"/>
              <w:right w:type="dxa" w:w="20"/>
            </w:tcMar>
            <w:vAlign w:val="center"/>
          </w:tcPr>
          <w:p>
            <w:pPr>
              <w:pStyle w:val="Table Style 2"/>
              <w:suppressAutoHyphens w:val="1"/>
              <w:jc w:val="center"/>
            </w:pPr>
            <w:r>
              <w:rPr>
                <w:rFonts w:ascii="Times Roman" w:hAnsi="Times Roman"/>
                <w:sz w:val="28"/>
                <w:szCs w:val="28"/>
                <w:rtl w:val="0"/>
              </w:rPr>
              <w:t>Strengthen regulatory enforcement</w:t>
            </w:r>
          </w:p>
        </w:tc>
      </w:tr>
    </w:tbl>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joint display demonstrates strong convergence between quantitative paths and qualitative narratives, enhancing the credibility and explanatory power of the integrated model.</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7: DISCUSSION OF FINDINGS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7.1 Integration and Triangulation of Quantitative and Qualitative Results (Convergence, Complementarity, Divergence, Meta-Inferences)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sequential explanatory mixed-methods design yielded robust convergence between the quantitative structural model and the qualitative thematic findings, with strong complementarity in explaining </w:t>
      </w:r>
      <w:r>
        <w:rPr>
          <w:rFonts w:ascii="Times Roman" w:hAnsi="Times Roman"/>
          <w:i w:val="1"/>
          <w:iCs w:val="1"/>
          <w:rtl w:val="0"/>
          <w:lang w:val="en-US"/>
        </w:rPr>
        <w:t>why</w:t>
      </w:r>
      <w:r>
        <w:rPr>
          <w:rFonts w:ascii="Times Roman" w:hAnsi="Times Roman"/>
          <w:rtl w:val="0"/>
          <w:lang w:val="en-US"/>
        </w:rPr>
        <w:t xml:space="preserve"> certain relationships hold in the Bangladeshi post-2024</w:t>
      </w:r>
      <w:r>
        <w:rPr>
          <w:rFonts w:ascii="Times Roman" w:hAnsi="Times Roman" w:hint="default"/>
          <w:rtl w:val="0"/>
        </w:rPr>
        <w:t>–</w:t>
      </w:r>
      <w:r>
        <w:rPr>
          <w:rFonts w:ascii="Times Roman" w:hAnsi="Times Roman"/>
          <w:rtl w:val="0"/>
          <w:lang w:val="en-US"/>
        </w:rPr>
        <w:t>25 fraud environment. The integrated UTAUT2 + Institutional + Digital Divide model demonstrated substantial explanatory power, with Behavioral Intention (R</w:t>
      </w:r>
      <w:r>
        <w:rPr>
          <w:rFonts w:ascii="Times Roman" w:hAnsi="Times Roman" w:hint="default"/>
          <w:rtl w:val="0"/>
        </w:rPr>
        <w:t xml:space="preserve">² </w:t>
      </w:r>
      <w:r>
        <w:rPr>
          <w:rFonts w:ascii="Times Roman" w:hAnsi="Times Roman"/>
          <w:rtl w:val="0"/>
          <w:lang w:val="en-US"/>
        </w:rPr>
        <w:t>= 0.68) and Usage Behavior (R</w:t>
      </w:r>
      <w:r>
        <w:rPr>
          <w:rFonts w:ascii="Times Roman" w:hAnsi="Times Roman" w:hint="default"/>
          <w:rtl w:val="0"/>
        </w:rPr>
        <w:t xml:space="preserve">² </w:t>
      </w:r>
      <w:r>
        <w:rPr>
          <w:rFonts w:ascii="Times Roman" w:hAnsi="Times Roman"/>
          <w:rtl w:val="0"/>
          <w:lang w:val="en-US"/>
        </w:rPr>
        <w:t>= 0.59) aligning closely with the qualitative narratives of trust fragility, governance voids, and last-mile realities. Performance Expectancy (</w:t>
      </w:r>
      <w:r>
        <w:rPr>
          <w:rFonts w:ascii="Times Roman" w:hAnsi="Times Roman" w:hint="default"/>
          <w:rtl w:val="0"/>
        </w:rPr>
        <w:t xml:space="preserve">β </w:t>
      </w:r>
      <w:r>
        <w:rPr>
          <w:rFonts w:ascii="Times Roman" w:hAnsi="Times Roman"/>
          <w:rtl w:val="0"/>
          <w:lang w:val="pt-PT"/>
        </w:rPr>
        <w:t xml:space="preserve">= 0.41, </w:t>
      </w:r>
      <w:r>
        <w:rPr>
          <w:rFonts w:ascii="Times Roman" w:hAnsi="Times Roman"/>
          <w:i w:val="1"/>
          <w:iCs w:val="1"/>
          <w:rtl w:val="0"/>
        </w:rPr>
        <w:t>p</w:t>
      </w:r>
      <w:r>
        <w:rPr>
          <w:rFonts w:ascii="Times Roman" w:hAnsi="Times Roman"/>
          <w:rtl w:val="0"/>
          <w:lang w:val="en-US"/>
        </w:rPr>
        <w:t xml:space="preserve"> &lt; .001) and Trust Restoration (</w:t>
      </w:r>
      <w:r>
        <w:rPr>
          <w:rFonts w:ascii="Times Roman" w:hAnsi="Times Roman" w:hint="default"/>
          <w:rtl w:val="0"/>
        </w:rPr>
        <w:t xml:space="preserve">β </w:t>
      </w:r>
      <w:r>
        <w:rPr>
          <w:rFonts w:ascii="Times Roman" w:hAnsi="Times Roman"/>
          <w:rtl w:val="0"/>
        </w:rPr>
        <w:t xml:space="preserve">= 0.37, </w:t>
      </w:r>
      <w:r>
        <w:rPr>
          <w:rFonts w:ascii="Times Roman" w:hAnsi="Times Roman"/>
          <w:i w:val="1"/>
          <w:iCs w:val="1"/>
          <w:rtl w:val="0"/>
        </w:rPr>
        <w:t>p</w:t>
      </w:r>
      <w:r>
        <w:rPr>
          <w:rFonts w:ascii="Times Roman" w:hAnsi="Times Roman"/>
          <w:rtl w:val="0"/>
          <w:lang w:val="en-US"/>
        </w:rPr>
        <w:t xml:space="preserve"> &lt; .001) emerged as the strongest predictors in the PLS-SEM analysis, and these quantitative results were powerfully corroborated by the four dominant qualitative themes: </w:t>
      </w:r>
      <w:r>
        <w:rPr>
          <w:rFonts w:ascii="Times Roman" w:hAnsi="Times Roman" w:hint="default"/>
          <w:rtl w:val="1"/>
          <w:lang w:val="ar-SA" w:bidi="ar-SA"/>
        </w:rPr>
        <w:t>“</w:t>
      </w:r>
      <w:r>
        <w:rPr>
          <w:rFonts w:ascii="Times Roman" w:hAnsi="Times Roman"/>
          <w:rtl w:val="0"/>
          <w:lang w:val="en-US"/>
        </w:rPr>
        <w:t>Trust is Fragile but Recoverable,</w:t>
      </w:r>
      <w:r>
        <w:rPr>
          <w:rFonts w:ascii="Times Roman" w:hAnsi="Times Roman" w:hint="default"/>
          <w:rtl w:val="0"/>
        </w:rPr>
        <w:t>” “</w:t>
      </w:r>
      <w:r>
        <w:rPr>
          <w:rFonts w:ascii="Times Roman" w:hAnsi="Times Roman"/>
          <w:rtl w:val="0"/>
          <w:lang w:val="en-US"/>
        </w:rPr>
        <w:t>Governance Exists on Paper, Not on the Ground,</w:t>
      </w:r>
      <w:r>
        <w:rPr>
          <w:rFonts w:ascii="Times Roman" w:hAnsi="Times Roman" w:hint="default"/>
          <w:rtl w:val="0"/>
        </w:rPr>
        <w:t>” “</w:t>
      </w:r>
      <w:r>
        <w:rPr>
          <w:rFonts w:ascii="Times Roman" w:hAnsi="Times Roman"/>
          <w:rtl w:val="0"/>
          <w:lang w:val="en-US"/>
        </w:rPr>
        <w:t>The Last Mile is Still Broken,</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Women Are Ready, But the System Isn</w:t>
      </w:r>
      <w:r>
        <w:rPr>
          <w:rFonts w:ascii="Times Roman" w:hAnsi="Times Roman" w:hint="default"/>
          <w:rtl w:val="1"/>
        </w:rPr>
        <w:t>’</w:t>
      </w:r>
      <w:r>
        <w:rPr>
          <w:rFonts w:ascii="Times Roman" w:hAnsi="Times Roman"/>
          <w:rtl w:val="0"/>
        </w:rPr>
        <w:t>t.</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Convergence was most evident in the central role of trust restoration. The quantitative path from Trust Restoration to Behavioral Intention (</w:t>
      </w:r>
      <w:r>
        <w:rPr>
          <w:rFonts w:ascii="Times Roman" w:hAnsi="Times Roman" w:hint="default"/>
          <w:rtl w:val="0"/>
        </w:rPr>
        <w:t xml:space="preserve">β </w:t>
      </w:r>
      <w:r>
        <w:rPr>
          <w:rFonts w:ascii="Times Roman" w:hAnsi="Times Roman"/>
          <w:rtl w:val="0"/>
          <w:lang w:val="en-US"/>
        </w:rPr>
        <w:t>= 0.37) was directly illuminated by BFIU and commercial bank informants who described how rapid public compensation and visible regulatory action after SIM-swap incidents could rebound trust within weeks, while delayed or opaque responses caused lasting withdrawal. One senior BFIU official</w:t>
      </w:r>
      <w:r>
        <w:rPr>
          <w:rFonts w:ascii="Times Roman" w:hAnsi="Times Roman" w:hint="default"/>
          <w:rtl w:val="1"/>
        </w:rPr>
        <w:t>’</w:t>
      </w:r>
      <w:r>
        <w:rPr>
          <w:rFonts w:ascii="Times Roman" w:hAnsi="Times Roman"/>
          <w:rtl w:val="0"/>
          <w:lang w:val="en-US"/>
        </w:rPr>
        <w:t>s statement</w:t>
      </w:r>
      <w:r>
        <w:rPr>
          <w:rFonts w:ascii="Times Roman" w:hAnsi="Times Roman" w:hint="default"/>
          <w:rtl w:val="0"/>
          <w:lang w:val="en-US"/>
        </w:rPr>
        <w:t>—“</w:t>
      </w:r>
      <w:r>
        <w:rPr>
          <w:rFonts w:ascii="Times Roman" w:hAnsi="Times Roman"/>
          <w:rtl w:val="0"/>
          <w:lang w:val="en-US"/>
        </w:rPr>
        <w:t>One SIM-swap fraud can destroy years of awareness work. But when we respond quickly and compensate victims publicly, trust rebounds faster than we expect</w:t>
      </w:r>
      <w:r>
        <w:rPr>
          <w:rFonts w:ascii="Times Roman" w:hAnsi="Times Roman" w:hint="default"/>
          <w:rtl w:val="0"/>
        </w:rPr>
        <w:t>”—</w:t>
      </w:r>
      <w:r>
        <w:rPr>
          <w:rFonts w:ascii="Times Roman" w:hAnsi="Times Roman"/>
          <w:rtl w:val="0"/>
          <w:lang w:val="en-US"/>
        </w:rPr>
        <w:t>provides thick-description validation of the large effect size (f</w:t>
      </w:r>
      <w:r>
        <w:rPr>
          <w:rFonts w:ascii="Times Roman" w:hAnsi="Times Roman" w:hint="default"/>
          <w:rtl w:val="0"/>
        </w:rPr>
        <w:t xml:space="preserve">² </w:t>
      </w:r>
      <w:r>
        <w:rPr>
          <w:rFonts w:ascii="Times Roman" w:hAnsi="Times Roman"/>
          <w:rtl w:val="0"/>
          <w:lang w:val="en-US"/>
        </w:rPr>
        <w:t>= 0.18) observed in the structural model.</w:t>
      </w:r>
      <w:r>
        <w:rPr>
          <w:rFonts w:ascii="Times Roman" w:cs="Times Roman" w:hAnsi="Times Roman" w:eastAsia="Times Roman"/>
        </w:rPr>
        <w:drawing xmlns:a="http://schemas.openxmlformats.org/drawingml/2006/main">
          <wp:anchor distT="152400" distB="152400" distL="152400" distR="152400" simplePos="0" relativeHeight="251682816" behindDoc="0" locked="0" layoutInCell="1" allowOverlap="1">
            <wp:simplePos x="0" y="0"/>
            <wp:positionH relativeFrom="margin">
              <wp:posOffset>-6349</wp:posOffset>
            </wp:positionH>
            <wp:positionV relativeFrom="line">
              <wp:posOffset>223530</wp:posOffset>
            </wp:positionV>
            <wp:extent cx="6120057" cy="2996210"/>
            <wp:effectExtent l="0" t="0" r="0" b="0"/>
            <wp:wrapTopAndBottom distT="152400" distB="152400"/>
            <wp:docPr id="1073741868"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68" name="pasted-image.tiff" descr="pasted-image.tiff"/>
                    <pic:cNvPicPr>
                      <a:picLocks noChangeAspect="1"/>
                    </pic:cNvPicPr>
                  </pic:nvPicPr>
                  <pic:blipFill>
                    <a:blip r:embed="rId37">
                      <a:extLst/>
                    </a:blip>
                    <a:stretch>
                      <a:fillRect/>
                    </a:stretch>
                  </pic:blipFill>
                  <pic:spPr>
                    <a:xfrm>
                      <a:off x="0" y="0"/>
                      <a:ext cx="6120057" cy="2996210"/>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7.</w:t>
      </w:r>
      <w:r>
        <w:rPr>
          <w:rFonts w:ascii="Times Roman" w:hAnsi="Times Roman"/>
          <w:b w:val="1"/>
          <w:bCs w:val="1"/>
          <w:rtl w:val="0"/>
          <w:lang w:val="ru-RU"/>
        </w:rPr>
        <w:t>1:</w:t>
      </w:r>
      <w:r>
        <w:rPr>
          <w:rFonts w:ascii="Times Roman" w:hAnsi="Times Roman"/>
          <w:i w:val="1"/>
          <w:iCs w:val="1"/>
          <w:rtl w:val="0"/>
          <w:lang w:val="en-US"/>
        </w:rPr>
        <w:t xml:space="preserve"> Extended UTAUT2 Structural Flowchart</w:t>
      </w:r>
      <w:r>
        <w:rPr>
          <w:rFonts w:ascii="Times Roman" w:hAnsi="Times Roman"/>
          <w:i w:val="1"/>
          <w:iCs w:val="1"/>
          <w:rtl w:val="0"/>
          <w:lang w:val="en-US"/>
        </w:rPr>
        <w:t xml:space="preserve">. </w:t>
      </w:r>
      <w:r>
        <w:rPr>
          <w:rFonts w:ascii="Times Roman" w:hAnsi="Times Roman"/>
          <w:b w:val="1"/>
          <w:bCs w:val="1"/>
          <w:rtl w:val="0"/>
          <w:lang w:val="nl-NL"/>
        </w:rPr>
        <w:t>van Dijk, J. A. G. M. (2020):</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line="240" w:lineRule="auto"/>
        <w:jc w:val="both"/>
        <w:rPr>
          <w:rFonts w:ascii="Times Roman" w:cs="Times Roman" w:hAnsi="Times Roman" w:eastAsia="Times Roman"/>
        </w:rPr>
      </w:pPr>
      <w:r>
        <w:rPr>
          <w:rFonts w:ascii="Times Roman" w:hAnsi="Times Roman"/>
          <w:b w:val="1"/>
          <w:bCs w:val="1"/>
          <w:rtl w:val="0"/>
          <w:lang w:val="en-US"/>
        </w:rPr>
        <w:t>Figure 7.1: Integrated UTAUT2, Institutional, and Digital Divide Structural Model.</w:t>
      </w:r>
      <w:r>
        <w:rPr>
          <w:rFonts w:ascii="Times Roman" w:hAnsi="Times Roman"/>
          <w:rtl w:val="0"/>
          <w:lang w:val="en-US"/>
        </w:rPr>
        <w:t xml:space="preserve"> This flowchart maps the quantitative beta coefficients (</w:t>
      </w:r>
      <w:r>
        <w:rPr>
          <w:rFonts w:ascii="Times Roman" w:hAnsi="Times Roman" w:hint="default"/>
          <w:rtl w:val="0"/>
        </w:rPr>
        <w:t>β</w:t>
      </w:r>
      <w:r>
        <w:rPr>
          <w:rFonts w:ascii="Times Roman" w:hAnsi="Times Roman"/>
          <w:rtl w:val="0"/>
          <w:lang w:val="en-US"/>
        </w:rPr>
        <w:t>) derived from the PLS-SEM analysis. The model highlights the dominant predictive pathways of Performance Expectancy (</w:t>
      </w:r>
      <w:r>
        <w:rPr>
          <w:rFonts w:ascii="Times Roman" w:hAnsi="Times Roman" w:hint="default"/>
          <w:rtl w:val="0"/>
        </w:rPr>
        <w:t xml:space="preserve">β </w:t>
      </w:r>
      <w:r>
        <w:rPr>
          <w:rFonts w:ascii="Times Roman" w:hAnsi="Times Roman"/>
          <w:rtl w:val="0"/>
          <w:lang w:val="en-US"/>
        </w:rPr>
        <w:t>= 0.41) and Trust Restoration (</w:t>
      </w:r>
      <w:r>
        <w:rPr>
          <w:rFonts w:ascii="Times Roman" w:hAnsi="Times Roman" w:hint="default"/>
          <w:rtl w:val="0"/>
        </w:rPr>
        <w:t xml:space="preserve">β </w:t>
      </w:r>
      <w:r>
        <w:rPr>
          <w:rFonts w:ascii="Times Roman" w:hAnsi="Times Roman"/>
          <w:rtl w:val="0"/>
          <w:lang w:val="en-US"/>
        </w:rPr>
        <w:t>= 0.37) on Behavioral Intention (R</w:t>
      </w:r>
      <w:r>
        <w:rPr>
          <w:rFonts w:ascii="Times Roman" w:hAnsi="Times Roman" w:hint="default"/>
          <w:rtl w:val="0"/>
        </w:rPr>
        <w:t xml:space="preserve">² </w:t>
      </w:r>
      <w:r>
        <w:rPr>
          <w:rFonts w:ascii="Times Roman" w:hAnsi="Times Roman"/>
          <w:rtl w:val="0"/>
          <w:lang w:val="en-US"/>
        </w:rPr>
        <w:t>= 0.68), alongside the critical moderating effect of Governance Perception (</w:t>
      </w:r>
      <w:r>
        <w:rPr>
          <w:rFonts w:ascii="Times Roman" w:hAnsi="Times Roman" w:hint="default"/>
          <w:rtl w:val="0"/>
        </w:rPr>
        <w:t xml:space="preserve">β </w:t>
      </w:r>
      <w:r>
        <w:rPr>
          <w:rFonts w:ascii="Times Roman" w:hAnsi="Times Roman"/>
          <w:rtl w:val="0"/>
        </w:rPr>
        <w:t>= 0.14).</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Complementarity was particularly pronounced in the multi-group analysis (MGA) results. The significantly stronger Agent Quality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Behavioral Intention path among rural users (</w:t>
      </w:r>
      <w:r>
        <w:rPr>
          <w:rFonts w:ascii="Times Roman" w:hAnsi="Times Roman" w:hint="default"/>
          <w:rtl w:val="0"/>
        </w:rPr>
        <w:t xml:space="preserve">β </w:t>
      </w:r>
      <w:r>
        <w:rPr>
          <w:rFonts w:ascii="Times Roman" w:hAnsi="Times Roman"/>
          <w:rtl w:val="0"/>
        </w:rPr>
        <w:t xml:space="preserve">= 0.38 vs. 0.19 urban, </w:t>
      </w:r>
      <w:r>
        <w:rPr>
          <w:rFonts w:ascii="Times Roman" w:hAnsi="Times Roman"/>
          <w:i w:val="1"/>
          <w:iCs w:val="1"/>
          <w:rtl w:val="0"/>
        </w:rPr>
        <w:t>p</w:t>
      </w:r>
      <w:r>
        <w:rPr>
          <w:rFonts w:ascii="Times Roman" w:hAnsi="Times Roman"/>
          <w:rtl w:val="0"/>
          <w:lang w:val="en-US"/>
        </w:rPr>
        <w:t xml:space="preserve"> &lt; .05) was richly explained by rural agent vignettes and liquidity narratives: </w:t>
      </w:r>
      <w:r>
        <w:rPr>
          <w:rFonts w:ascii="Times Roman" w:hAnsi="Times Roman" w:hint="default"/>
          <w:rtl w:val="1"/>
          <w:lang w:val="ar-SA" w:bidi="ar-SA"/>
        </w:rPr>
        <w:t>“</w:t>
      </w:r>
      <w:r>
        <w:rPr>
          <w:rFonts w:ascii="Times Roman" w:hAnsi="Times Roman"/>
          <w:rtl w:val="0"/>
          <w:lang w:val="en-US"/>
        </w:rPr>
        <w:t>During Eid, we run out of cash by 2 PM. Customers get angry and go back to cash.</w:t>
      </w:r>
      <w:r>
        <w:rPr>
          <w:rFonts w:ascii="Times Roman" w:hAnsi="Times Roman" w:hint="default"/>
          <w:rtl w:val="0"/>
        </w:rPr>
        <w:t xml:space="preserve">” </w:t>
      </w:r>
      <w:r>
        <w:rPr>
          <w:rFonts w:ascii="Times Roman" w:hAnsi="Times Roman"/>
          <w:rtl w:val="0"/>
          <w:lang w:val="en-US"/>
        </w:rPr>
        <w:t>Similarly, the stronger negative effect of Post-Fraud Risk Perception among females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pt-PT"/>
        </w:rPr>
        <w:t xml:space="preserve">0.31 vs. </w:t>
      </w:r>
      <w:r>
        <w:rPr>
          <w:rFonts w:ascii="Times Roman" w:hAnsi="Times Roman" w:hint="default"/>
          <w:rtl w:val="0"/>
        </w:rPr>
        <w:t>−</w:t>
      </w:r>
      <w:r>
        <w:rPr>
          <w:rFonts w:ascii="Times Roman" w:hAnsi="Times Roman"/>
          <w:rtl w:val="0"/>
          <w:lang w:val="es-ES_tradnl"/>
        </w:rPr>
        <w:t xml:space="preserve">0.15 males, </w:t>
      </w:r>
      <w:r>
        <w:rPr>
          <w:rFonts w:ascii="Times Roman" w:hAnsi="Times Roman"/>
          <w:i w:val="1"/>
          <w:iCs w:val="1"/>
          <w:rtl w:val="0"/>
        </w:rPr>
        <w:t>p</w:t>
      </w:r>
      <w:r>
        <w:rPr>
          <w:rFonts w:ascii="Times Roman" w:hAnsi="Times Roman"/>
          <w:rtl w:val="0"/>
          <w:lang w:val="en-US"/>
        </w:rPr>
        <w:t xml:space="preserve"> &lt; .05) was complemented by female fintech founders and users who highlighted privacy deficits at cash points and English-language app interfaces, confirming that gender norms and infrastructural realities amplify risk perceptions beyond what the core UTAUT2 constructs capture.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Divergence was minimal and theoretically informative. While the quantitative model showed Habit as a weaker predictor overall, qualitative data revealed that habit formation occurs </w:t>
      </w:r>
      <w:r>
        <w:rPr>
          <w:rFonts w:ascii="Times Roman" w:hAnsi="Times Roman"/>
          <w:i w:val="1"/>
          <w:iCs w:val="1"/>
          <w:rtl w:val="0"/>
          <w:lang w:val="en-US"/>
        </w:rPr>
        <w:t>through</w:t>
      </w:r>
      <w:r>
        <w:rPr>
          <w:rFonts w:ascii="Times Roman" w:hAnsi="Times Roman"/>
          <w:rtl w:val="0"/>
          <w:lang w:val="en-US"/>
        </w:rPr>
        <w:t xml:space="preserve"> trusted agents rather than direct app repetition among low-literacy and rural cohorts. This divergence actually strengthens the theoretical contribution: in emerging-market contexts with high agent dependency, habit is socially mediated rather than purely individual, suggesting a needed extension of Venkatesh et al.</w:t>
      </w:r>
      <w:r>
        <w:rPr>
          <w:rFonts w:ascii="Times Roman" w:hAnsi="Times Roman" w:hint="default"/>
          <w:rtl w:val="1"/>
        </w:rPr>
        <w:t>’</w:t>
      </w:r>
      <w:r>
        <w:rPr>
          <w:rFonts w:ascii="Times Roman" w:hAnsi="Times Roman"/>
          <w:rtl w:val="0"/>
          <w:lang w:val="en-US"/>
        </w:rPr>
        <w:t>s (2012) habit construct for collectivist, last-mile ecosystems.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Meta-inferences drawn from joint displays confirm that the integrated model successfully bridges micro-level cognitions (performance expectancy, effort expectancy) with macro-level institutional realities (governance perception, regulatory enforcement). The quantitative finding that Governance Perception positively moderates the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Intention relationship (</w:t>
      </w:r>
      <w:r>
        <w:rPr>
          <w:rFonts w:ascii="Times Roman" w:hAnsi="Times Roman" w:hint="default"/>
          <w:rtl w:val="0"/>
        </w:rPr>
        <w:t xml:space="preserve">β </w:t>
      </w:r>
      <w:r>
        <w:rPr>
          <w:rFonts w:ascii="Times Roman" w:hAnsi="Times Roman"/>
          <w:rtl w:val="0"/>
        </w:rPr>
        <w:t xml:space="preserve">= 0.14, </w:t>
      </w:r>
      <w:r>
        <w:rPr>
          <w:rFonts w:ascii="Times Roman" w:hAnsi="Times Roman"/>
          <w:i w:val="1"/>
          <w:iCs w:val="1"/>
          <w:rtl w:val="0"/>
        </w:rPr>
        <w:t>p</w:t>
      </w:r>
      <w:r>
        <w:rPr>
          <w:rFonts w:ascii="Times Roman" w:hAnsi="Times Roman"/>
          <w:rtl w:val="0"/>
          <w:lang w:val="en-US"/>
        </w:rPr>
        <w:t xml:space="preserve"> &lt; .01) is given explanatory depth by the theme </w:t>
      </w:r>
      <w:r>
        <w:rPr>
          <w:rFonts w:ascii="Times Roman" w:hAnsi="Times Roman" w:hint="default"/>
          <w:rtl w:val="1"/>
          <w:lang w:val="ar-SA" w:bidi="ar-SA"/>
        </w:rPr>
        <w:t>“</w:t>
      </w:r>
      <w:r>
        <w:rPr>
          <w:rFonts w:ascii="Times Roman" w:hAnsi="Times Roman"/>
          <w:rtl w:val="0"/>
          <w:lang w:val="en-US"/>
        </w:rPr>
        <w:t>Governance Exists on Paper,</w:t>
      </w:r>
      <w:r>
        <w:rPr>
          <w:rFonts w:ascii="Times Roman" w:hAnsi="Times Roman" w:hint="default"/>
          <w:rtl w:val="0"/>
        </w:rPr>
        <w:t xml:space="preserve">” </w:t>
      </w:r>
      <w:r>
        <w:rPr>
          <w:rFonts w:ascii="Times Roman" w:hAnsi="Times Roman"/>
          <w:rtl w:val="0"/>
          <w:lang w:val="en-US"/>
        </w:rPr>
        <w:t>where informants repeatedly contrasted progressive Digital Bank Guidelines Version 2 (2025) with inconsistent enforcement on the ground. This triangulation elevates the study from mere hypothesis testing to a contextually grounded theory of post-crisis digital finance adoption in South Asia.</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7.2 Discussion within Theoretical Framework: Extending UTAUT2 with Governance, Institutional, and Trust-Restoration Variables in Post-Crisis Emerging Markets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findings provide strong empirical support for extending the Unified Theory of Acceptance and Use of Technology 2 (Venkatesh et al., 2012) with Bangladesh-specific institutional and post-crisis variables, thereby addressing longstanding critiques that original UTAUT2 underperforms in emerging markets characterized by institutional voids (Dendrinos, 2024; Merhi et al., 2019). The core UTAUT2 relationships held robustly</w:t>
      </w:r>
      <w:r>
        <w:rPr>
          <w:rFonts w:ascii="Times Roman" w:hAnsi="Times Roman" w:hint="default"/>
          <w:rtl w:val="0"/>
          <w:lang w:val="en-US"/>
        </w:rPr>
        <w:t>—</w:t>
      </w:r>
      <w:r>
        <w:rPr>
          <w:rFonts w:ascii="Times Roman" w:hAnsi="Times Roman"/>
          <w:rtl w:val="0"/>
          <w:lang w:val="en-US"/>
        </w:rPr>
        <w:t>Performance Expectancy (</w:t>
      </w:r>
      <w:r>
        <w:rPr>
          <w:rFonts w:ascii="Times Roman" w:hAnsi="Times Roman" w:hint="default"/>
          <w:rtl w:val="0"/>
        </w:rPr>
        <w:t xml:space="preserve">β </w:t>
      </w:r>
      <w:r>
        <w:rPr>
          <w:rFonts w:ascii="Times Roman" w:hAnsi="Times Roman"/>
          <w:rtl w:val="0"/>
          <w:lang w:val="en-US"/>
        </w:rPr>
        <w:t>= 0.41) and Effort Expectancy (</w:t>
      </w:r>
      <w:r>
        <w:rPr>
          <w:rFonts w:ascii="Times Roman" w:hAnsi="Times Roman" w:hint="default"/>
          <w:rtl w:val="0"/>
        </w:rPr>
        <w:t xml:space="preserve">β </w:t>
      </w:r>
      <w:r>
        <w:rPr>
          <w:rFonts w:ascii="Times Roman" w:hAnsi="Times Roman"/>
          <w:rtl w:val="0"/>
          <w:lang w:val="en-US"/>
        </w:rPr>
        <w:t>= 0.29) significantly predicted Behavioral Intention</w:t>
      </w:r>
      <w:r>
        <w:rPr>
          <w:rFonts w:ascii="Times Roman" w:hAnsi="Times Roman" w:hint="default"/>
          <w:rtl w:val="0"/>
          <w:lang w:val="en-US"/>
        </w:rPr>
        <w:t>—</w:t>
      </w:r>
      <w:r>
        <w:rPr>
          <w:rFonts w:ascii="Times Roman" w:hAnsi="Times Roman"/>
          <w:rtl w:val="0"/>
          <w:lang w:val="en-US"/>
        </w:rPr>
        <w:t>yet their explanatory power was substantially enhanced by the addition of Trust Restoration (</w:t>
      </w:r>
      <w:r>
        <w:rPr>
          <w:rFonts w:ascii="Times Roman" w:hAnsi="Times Roman" w:hint="default"/>
          <w:rtl w:val="0"/>
        </w:rPr>
        <w:t xml:space="preserve">β </w:t>
      </w:r>
      <w:r>
        <w:rPr>
          <w:rFonts w:ascii="Times Roman" w:hAnsi="Times Roman"/>
          <w:rtl w:val="0"/>
          <w:lang w:val="en-US"/>
        </w:rPr>
        <w:t>= 0.37) and Governance Perception as a moderator, increasing R</w:t>
      </w:r>
      <w:r>
        <w:rPr>
          <w:rFonts w:ascii="Times Roman" w:hAnsi="Times Roman" w:hint="default"/>
          <w:rtl w:val="0"/>
        </w:rPr>
        <w:t xml:space="preserve">² </w:t>
      </w:r>
      <w:r>
        <w:rPr>
          <w:rFonts w:ascii="Times Roman" w:hAnsi="Times Roman"/>
          <w:rtl w:val="0"/>
          <w:lang w:val="en-US"/>
        </w:rPr>
        <w:t>for Behavioral Intention to 0.68, which exceeds typical UTAUT2 benchmarks in South Asian banking studies (Rahi, 2023; Sharmin et al., 2021).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extension is theoretically significant because it integrates Scott</w:t>
      </w:r>
      <w:r>
        <w:rPr>
          <w:rFonts w:ascii="Times Roman" w:hAnsi="Times Roman" w:hint="default"/>
          <w:rtl w:val="1"/>
        </w:rPr>
        <w:t>’</w:t>
      </w:r>
      <w:r>
        <w:rPr>
          <w:rFonts w:ascii="Times Roman" w:hAnsi="Times Roman"/>
          <w:rtl w:val="0"/>
          <w:lang w:val="en-US"/>
        </w:rPr>
        <w:t xml:space="preserve">s (2008) three institutional pillars directly into the technology acceptance framework. The regulative pillar (Bangladesh Bank enforcement capacity, e-KYC mandates, and cybersecurity circulars) was operationalized through the Governance Perception construct and emerged as a critical moderator that strengthens the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Intention pathway. The normative pillar was reflected in the strong Social Influence and Agent Quality effects, particularly among rural and female users who rely on trusted intermediaries and community expectations. The cognitive-cultural pillar was captured through Post-Fraud Risk Perception and the qualitative theme of lingering cash preference and fear, which continues to suppress active usage despite high formal account ownership.</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Trust Restoration construct represents a novel theoretical contribution to post-crisis technology adoption literature. Unlike static trust measures in earlier TAM/UTAUT extensions (Kumar, 2023; Abikari, 2024), Trust Restoration explicitly models the dynamic recovery process following high-profile fraud incidents (2024</w:t>
      </w:r>
      <w:r>
        <w:rPr>
          <w:rFonts w:ascii="Times Roman" w:hAnsi="Times Roman" w:hint="default"/>
          <w:rtl w:val="0"/>
        </w:rPr>
        <w:t>–</w:t>
      </w:r>
      <w:r>
        <w:rPr>
          <w:rFonts w:ascii="Times Roman" w:hAnsi="Times Roman"/>
          <w:rtl w:val="0"/>
          <w:lang w:val="en-US"/>
        </w:rPr>
        <w:t>2025 SIM-swap, phishing, and e-money violations). The large effect size (f</w:t>
      </w:r>
      <w:r>
        <w:rPr>
          <w:rFonts w:ascii="Times Roman" w:hAnsi="Times Roman" w:hint="default"/>
          <w:rtl w:val="0"/>
        </w:rPr>
        <w:t xml:space="preserve">² </w:t>
      </w:r>
      <w:r>
        <w:rPr>
          <w:rFonts w:ascii="Times Roman" w:hAnsi="Times Roman"/>
          <w:rtl w:val="0"/>
          <w:lang w:val="en-US"/>
        </w:rPr>
        <w:t>= 0.18) and its moderation by Governance Perception demonstrate that in environments with recent institutional shocks, trust is not merely an antecedent but a recoverable resource whose restoration depends on visible regulatory responsiveness. This finding extends Sharmin et al.</w:t>
      </w:r>
      <w:r>
        <w:rPr>
          <w:rFonts w:ascii="Times Roman" w:hAnsi="Times Roman" w:hint="default"/>
          <w:rtl w:val="1"/>
        </w:rPr>
        <w:t>’</w:t>
      </w:r>
      <w:r>
        <w:rPr>
          <w:rFonts w:ascii="Times Roman" w:hAnsi="Times Roman"/>
          <w:rtl w:val="0"/>
          <w:lang w:val="en-US"/>
        </w:rPr>
        <w:t>s (2021) Bangladesh-specific UTAUT2 validation by showing that trust operates as both mediator and moderator in a post-fraud context, a nuance absent from pre-2024 studies.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Furthermore, the differential MGA results across gender and rural</w:t>
      </w:r>
      <w:r>
        <w:rPr>
          <w:rFonts w:ascii="Times Roman" w:hAnsi="Times Roman" w:hint="default"/>
          <w:rtl w:val="0"/>
        </w:rPr>
        <w:t>–</w:t>
      </w:r>
      <w:r>
        <w:rPr>
          <w:rFonts w:ascii="Times Roman" w:hAnsi="Times Roman"/>
          <w:rtl w:val="0"/>
          <w:lang w:val="en-US"/>
        </w:rPr>
        <w:t>urban divides validate the incorporation of digital divide variables (van Dijk, 2020) as moderators. The stronger Agent Quality effect for rural users and stronger Post-Fraud Risk effect for females align with Institutional Theory</w:t>
      </w:r>
      <w:r>
        <w:rPr>
          <w:rFonts w:ascii="Times Roman" w:hAnsi="Times Roman" w:hint="default"/>
          <w:rtl w:val="1"/>
        </w:rPr>
        <w:t>’</w:t>
      </w:r>
      <w:r>
        <w:rPr>
          <w:rFonts w:ascii="Times Roman" w:hAnsi="Times Roman"/>
          <w:rtl w:val="0"/>
          <w:lang w:val="en-US"/>
        </w:rPr>
        <w:t>s prediction that cognitive and normative pillars interact with structural inequalities to produce heterogeneous adoption patterns. These results advance cross-cultural technology acceptance research by demonstrating that UTAUT2</w:t>
      </w:r>
      <w:r>
        <w:rPr>
          <w:rFonts w:ascii="Times Roman" w:hAnsi="Times Roman" w:hint="default"/>
          <w:rtl w:val="1"/>
        </w:rPr>
        <w:t>’</w:t>
      </w:r>
      <w:r>
        <w:rPr>
          <w:rFonts w:ascii="Times Roman" w:hAnsi="Times Roman"/>
          <w:rtl w:val="0"/>
          <w:lang w:val="en-US"/>
        </w:rPr>
        <w:t>s universalist assumptions require explicit contextualization through Scott</w:t>
      </w:r>
      <w:r>
        <w:rPr>
          <w:rFonts w:ascii="Times Roman" w:hAnsi="Times Roman" w:hint="default"/>
          <w:rtl w:val="1"/>
        </w:rPr>
        <w:t>’</w:t>
      </w:r>
      <w:r>
        <w:rPr>
          <w:rFonts w:ascii="Times Roman" w:hAnsi="Times Roman"/>
          <w:rtl w:val="0"/>
          <w:lang w:val="en-US"/>
        </w:rPr>
        <w:t>s (2008) regulative-normative-cognitive framework when applied to post-crisis emerging economies.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7.3 Interpretation of Challenges in Bangladesh Context: Root Causes, Interlinkages, Political Economy Factors, and Institutional Voids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prioritized challenges identified through Importance-Performance Analysis and qualitative thematic analysis reveal deep-rooted, mutually reinforcing problems that cannot be addressed through isolated technical fixes. Security, fraud, and cyber risks (ranked #1) stem from a toxic combination of weak regulative enforcement, agent-level opportunism, and low digital literacy that creates systemic vulnerabilities. Transparency International Bangladesh (2025) documented that only 7.6% of individual fraud victims filed police cases, reflecting both low awareness and perceived futility of redress</w:t>
      </w:r>
      <w:r>
        <w:rPr>
          <w:rFonts w:ascii="Times Roman" w:hAnsi="Times Roman" w:hint="default"/>
          <w:rtl w:val="0"/>
          <w:lang w:val="en-US"/>
        </w:rPr>
        <w:t>—</w:t>
      </w:r>
      <w:r>
        <w:rPr>
          <w:rFonts w:ascii="Times Roman" w:hAnsi="Times Roman"/>
          <w:rtl w:val="0"/>
          <w:lang w:val="en-US"/>
        </w:rPr>
        <w:t xml:space="preserve">findings directly echoed in the qualitative theme </w:t>
      </w:r>
      <w:r>
        <w:rPr>
          <w:rFonts w:ascii="Times Roman" w:hAnsi="Times Roman" w:hint="default"/>
          <w:rtl w:val="1"/>
          <w:lang w:val="ar-SA" w:bidi="ar-SA"/>
        </w:rPr>
        <w:t>“</w:t>
      </w:r>
      <w:r>
        <w:rPr>
          <w:rFonts w:ascii="Times Roman" w:hAnsi="Times Roman"/>
          <w:rtl w:val="0"/>
          <w:lang w:val="en-US"/>
        </w:rPr>
        <w:t>Trust is Fragile but Recoverable.</w:t>
      </w:r>
      <w:r>
        <w:rPr>
          <w:rFonts w:ascii="Times Roman" w:hAnsi="Times Roman" w:hint="default"/>
          <w:rtl w:val="0"/>
        </w:rPr>
        <w:t xml:space="preserve">” </w:t>
      </w:r>
      <w:r>
        <w:rPr>
          <w:rFonts w:ascii="Times Roman" w:hAnsi="Times Roman"/>
          <w:rtl w:val="0"/>
          <w:lang w:val="en-US"/>
        </w:rPr>
        <w:t>The root cause lies in the regulative pillar void: despite advanced Digital Security Act amendments and e-KYC guidelines (effective December 2026), real-time monitoring of agent networks and cross-platform transaction flows remains limited, allowing SIM-swap and phishing networks to exploit the 1.2 million agent points with minimal deterrence.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security failures are tightly interlinked with trust erosion and the digital literacy/gender-rural divides (ranked #2). The quantitative result that Post-Fraud Risk Perception exerts a significantly stronger negative effect on females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en-US"/>
        </w:rPr>
        <w:t>0.31) is explained by the qualitative finding that women face compounded barriers: normative restrictions on independent mobile use, privacy deficits at male-dominated cash points, and lower self-assessed digital literacy (rural female mean = 4.12 vs. urban male mean = 5.67). This creates a vicious cycle: fraud incidents disproportionately deter the very segments (women, rural poor) that the Cashless Economy Roadmap 2030 and Smart Bangladesh 2041 aim to include, thereby widening rather than narrowing inequality.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Regulatory and governance issues (ranked #3), particularly market concentration (bKash </w:t>
      </w:r>
      <w:r>
        <w:rPr>
          <w:rFonts w:ascii="Times Roman" w:hAnsi="Times Roman" w:hint="default"/>
          <w:rtl w:val="0"/>
        </w:rPr>
        <w:t xml:space="preserve">≈ </w:t>
      </w:r>
      <w:r>
        <w:rPr>
          <w:rFonts w:ascii="Times Roman" w:hAnsi="Times Roman"/>
          <w:rtl w:val="0"/>
          <w:lang w:val="en-US"/>
        </w:rPr>
        <w:t>63% share, HHI &gt; 2,800) and BFIU capacity constraints, reflect classic political economy dynamics in emerging financial markets. The state-backed entry of Nagad has introduced competition but also perceptions of regulatory favoritism, while dominant players</w:t>
      </w:r>
      <w:r>
        <w:rPr>
          <w:rFonts w:ascii="Times Roman" w:hAnsi="Times Roman" w:hint="default"/>
          <w:rtl w:val="1"/>
        </w:rPr>
        <w:t xml:space="preserve">’ </w:t>
      </w:r>
      <w:r>
        <w:rPr>
          <w:rFonts w:ascii="Times Roman" w:hAnsi="Times Roman"/>
          <w:rtl w:val="0"/>
          <w:lang w:val="en-US"/>
        </w:rPr>
        <w:t xml:space="preserve">agent lock-in effects and data advantages stifle innovation from smaller fintechs. The qualitative theme </w:t>
      </w:r>
      <w:r>
        <w:rPr>
          <w:rFonts w:ascii="Times Roman" w:hAnsi="Times Roman" w:hint="default"/>
          <w:rtl w:val="1"/>
          <w:lang w:val="ar-SA" w:bidi="ar-SA"/>
        </w:rPr>
        <w:t>“</w:t>
      </w:r>
      <w:r>
        <w:rPr>
          <w:rFonts w:ascii="Times Roman" w:hAnsi="Times Roman"/>
          <w:rtl w:val="0"/>
          <w:lang w:val="en-US"/>
        </w:rPr>
        <w:t>Governance Exists on Paper</w:t>
      </w:r>
      <w:r>
        <w:rPr>
          <w:rFonts w:ascii="Times Roman" w:hAnsi="Times Roman" w:hint="default"/>
          <w:rtl w:val="0"/>
        </w:rPr>
        <w:t xml:space="preserve">” </w:t>
      </w:r>
      <w:r>
        <w:rPr>
          <w:rFonts w:ascii="Times Roman" w:hAnsi="Times Roman"/>
          <w:rtl w:val="0"/>
          <w:lang w:val="en-US"/>
        </w:rPr>
        <w:t>captures the disconnect between progressive frameworks (Digital Bank Guidelines Version 2, Risk-Based Supervision restructuring effective January 2026) and ground-level enforcement gaps. Institutional voids are most acute in the normative and cognitive pillars: agent training standards remain inconsistent, and public cognitive schemas continue to associate digital finance with risk rather than reliability, despite 239.3 million registered accounts.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Finally, agent network quality, high fees, and last-mile liquidity challenges (ranked #4, but #2 for rural users) expose the limits of scale without depth. The 1.2 million agent network that enabled Bangladesh</w:t>
      </w:r>
      <w:r>
        <w:rPr>
          <w:rFonts w:ascii="Times Roman" w:hAnsi="Times Roman" w:hint="default"/>
          <w:rtl w:val="1"/>
        </w:rPr>
        <w:t>’</w:t>
      </w:r>
      <w:r>
        <w:rPr>
          <w:rFonts w:ascii="Times Roman" w:hAnsi="Times Roman"/>
          <w:rtl w:val="0"/>
          <w:lang w:val="en-US"/>
        </w:rPr>
        <w:t>s global leadership in mobile money volume now constitutes a single point of failure when liquidity shortages during peak periods (Eid, harvest seasons) drive users back to cash. This finding underscores that last-mile infrastructure is not merely a technical facilitating condition but a critical institutional and cognitive pillar that determines whether formal inclusion translates into active, trust-based usage.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Collectively, these challenges form an interlocking system in which security incidents erode trust, weak enforcement sustains concentration and opportunism, and infrastructural/literacy divides prevent the network effects necessary for a truly cash-light ecosystem. The integrated model tested in this study demonstrates that breaking this cycle requires simultaneous strengthening of regulative enforcement (real-time monitoring, swift redressal), normative professionalization of agents, and cognitive trust restoration through visible governance responsiveness</w:t>
      </w:r>
      <w:r>
        <w:rPr>
          <w:rFonts w:ascii="Times Roman" w:hAnsi="Times Roman" w:hint="default"/>
          <w:rtl w:val="0"/>
          <w:lang w:val="en-US"/>
        </w:rPr>
        <w:t>—</w:t>
      </w:r>
      <w:r>
        <w:rPr>
          <w:rFonts w:ascii="Times Roman" w:hAnsi="Times Roman"/>
          <w:rtl w:val="0"/>
          <w:lang w:val="en-US"/>
        </w:rPr>
        <w:t>precisely the multi-level interventions the extended UTAUT2 framework was designed to diagnose and guide.</w:t>
      </w:r>
      <w:r>
        <w:rPr>
          <w:rFonts w:ascii="Times Roman" w:cs="Times Roman" w:hAnsi="Times Roman" w:eastAsia="Times Roman"/>
        </w:rPr>
        <w:drawing xmlns:a="http://schemas.openxmlformats.org/drawingml/2006/main">
          <wp:anchor distT="152400" distB="152400" distL="152400" distR="152400" simplePos="0" relativeHeight="251683840" behindDoc="0" locked="0" layoutInCell="1" allowOverlap="1">
            <wp:simplePos x="0" y="0"/>
            <wp:positionH relativeFrom="margin">
              <wp:posOffset>205942</wp:posOffset>
            </wp:positionH>
            <wp:positionV relativeFrom="line">
              <wp:posOffset>349466</wp:posOffset>
            </wp:positionV>
            <wp:extent cx="5695471" cy="3383372"/>
            <wp:effectExtent l="0" t="0" r="0" b="0"/>
            <wp:wrapThrough wrapText="bothSides" distL="152400" distR="152400">
              <wp:wrapPolygon edited="1">
                <wp:start x="0" y="0"/>
                <wp:lineTo x="21600" y="0"/>
                <wp:lineTo x="21600" y="21625"/>
                <wp:lineTo x="0" y="21625"/>
                <wp:lineTo x="0" y="0"/>
              </wp:wrapPolygon>
            </wp:wrapThrough>
            <wp:docPr id="1073741869"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69" name="pasted-image.tiff" descr="pasted-image.tiff"/>
                    <pic:cNvPicPr>
                      <a:picLocks noChangeAspect="1"/>
                    </pic:cNvPicPr>
                  </pic:nvPicPr>
                  <pic:blipFill>
                    <a:blip r:embed="rId38">
                      <a:extLst/>
                    </a:blip>
                    <a:stretch>
                      <a:fillRect/>
                    </a:stretch>
                  </pic:blipFill>
                  <pic:spPr>
                    <a:xfrm>
                      <a:off x="0" y="0"/>
                      <a:ext cx="5695471" cy="3383372"/>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w:t>
      </w:r>
      <w:r>
        <w:rPr>
          <w:rFonts w:ascii="Times Roman" w:hAnsi="Times Roman"/>
          <w:b w:val="1"/>
          <w:bCs w:val="1"/>
          <w:rtl w:val="0"/>
          <w:lang w:val="en-US"/>
        </w:rPr>
        <w:t>7.</w:t>
      </w:r>
      <w:r>
        <w:rPr>
          <w:rFonts w:ascii="Times Roman" w:hAnsi="Times Roman"/>
          <w:b w:val="1"/>
          <w:bCs w:val="1"/>
          <w:rtl w:val="0"/>
        </w:rPr>
        <w:t xml:space="preserve">2: </w:t>
      </w:r>
      <w:r>
        <w:rPr>
          <w:rFonts w:ascii="Times Roman" w:hAnsi="Times Roman"/>
          <w:i w:val="1"/>
          <w:iCs w:val="1"/>
          <w:rtl w:val="0"/>
          <w:lang w:val="en-US"/>
        </w:rPr>
        <w:t>IPA Challenges (Horizontal Bar Graph)</w:t>
      </w:r>
      <w:r>
        <w:rPr>
          <w:rFonts w:ascii="Times Roman" w:hAnsi="Times Roman"/>
          <w:i w:val="1"/>
          <w:iCs w:val="1"/>
          <w:rtl w:val="0"/>
          <w:lang w:val="en-US"/>
        </w:rPr>
        <w:t>.</w:t>
      </w:r>
      <w:r>
        <w:rPr>
          <w:rFonts w:ascii="Times Roman" w:hAnsi="Times Roman"/>
          <w:b w:val="1"/>
          <w:bCs w:val="1"/>
          <w:rtl w:val="0"/>
          <w:lang w:val="en-US"/>
        </w:rPr>
        <w:t>Transparency International Bangladesh (TIB) (2025)</w:t>
      </w:r>
      <w:r>
        <w:rPr>
          <w:rFonts w:ascii="Times Roman" w:hAnsi="Times Roman"/>
          <w:b w:val="1"/>
          <w:bCs w:val="1"/>
          <w:rtl w:val="0"/>
          <w:lang w:val="en-US"/>
        </w:rPr>
        <w:t>.</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r>
        <w:rPr>
          <w:rFonts w:ascii="Times Roman" w:hAnsi="Times Roman"/>
          <w:b w:val="1"/>
          <w:bCs w:val="1"/>
          <w:rtl w:val="0"/>
          <w:lang w:val="fr-FR"/>
        </w:rPr>
        <w:t>Figure Description</w:t>
      </w:r>
      <w:r>
        <w:rPr>
          <w:rFonts w:ascii="Times Roman" w:hAnsi="Times Roman"/>
          <w:b w:val="1"/>
          <w:bCs w:val="1"/>
          <w:rtl w:val="0"/>
          <w:lang w:val="en-US"/>
        </w:rPr>
        <w:t xml:space="preserve">: </w:t>
      </w:r>
      <w:r>
        <w:rPr>
          <w:rFonts w:ascii="Times Roman" w:hAnsi="Times Roman"/>
          <w:b w:val="1"/>
          <w:bCs w:val="1"/>
          <w:rtl w:val="0"/>
          <w:lang w:val="it-IT"/>
        </w:rPr>
        <w:t>Figure 7.</w:t>
      </w:r>
      <w:r>
        <w:rPr>
          <w:rFonts w:ascii="Times Roman" w:hAnsi="Times Roman"/>
          <w:b w:val="1"/>
          <w:bCs w:val="1"/>
          <w:rtl w:val="0"/>
          <w:lang w:val="en-US"/>
        </w:rPr>
        <w:t>2</w:t>
      </w:r>
      <w:r>
        <w:rPr>
          <w:rFonts w:ascii="Times Roman" w:hAnsi="Times Roman"/>
          <w:b w:val="1"/>
          <w:bCs w:val="1"/>
          <w:rtl w:val="0"/>
          <w:lang w:val="en-US"/>
        </w:rPr>
        <w:t xml:space="preserve"> Importance-Performance Analysis of Ecosystem Challenges.</w:t>
      </w:r>
      <w:r>
        <w:rPr>
          <w:rFonts w:ascii="Times Roman" w:hAnsi="Times Roman"/>
          <w:rtl w:val="0"/>
          <w:lang w:val="en-US"/>
        </w:rPr>
        <w:t xml:space="preserve"> This figure illustrates the ranked severity of deeply-rooted, mutually reinforcing institutional voids and infrastructure gaps. Security, fraud, and cyber risks represent the most critical barrier, driven by the weak regulative enforcement and low digital literacy characterizing the post-2024</w:t>
      </w:r>
      <w:r>
        <w:rPr>
          <w:rFonts w:ascii="Times Roman" w:hAnsi="Times Roman" w:hint="default"/>
          <w:rtl w:val="0"/>
        </w:rPr>
        <w:t>–</w:t>
      </w:r>
      <w:r>
        <w:rPr>
          <w:rFonts w:ascii="Times Roman" w:hAnsi="Times Roman"/>
          <w:rtl w:val="0"/>
          <w:lang w:val="en-US"/>
        </w:rPr>
        <w:t>25 environment.</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7.4 Prospects Evaluation: Realistic Growth Scenarios (Optimistic/Base/Pessimistic), Enabling Conditions, Risk Mitigation Pathways to 2030 &amp; 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Building directly on the structural model</w:t>
      </w:r>
      <w:r>
        <w:rPr>
          <w:rFonts w:ascii="Times Roman" w:hAnsi="Times Roman" w:hint="default"/>
          <w:rtl w:val="1"/>
        </w:rPr>
        <w:t>’</w:t>
      </w:r>
      <w:r>
        <w:rPr>
          <w:rFonts w:ascii="Times Roman" w:hAnsi="Times Roman"/>
          <w:rtl w:val="0"/>
          <w:lang w:val="en-US"/>
        </w:rPr>
        <w:t>s strong predictive validity (R</w:t>
      </w:r>
      <w:r>
        <w:rPr>
          <w:rFonts w:ascii="Times Roman" w:hAnsi="Times Roman" w:hint="default"/>
          <w:rtl w:val="0"/>
        </w:rPr>
        <w:t xml:space="preserve">² </w:t>
      </w:r>
      <w:r>
        <w:rPr>
          <w:rFonts w:ascii="Times Roman" w:hAnsi="Times Roman"/>
          <w:rtl w:val="0"/>
          <w:lang w:val="en-US"/>
        </w:rPr>
        <w:t>= 0.68 for Behavioral Intention) and the qualitative expert consensus that Bangladesh stands at a critical inflection point, three realistic growth scenarios for e-banking and digital financial services were developed using a hybrid Intuitive Logics and Morphological Analysis approach. These scenarios integrate the empirical findings</w:t>
      </w:r>
      <w:r>
        <w:rPr>
          <w:rFonts w:ascii="Times Roman" w:hAnsi="Times Roman" w:hint="default"/>
          <w:rtl w:val="0"/>
          <w:lang w:val="en-US"/>
        </w:rPr>
        <w:t>—</w:t>
      </w:r>
      <w:r>
        <w:rPr>
          <w:rFonts w:ascii="Times Roman" w:hAnsi="Times Roman"/>
          <w:rtl w:val="0"/>
          <w:lang w:val="en-US"/>
        </w:rPr>
        <w:t>particularly the dominant roles of Performance Expectancy (</w:t>
      </w:r>
      <w:r>
        <w:rPr>
          <w:rFonts w:ascii="Times Roman" w:hAnsi="Times Roman" w:hint="default"/>
          <w:rtl w:val="0"/>
        </w:rPr>
        <w:t xml:space="preserve">β </w:t>
      </w:r>
      <w:r>
        <w:rPr>
          <w:rFonts w:ascii="Times Roman" w:hAnsi="Times Roman"/>
          <w:rtl w:val="0"/>
          <w:lang w:val="en-US"/>
        </w:rPr>
        <w:t>= 0.41) and Trust Restoration (</w:t>
      </w:r>
      <w:r>
        <w:rPr>
          <w:rFonts w:ascii="Times Roman" w:hAnsi="Times Roman" w:hint="default"/>
          <w:rtl w:val="0"/>
        </w:rPr>
        <w:t xml:space="preserve">β </w:t>
      </w:r>
      <w:r>
        <w:rPr>
          <w:rFonts w:ascii="Times Roman" w:hAnsi="Times Roman"/>
          <w:rtl w:val="0"/>
          <w:lang w:val="en-US"/>
        </w:rPr>
        <w:t>= 0.37), the moderating effects of Governance Perception and digital divide variables, and the prioritized challenges from the Importance-Performance Analysis</w:t>
      </w:r>
      <w:r>
        <w:rPr>
          <w:rFonts w:ascii="Times Roman" w:hAnsi="Times Roman" w:hint="default"/>
          <w:rtl w:val="0"/>
          <w:lang w:val="en-US"/>
        </w:rPr>
        <w:t>—</w:t>
      </w:r>
      <w:r>
        <w:rPr>
          <w:rFonts w:ascii="Times Roman" w:hAnsi="Times Roman"/>
          <w:rtl w:val="0"/>
          <w:lang w:val="en-US"/>
        </w:rPr>
        <w:t>with forward-looking projections aligned to the Cashless Economy Roadmap 2030 and Smart Bangladesh Vision 2041.</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Optimistic Scenario (High-Trust Inclusive Digital Ecosystem by 2030</w:t>
      </w:r>
      <w:r>
        <w:rPr>
          <w:rFonts w:ascii="Times Roman" w:hAnsi="Times Roman" w:hint="default"/>
          <w:b w:val="1"/>
          <w:bCs w:val="1"/>
          <w:rtl w:val="0"/>
        </w:rPr>
        <w:t>–</w:t>
      </w:r>
      <w:r>
        <w:rPr>
          <w:rFonts w:ascii="Times Roman" w:hAnsi="Times Roman"/>
          <w:b w:val="1"/>
          <w:bCs w:val="1"/>
          <w:rtl w:val="0"/>
        </w:rPr>
        <w:t>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scenario envisions 82</w:t>
      </w:r>
      <w:r>
        <w:rPr>
          <w:rFonts w:ascii="Times Roman" w:hAnsi="Times Roman" w:hint="default"/>
          <w:rtl w:val="0"/>
        </w:rPr>
        <w:t>–</w:t>
      </w:r>
      <w:r>
        <w:rPr>
          <w:rFonts w:ascii="Times Roman" w:hAnsi="Times Roman"/>
          <w:rtl w:val="0"/>
          <w:lang w:val="en-US"/>
        </w:rPr>
        <w:t>85% formal account ownership and 65%+ active digital usage by 2030, rising to near-universal inclusion (92%+) with cash comprising less than 20% of retail transaction value by 2041. Key enabling conditions include full operationalization of open banking APIs under the 2025 Digital Bank Guidelines, nationwide biometric and e-KYC coverage (target 100% by December 2026), and aggressive agent quality certification programs that reduce liquidity failures by 70%. The quantitative finding that Agent Quality exerts a significantly stronger effect on rural users (</w:t>
      </w:r>
      <w:r>
        <w:rPr>
          <w:rFonts w:ascii="Times Roman" w:hAnsi="Times Roman" w:hint="default"/>
          <w:rtl w:val="0"/>
        </w:rPr>
        <w:t xml:space="preserve">β </w:t>
      </w:r>
      <w:r>
        <w:rPr>
          <w:rFonts w:ascii="Times Roman" w:hAnsi="Times Roman"/>
          <w:rtl w:val="0"/>
          <w:lang w:val="en-US"/>
        </w:rPr>
        <w:t>= 0.38) would be leveraged through targeted rural agent training and liquidity support funds, while the gender-moderated Post-Fraud Risk path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en-US"/>
        </w:rPr>
        <w:t xml:space="preserve">0.31 for females) would be mitigated via women-centric product design and female agent recruitment. Expert informants from Bangladesh Bank and fintech CEOs expressed high confidence in this trajectory, noting that </w:t>
      </w:r>
      <w:r>
        <w:rPr>
          <w:rFonts w:ascii="Times Roman" w:hAnsi="Times Roman" w:hint="default"/>
          <w:rtl w:val="1"/>
          <w:lang w:val="ar-SA" w:bidi="ar-SA"/>
        </w:rPr>
        <w:t>“</w:t>
      </w:r>
      <w:r>
        <w:rPr>
          <w:rFonts w:ascii="Times Roman" w:hAnsi="Times Roman"/>
          <w:rtl w:val="0"/>
          <w:lang w:val="en-US"/>
        </w:rPr>
        <w:t>the next five years will be defined by convergence</w:t>
      </w:r>
      <w:r>
        <w:rPr>
          <w:rFonts w:ascii="Times Roman" w:hAnsi="Times Roman" w:hint="default"/>
          <w:rtl w:val="0"/>
          <w:lang w:val="en-US"/>
        </w:rPr>
        <w:t>—</w:t>
      </w:r>
      <w:r>
        <w:rPr>
          <w:rFonts w:ascii="Times Roman" w:hAnsi="Times Roman"/>
          <w:rtl w:val="0"/>
          <w:lang w:val="en-US"/>
        </w:rPr>
        <w:t>AI + biometrics + open data,</w:t>
      </w:r>
      <w:r>
        <w:rPr>
          <w:rFonts w:ascii="Times Roman" w:hAnsi="Times Roman" w:hint="default"/>
          <w:rtl w:val="0"/>
        </w:rPr>
        <w:t xml:space="preserve">” </w:t>
      </w:r>
      <w:r>
        <w:rPr>
          <w:rFonts w:ascii="Times Roman" w:hAnsi="Times Roman"/>
          <w:rtl w:val="0"/>
          <w:lang w:val="en-US"/>
        </w:rPr>
        <w:t>provided governance enforcement matches regulatory ambition. Risk mitigation pathways include real-time AI-driven fraud detection integrated with BFIU systems, public trust-restoration dashboards showing redressal success rates, and climate fintech linkages (green micro-credit tracked via blockchain) that align with Bangladesh</w:t>
      </w:r>
      <w:r>
        <w:rPr>
          <w:rFonts w:ascii="Times Roman" w:hAnsi="Times Roman" w:hint="default"/>
          <w:rtl w:val="1"/>
        </w:rPr>
        <w:t>’</w:t>
      </w:r>
      <w:r>
        <w:rPr>
          <w:rFonts w:ascii="Times Roman" w:hAnsi="Times Roman"/>
          <w:rtl w:val="0"/>
          <w:lang w:val="en-US"/>
        </w:rPr>
        <w:t>s climate vulnerability priorities. Under this scenario, digital lending volume would exceed BDT 35,000 crore by 2030, directly supporting SDG 8 (Decent Work) and SDG 10 (Reduced Inequalities) targets.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Base Scenario (Moderate, Uneven Progress with Persistent Divides)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middle-ground pathway projects 72</w:t>
      </w:r>
      <w:r>
        <w:rPr>
          <w:rFonts w:ascii="Times Roman" w:hAnsi="Times Roman" w:hint="default"/>
          <w:rtl w:val="0"/>
        </w:rPr>
        <w:t>–</w:t>
      </w:r>
      <w:r>
        <w:rPr>
          <w:rFonts w:ascii="Times Roman" w:hAnsi="Times Roman"/>
          <w:rtl w:val="0"/>
          <w:lang w:val="en-US"/>
        </w:rPr>
        <w:t>75% account ownership and 52</w:t>
      </w:r>
      <w:r>
        <w:rPr>
          <w:rFonts w:ascii="Times Roman" w:hAnsi="Times Roman" w:hint="default"/>
          <w:rtl w:val="0"/>
        </w:rPr>
        <w:t>–</w:t>
      </w:r>
      <w:r>
        <w:rPr>
          <w:rFonts w:ascii="Times Roman" w:hAnsi="Times Roman"/>
          <w:rtl w:val="0"/>
          <w:lang w:val="en-US"/>
        </w:rPr>
        <w:t>55% active usage by 2030, with cash still accounting for 35</w:t>
      </w:r>
      <w:r>
        <w:rPr>
          <w:rFonts w:ascii="Times Roman" w:hAnsi="Times Roman" w:hint="default"/>
          <w:rtl w:val="0"/>
        </w:rPr>
        <w:t>–</w:t>
      </w:r>
      <w:r>
        <w:rPr>
          <w:rFonts w:ascii="Times Roman" w:hAnsi="Times Roman"/>
          <w:rtl w:val="0"/>
          <w:lang w:val="en-US"/>
        </w:rPr>
        <w:t>40% of transactions by 2041. It assumes partial success in interoperability (NPSB/IDTP reaching 70% cross-platform volume) and incremental digital bank licensing (8</w:t>
      </w:r>
      <w:r>
        <w:rPr>
          <w:rFonts w:ascii="Times Roman" w:hAnsi="Times Roman" w:hint="default"/>
          <w:rtl w:val="0"/>
        </w:rPr>
        <w:t>–</w:t>
      </w:r>
      <w:r>
        <w:rPr>
          <w:rFonts w:ascii="Times Roman" w:hAnsi="Times Roman"/>
          <w:rtl w:val="0"/>
          <w:lang w:val="en-US"/>
        </w:rPr>
        <w:t>10 operational by 2030), but continued enforcement gaps and slow digital literacy gains. The structural model</w:t>
      </w:r>
      <w:r>
        <w:rPr>
          <w:rFonts w:ascii="Times Roman" w:hAnsi="Times Roman" w:hint="default"/>
          <w:rtl w:val="1"/>
        </w:rPr>
        <w:t>’</w:t>
      </w:r>
      <w:r>
        <w:rPr>
          <w:rFonts w:ascii="Times Roman" w:hAnsi="Times Roman"/>
          <w:rtl w:val="0"/>
          <w:lang w:val="en-US"/>
        </w:rPr>
        <w:t>s finding that Governance Perception moderates Trust Restoration (</w:t>
      </w:r>
      <w:r>
        <w:rPr>
          <w:rFonts w:ascii="Times Roman" w:hAnsi="Times Roman" w:hint="default"/>
          <w:rtl w:val="0"/>
        </w:rPr>
        <w:t xml:space="preserve">β </w:t>
      </w:r>
      <w:r>
        <w:rPr>
          <w:rFonts w:ascii="Times Roman" w:hAnsi="Times Roman"/>
          <w:rtl w:val="0"/>
          <w:lang w:val="en-US"/>
        </w:rPr>
        <w:t xml:space="preserve">= 0.14) implies that if BFIU capacity constraints and market concentration (HHI &gt; 2,800) persist, trust recovery will remain fragile, particularly among rural and female segments. Qualitative narratives of </w:t>
      </w:r>
      <w:r>
        <w:rPr>
          <w:rFonts w:ascii="Times Roman" w:hAnsi="Times Roman" w:hint="default"/>
          <w:rtl w:val="1"/>
          <w:lang w:val="ar-SA" w:bidi="ar-SA"/>
        </w:rPr>
        <w:t>“</w:t>
      </w:r>
      <w:r>
        <w:rPr>
          <w:rFonts w:ascii="Times Roman" w:hAnsi="Times Roman"/>
          <w:rtl w:val="0"/>
          <w:lang w:val="en-US"/>
        </w:rPr>
        <w:t>The Last Mile is Still Broken</w:t>
      </w:r>
      <w:r>
        <w:rPr>
          <w:rFonts w:ascii="Times Roman" w:hAnsi="Times Roman" w:hint="default"/>
          <w:rtl w:val="0"/>
        </w:rPr>
        <w:t xml:space="preserve">” </w:t>
      </w:r>
      <w:r>
        <w:rPr>
          <w:rFonts w:ascii="Times Roman" w:hAnsi="Times Roman"/>
          <w:rtl w:val="0"/>
          <w:lang w:val="en-US"/>
        </w:rPr>
        <w:t>and liquidity shortages during peak periods would continue to depress active usage below potential. Enabling conditions would be limited to incremental improvements in 4G/5G rollout and basic agent training, while risk mitigation would focus on targeted interventions in high-poverty districts. This scenario aligns with current trajectories in peer markets such as Pakistan</w:t>
      </w:r>
      <w:r>
        <w:rPr>
          <w:rFonts w:ascii="Times Roman" w:hAnsi="Times Roman" w:hint="default"/>
          <w:rtl w:val="1"/>
        </w:rPr>
        <w:t>’</w:t>
      </w:r>
      <w:r>
        <w:rPr>
          <w:rFonts w:ascii="Times Roman" w:hAnsi="Times Roman"/>
          <w:rtl w:val="0"/>
          <w:lang w:val="en-US"/>
        </w:rPr>
        <w:t>s Easypaisa ecosystem but falls short of Vision 2041</w:t>
      </w:r>
      <w:r>
        <w:rPr>
          <w:rFonts w:ascii="Times Roman" w:hAnsi="Times Roman" w:hint="default"/>
          <w:rtl w:val="1"/>
        </w:rPr>
        <w:t>’</w:t>
      </w:r>
      <w:r>
        <w:rPr>
          <w:rFonts w:ascii="Times Roman" w:hAnsi="Times Roman"/>
          <w:rtl w:val="0"/>
          <w:lang w:val="en-US"/>
        </w:rPr>
        <w:t>s cash-light ambitions.</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Pessimistic Scenario (Trust Erosion and Fragmented Concentration Trap)</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In the worst-case trajectory, high-profile cyber incidents recur, eroding the Trust Restoration pathway and causing active usage to stagnate or decline to 38</w:t>
      </w:r>
      <w:r>
        <w:rPr>
          <w:rFonts w:ascii="Times Roman" w:hAnsi="Times Roman" w:hint="default"/>
          <w:rtl w:val="0"/>
        </w:rPr>
        <w:t>–</w:t>
      </w:r>
      <w:r>
        <w:rPr>
          <w:rFonts w:ascii="Times Roman" w:hAnsi="Times Roman"/>
          <w:rtl w:val="0"/>
          <w:lang w:val="en-US"/>
        </w:rPr>
        <w:t>42% by 2030, with rural</w:t>
      </w:r>
      <w:r>
        <w:rPr>
          <w:rFonts w:ascii="Times Roman" w:hAnsi="Times Roman" w:hint="default"/>
          <w:rtl w:val="0"/>
        </w:rPr>
        <w:t>–</w:t>
      </w:r>
      <w:r>
        <w:rPr>
          <w:rFonts w:ascii="Times Roman" w:hAnsi="Times Roman"/>
          <w:rtl w:val="0"/>
          <w:lang w:val="en-US"/>
        </w:rPr>
        <w:t>urban and gender gaps widening rather than narrowing. This scenario materializes if regulative enforcement remains inconsistent, allowing dominant players to maintain data and agent lock-in advantages while smaller fintechs exit. The quantitative result that Post-Fraud Risk Perception significantly depresses intention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en-US"/>
        </w:rPr>
        <w:t xml:space="preserve">0.22 overall, </w:t>
      </w:r>
      <w:r>
        <w:rPr>
          <w:rFonts w:ascii="Times Roman" w:hAnsi="Times Roman" w:hint="default"/>
          <w:rtl w:val="0"/>
        </w:rPr>
        <w:t>−</w:t>
      </w:r>
      <w:r>
        <w:rPr>
          <w:rFonts w:ascii="Times Roman" w:hAnsi="Times Roman"/>
          <w:rtl w:val="0"/>
          <w:lang w:val="en-US"/>
        </w:rPr>
        <w:t xml:space="preserve">0.31 for females) would amplify under repeated incidents, triggering a behavioral retreat to cash documented in 65% of total transaction value as of late 2025. Qualitative expert warnings about </w:t>
      </w:r>
      <w:r>
        <w:rPr>
          <w:rFonts w:ascii="Times Roman" w:hAnsi="Times Roman" w:hint="default"/>
          <w:rtl w:val="1"/>
          <w:lang w:val="ar-SA" w:bidi="ar-SA"/>
        </w:rPr>
        <w:t>“</w:t>
      </w:r>
      <w:r>
        <w:rPr>
          <w:rFonts w:ascii="Times Roman" w:hAnsi="Times Roman"/>
          <w:rtl w:val="0"/>
          <w:lang w:val="en-US"/>
        </w:rPr>
        <w:t>regulatory arbitrage</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grey-area operations</w:t>
      </w:r>
      <w:r>
        <w:rPr>
          <w:rFonts w:ascii="Times Roman" w:hAnsi="Times Roman" w:hint="default"/>
          <w:rtl w:val="0"/>
        </w:rPr>
        <w:t xml:space="preserve">” </w:t>
      </w:r>
      <w:r>
        <w:rPr>
          <w:rFonts w:ascii="Times Roman" w:hAnsi="Times Roman"/>
          <w:rtl w:val="0"/>
          <w:lang w:val="en-US"/>
        </w:rPr>
        <w:t>would become systemic, undermining the cognitive pillar of institutional trust. Risk mitigation would be reactive and limited to crisis-driven bailouts, with long-term damage to the Smart Bangladesh 2041 brand. This pathway mirrors documented reversals in other emerging markets following major fraud waves (e.g., early Indian digital lending crises) and would severely constrain contributions to SDG 9 (Industry, Innovation and Infrastructure).</w:t>
      </w:r>
      <w:r>
        <w:rPr>
          <w:rFonts w:ascii="Times Roman" w:cs="Times Roman" w:hAnsi="Times Roman" w:eastAsia="Times Roman"/>
        </w:rPr>
        <w:drawing xmlns:a="http://schemas.openxmlformats.org/drawingml/2006/main">
          <wp:anchor distT="152400" distB="152400" distL="152400" distR="152400" simplePos="0" relativeHeight="251684864" behindDoc="0" locked="0" layoutInCell="1" allowOverlap="1">
            <wp:simplePos x="0" y="0"/>
            <wp:positionH relativeFrom="margin">
              <wp:posOffset>223956</wp:posOffset>
            </wp:positionH>
            <wp:positionV relativeFrom="line">
              <wp:posOffset>365760</wp:posOffset>
            </wp:positionV>
            <wp:extent cx="5659445" cy="3366250"/>
            <wp:effectExtent l="0" t="0" r="0" b="0"/>
            <wp:wrapThrough wrapText="bothSides" distL="152400" distR="152400">
              <wp:wrapPolygon edited="1">
                <wp:start x="0" y="0"/>
                <wp:lineTo x="21621" y="0"/>
                <wp:lineTo x="21621" y="21633"/>
                <wp:lineTo x="0" y="21633"/>
                <wp:lineTo x="0" y="0"/>
              </wp:wrapPolygon>
            </wp:wrapThrough>
            <wp:docPr id="1073741870"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70" name="pasted-image.tiff" descr="pasted-image.tiff"/>
                    <pic:cNvPicPr>
                      <a:picLocks noChangeAspect="1"/>
                    </pic:cNvPicPr>
                  </pic:nvPicPr>
                  <pic:blipFill>
                    <a:blip r:embed="rId39">
                      <a:extLst/>
                    </a:blip>
                    <a:stretch>
                      <a:fillRect/>
                    </a:stretch>
                  </pic:blipFill>
                  <pic:spPr>
                    <a:xfrm>
                      <a:off x="0" y="0"/>
                      <a:ext cx="5659445" cy="3366250"/>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3:</w:t>
      </w:r>
      <w:r>
        <w:rPr>
          <w:rFonts w:ascii="Times Roman" w:hAnsi="Times Roman"/>
          <w:rtl w:val="0"/>
        </w:rPr>
        <w:t xml:space="preserve"> </w:t>
      </w:r>
      <w:r>
        <w:rPr>
          <w:rFonts w:ascii="Times Roman" w:hAnsi="Times Roman"/>
          <w:i w:val="1"/>
          <w:iCs w:val="1"/>
          <w:rtl w:val="0"/>
          <w:lang w:val="en-US"/>
        </w:rPr>
        <w:t>Active Digital Usage Growth Scenarios 2025-2041 (Line Graph)</w:t>
      </w:r>
      <w:r>
        <w:rPr>
          <w:rFonts w:ascii="Times Roman" w:hAnsi="Times Roman"/>
          <w:i w:val="1"/>
          <w:iCs w:val="1"/>
          <w:rtl w:val="0"/>
          <w:lang w:val="en-US"/>
        </w:rPr>
        <w:t xml:space="preserve">. </w:t>
      </w:r>
      <w:r>
        <w:rPr>
          <w:rFonts w:ascii="Times Roman" w:hAnsi="Times Roman"/>
          <w:b w:val="1"/>
          <w:bCs w:val="1"/>
          <w:rtl w:val="0"/>
          <w:lang w:val="it-IT"/>
        </w:rPr>
        <w:t>Suri &amp; Jack (2016) &amp; Cornelli et al. (2024)</w:t>
      </w:r>
      <w:r>
        <w:rPr>
          <w:rFonts w:ascii="Times Roman" w:hAnsi="Times Roman"/>
          <w:b w:val="1"/>
          <w:bCs w:val="1"/>
          <w:rtl w:val="0"/>
          <w:lang w:val="en-US"/>
        </w:rPr>
        <w:t>.</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Figure Description: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Figure 7.3: Projected Active Digital Usage Scenarios (2025</w:t>
      </w:r>
      <w:r>
        <w:rPr>
          <w:rFonts w:ascii="Times Roman" w:hAnsi="Times Roman" w:hint="default"/>
          <w:b w:val="1"/>
          <w:bCs w:val="1"/>
          <w:rtl w:val="0"/>
        </w:rPr>
        <w:t>–</w:t>
      </w:r>
      <w:r>
        <w:rPr>
          <w:rFonts w:ascii="Times Roman" w:hAnsi="Times Roman"/>
          <w:b w:val="1"/>
          <w:bCs w:val="1"/>
          <w:rtl w:val="0"/>
        </w:rPr>
        <w:t>2041).</w:t>
      </w:r>
      <w:r>
        <w:rPr>
          <w:rFonts w:ascii="Times Roman" w:hAnsi="Times Roman"/>
          <w:rtl w:val="0"/>
          <w:lang w:val="en-US"/>
        </w:rPr>
        <w:t xml:space="preserve"> Based on a hybrid Intuitive Logics and Morphological Analysis, these trajectories map the potential outcomes for e-banking adoption in Bangladesh. The optimistic scenario relies on robust governance and trust restoration to achieve the Smart Bangladesh Vision 2041, while the pessimistic scenario illustrates the stagnation risk posed by repeated cyber incidents and persistent digital divides.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Across all scenarios, the integrated model identifies </w:t>
      </w:r>
      <w:r>
        <w:rPr>
          <w:rFonts w:ascii="Times Roman" w:hAnsi="Times Roman"/>
          <w:b w:val="1"/>
          <w:bCs w:val="1"/>
          <w:rtl w:val="0"/>
          <w:lang w:val="en-US"/>
        </w:rPr>
        <w:t>Trust Restoration</w:t>
      </w:r>
      <w:r>
        <w:rPr>
          <w:rFonts w:ascii="Times Roman" w:hAnsi="Times Roman"/>
          <w:rtl w:val="0"/>
          <w:lang w:val="en-US"/>
        </w:rPr>
        <w:t xml:space="preserve"> and </w:t>
      </w:r>
      <w:r>
        <w:rPr>
          <w:rFonts w:ascii="Times Roman" w:hAnsi="Times Roman"/>
          <w:b w:val="1"/>
          <w:bCs w:val="1"/>
          <w:rtl w:val="0"/>
          <w:lang w:val="en-US"/>
        </w:rPr>
        <w:t>Governance Perception</w:t>
      </w:r>
      <w:r>
        <w:rPr>
          <w:rFonts w:ascii="Times Roman" w:hAnsi="Times Roman"/>
          <w:rtl w:val="0"/>
          <w:lang w:val="en-US"/>
        </w:rPr>
        <w:t xml:space="preserve"> as the highest-leverage intervention points. Accelerating real-time redressal mechanisms, mandatory agent liquidity buffers, and gender-responsive design would shift probability mass from the pessimistic toward the optimistic trajectory, directly translating the empirical findings into actionable 2030</w:t>
      </w:r>
      <w:r>
        <w:rPr>
          <w:rFonts w:ascii="Times Roman" w:hAnsi="Times Roman" w:hint="default"/>
          <w:rtl w:val="0"/>
        </w:rPr>
        <w:t>–</w:t>
      </w:r>
      <w:r>
        <w:rPr>
          <w:rFonts w:ascii="Times Roman" w:hAnsi="Times Roman"/>
          <w:rtl w:val="0"/>
          <w:lang w:val="en-US"/>
        </w:rPr>
        <w:t>2041 policy triggers.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7.5 Comparison with Prior Studies and International Benchmarks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What Makes Bangladesh Unique?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findings both confirm and extend prior Bangladeshi and South Asian research while revealing distinctive contextual features that differentiate Bangladesh from regional and global peers. Compared with Sharmin et al.</w:t>
      </w:r>
      <w:r>
        <w:rPr>
          <w:rFonts w:ascii="Times Roman" w:hAnsi="Times Roman" w:hint="default"/>
          <w:rtl w:val="1"/>
        </w:rPr>
        <w:t>’</w:t>
      </w:r>
      <w:r>
        <w:rPr>
          <w:rFonts w:ascii="Times Roman" w:hAnsi="Times Roman"/>
          <w:rtl w:val="0"/>
          <w:lang w:val="en-US"/>
        </w:rPr>
        <w:t>s (2021) pre-fraud UTAUT2 validation in Bangladesh (which found Performance Expectancy and Trust as key but did not incorporate post-incident dynamics), the present study demonstrates that Trust Restoration has become the second-strongest predictor (</w:t>
      </w:r>
      <w:r>
        <w:rPr>
          <w:rFonts w:ascii="Times Roman" w:hAnsi="Times Roman" w:hint="default"/>
          <w:rtl w:val="0"/>
        </w:rPr>
        <w:t xml:space="preserve">β </w:t>
      </w:r>
      <w:r>
        <w:rPr>
          <w:rFonts w:ascii="Times Roman" w:hAnsi="Times Roman"/>
          <w:rtl w:val="0"/>
          <w:lang w:val="en-US"/>
        </w:rPr>
        <w:t>= 0.37) after the 2024</w:t>
      </w:r>
      <w:r>
        <w:rPr>
          <w:rFonts w:ascii="Times Roman" w:hAnsi="Times Roman" w:hint="default"/>
          <w:rtl w:val="0"/>
        </w:rPr>
        <w:t>–</w:t>
      </w:r>
      <w:r>
        <w:rPr>
          <w:rFonts w:ascii="Times Roman" w:hAnsi="Times Roman"/>
          <w:rtl w:val="0"/>
          <w:lang w:val="en-US"/>
        </w:rPr>
        <w:t>25 incidents, elevating its effect size beyond earlier estimates. Similarly, Rahi</w:t>
      </w:r>
      <w:r>
        <w:rPr>
          <w:rFonts w:ascii="Times Roman" w:hAnsi="Times Roman" w:hint="default"/>
          <w:rtl w:val="1"/>
        </w:rPr>
        <w:t>’</w:t>
      </w:r>
      <w:r>
        <w:rPr>
          <w:rFonts w:ascii="Times Roman" w:hAnsi="Times Roman"/>
          <w:rtl w:val="0"/>
          <w:lang w:val="en-US"/>
        </w:rPr>
        <w:t xml:space="preserve">s (2023) Pakistani internet banking study reported weaker governance moderation effects; in Bangladesh, Governance Perception significantly strengthens the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Intention path (</w:t>
      </w:r>
      <w:r>
        <w:rPr>
          <w:rFonts w:ascii="Times Roman" w:hAnsi="Times Roman" w:hint="default"/>
          <w:rtl w:val="0"/>
        </w:rPr>
        <w:t xml:space="preserve">β </w:t>
      </w:r>
      <w:r>
        <w:rPr>
          <w:rFonts w:ascii="Times Roman" w:hAnsi="Times Roman"/>
          <w:rtl w:val="0"/>
          <w:lang w:val="en-US"/>
        </w:rPr>
        <w:t>= 0.14), reflecting the more acute post-crisis institutional shock and the recent 2024</w:t>
      </w:r>
      <w:r>
        <w:rPr>
          <w:rFonts w:ascii="Times Roman" w:hAnsi="Times Roman" w:hint="default"/>
          <w:rtl w:val="0"/>
        </w:rPr>
        <w:t>–</w:t>
      </w:r>
      <w:r>
        <w:rPr>
          <w:rFonts w:ascii="Times Roman" w:hAnsi="Times Roman"/>
          <w:rtl w:val="0"/>
          <w:lang w:val="it-IT"/>
        </w:rPr>
        <w:t>2026 governance reset.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Internationally, Bangladesh</w:t>
      </w:r>
      <w:r>
        <w:rPr>
          <w:rFonts w:ascii="Times Roman" w:hAnsi="Times Roman" w:hint="default"/>
          <w:rtl w:val="1"/>
        </w:rPr>
        <w:t>’</w:t>
      </w:r>
      <w:r>
        <w:rPr>
          <w:rFonts w:ascii="Times Roman" w:hAnsi="Times Roman"/>
          <w:rtl w:val="0"/>
          <w:lang w:val="en-US"/>
        </w:rPr>
        <w:t>s trajectory most closely resembles Kenya</w:t>
      </w:r>
      <w:r>
        <w:rPr>
          <w:rFonts w:ascii="Times Roman" w:hAnsi="Times Roman" w:hint="default"/>
          <w:rtl w:val="1"/>
        </w:rPr>
        <w:t>’</w:t>
      </w:r>
      <w:r>
        <w:rPr>
          <w:rFonts w:ascii="Times Roman" w:hAnsi="Times Roman"/>
          <w:rtl w:val="0"/>
          <w:lang w:val="en-US"/>
        </w:rPr>
        <w:t xml:space="preserve">s M-Pesa ecosystem in scale and agent-led inclusion (Suri &amp; Jack, 2016), yet diverges sharply in governance architecture and concentration risks. While M-Pesa benefited from regulatory forbearance and a single dominant player with strong corporate governance, Bangladesh exhibits higher market concentration (bKash </w:t>
      </w:r>
      <w:r>
        <w:rPr>
          <w:rFonts w:ascii="Times Roman" w:hAnsi="Times Roman" w:hint="default"/>
          <w:rtl w:val="0"/>
        </w:rPr>
        <w:t xml:space="preserve">≈ </w:t>
      </w:r>
      <w:r>
        <w:rPr>
          <w:rFonts w:ascii="Times Roman" w:hAnsi="Times Roman"/>
          <w:rtl w:val="0"/>
          <w:lang w:val="en-US"/>
        </w:rPr>
        <w:t>63%) alongside state-backed competition (Nagad) and documented enforcement gaps highlighted by Transparency International Bangladesh (2025). This hybrid model</w:t>
      </w:r>
      <w:r>
        <w:rPr>
          <w:rFonts w:ascii="Times Roman" w:hAnsi="Times Roman" w:hint="default"/>
          <w:rtl w:val="0"/>
          <w:lang w:val="en-US"/>
        </w:rPr>
        <w:t>—</w:t>
      </w:r>
      <w:r>
        <w:rPr>
          <w:rFonts w:ascii="Times Roman" w:hAnsi="Times Roman"/>
          <w:rtl w:val="0"/>
          <w:lang w:val="en-US"/>
        </w:rPr>
        <w:t>private fintech dominance plus state postal intervention</w:t>
      </w:r>
      <w:r>
        <w:rPr>
          <w:rFonts w:ascii="Times Roman" w:hAnsi="Times Roman" w:hint="default"/>
          <w:rtl w:val="0"/>
          <w:lang w:val="en-US"/>
        </w:rPr>
        <w:t>—</w:t>
      </w:r>
      <w:r>
        <w:rPr>
          <w:rFonts w:ascii="Times Roman" w:hAnsi="Times Roman"/>
          <w:rtl w:val="0"/>
          <w:lang w:val="en-US"/>
        </w:rPr>
        <w:t>creates unique political economy dynamics absent in Kenya or India</w:t>
      </w:r>
      <w:r>
        <w:rPr>
          <w:rFonts w:ascii="Times Roman" w:hAnsi="Times Roman" w:hint="default"/>
          <w:rtl w:val="1"/>
        </w:rPr>
        <w:t>’</w:t>
      </w:r>
      <w:r>
        <w:rPr>
          <w:rFonts w:ascii="Times Roman" w:hAnsi="Times Roman"/>
          <w:rtl w:val="0"/>
          <w:lang w:val="en-US"/>
        </w:rPr>
        <w:t>s UPI, where NPCI maintains a more neutral, interoperability-focused mandate.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it-IT"/>
        </w:rPr>
        <w:t>India</w:t>
      </w:r>
      <w:r>
        <w:rPr>
          <w:rFonts w:ascii="Times Roman" w:hAnsi="Times Roman" w:hint="default"/>
          <w:rtl w:val="1"/>
        </w:rPr>
        <w:t>’</w:t>
      </w:r>
      <w:r>
        <w:rPr>
          <w:rFonts w:ascii="Times Roman" w:hAnsi="Times Roman"/>
          <w:rtl w:val="0"/>
          <w:lang w:val="en-US"/>
        </w:rPr>
        <w:t>s UPI success (Cornelli et al., 2024) offers a powerful benchmark: zero-fee, bank-to-bank instant transfers achieved 82% digital payment share through open architecture and strict data protection. Bangladesh</w:t>
      </w:r>
      <w:r>
        <w:rPr>
          <w:rFonts w:ascii="Times Roman" w:hAnsi="Times Roman" w:hint="default"/>
          <w:rtl w:val="1"/>
        </w:rPr>
        <w:t>’</w:t>
      </w:r>
      <w:r>
        <w:rPr>
          <w:rFonts w:ascii="Times Roman" w:hAnsi="Times Roman"/>
          <w:rtl w:val="0"/>
          <w:lang w:val="en-US"/>
        </w:rPr>
        <w:t>s slower movement toward full bank-to-wallet and wallet-to-wallet interoperability (despite NPSB/IDTP upgrades) explains why active usage (42.3%) lags behind India</w:t>
      </w:r>
      <w:r>
        <w:rPr>
          <w:rFonts w:ascii="Times Roman" w:hAnsi="Times Roman" w:hint="default"/>
          <w:rtl w:val="1"/>
        </w:rPr>
        <w:t>’</w:t>
      </w:r>
      <w:r>
        <w:rPr>
          <w:rFonts w:ascii="Times Roman" w:hAnsi="Times Roman"/>
          <w:rtl w:val="0"/>
          <w:lang w:val="en-US"/>
        </w:rPr>
        <w:t>s merchant digitization rates. However, Bangladesh</w:t>
      </w:r>
      <w:r>
        <w:rPr>
          <w:rFonts w:ascii="Times Roman" w:hAnsi="Times Roman" w:hint="default"/>
          <w:rtl w:val="1"/>
        </w:rPr>
        <w:t>’</w:t>
      </w:r>
      <w:r>
        <w:rPr>
          <w:rFonts w:ascii="Times Roman" w:hAnsi="Times Roman"/>
          <w:rtl w:val="0"/>
          <w:lang w:val="en-US"/>
        </w:rPr>
        <w:t>s agent density (1.2 million points) exceeds India</w:t>
      </w:r>
      <w:r>
        <w:rPr>
          <w:rFonts w:ascii="Times Roman" w:hAnsi="Times Roman" w:hint="default"/>
          <w:rtl w:val="1"/>
        </w:rPr>
        <w:t>’</w:t>
      </w:r>
      <w:r>
        <w:rPr>
          <w:rFonts w:ascii="Times Roman" w:hAnsi="Times Roman"/>
          <w:rtl w:val="0"/>
          <w:lang w:val="en-US"/>
        </w:rPr>
        <w:t>s early UPI agent coverage, providing a last-mile advantage that explains the stronger rural Agent Quality effect (</w:t>
      </w:r>
      <w:r>
        <w:rPr>
          <w:rFonts w:ascii="Times Roman" w:hAnsi="Times Roman" w:hint="default"/>
          <w:rtl w:val="0"/>
        </w:rPr>
        <w:t xml:space="preserve">β </w:t>
      </w:r>
      <w:r>
        <w:rPr>
          <w:rFonts w:ascii="Times Roman" w:hAnsi="Times Roman"/>
          <w:rtl w:val="0"/>
        </w:rPr>
        <w:t>= 0.38) observed here.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Nordic and Singaporean benchmarks (near-90% digital banking penetration with cash &lt;10%) highlight the trust and infrastructure ceiling Bangladesh has not yet reached. These high-trust environments demonstrate that regulative strength (real-time supervision, swift penalties) and cognitive legitimacy (institutional confidence) can sustain near-cashless societies. Bangladesh</w:t>
      </w:r>
      <w:r>
        <w:rPr>
          <w:rFonts w:ascii="Times Roman" w:hAnsi="Times Roman" w:hint="default"/>
          <w:rtl w:val="1"/>
        </w:rPr>
        <w:t>’</w:t>
      </w:r>
      <w:r>
        <w:rPr>
          <w:rFonts w:ascii="Times Roman" w:hAnsi="Times Roman"/>
          <w:rtl w:val="0"/>
          <w:lang w:val="en-US"/>
        </w:rPr>
        <w:t xml:space="preserve">s uniqueness lies in its combination of </w:t>
      </w:r>
      <w:r>
        <w:rPr>
          <w:rFonts w:ascii="Times Roman" w:hAnsi="Times Roman"/>
          <w:b w:val="1"/>
          <w:bCs w:val="1"/>
          <w:rtl w:val="0"/>
          <w:lang w:val="en-US"/>
        </w:rPr>
        <w:t>world-leading mobile money scale</w:t>
      </w:r>
      <w:r>
        <w:rPr>
          <w:rFonts w:ascii="Times Roman" w:hAnsi="Times Roman"/>
          <w:rtl w:val="0"/>
          <w:lang w:val="en-US"/>
        </w:rPr>
        <w:t xml:space="preserve"> with </w:t>
      </w:r>
      <w:r>
        <w:rPr>
          <w:rFonts w:ascii="Times Roman" w:hAnsi="Times Roman"/>
          <w:b w:val="1"/>
          <w:bCs w:val="1"/>
          <w:rtl w:val="0"/>
          <w:lang w:val="en-US"/>
        </w:rPr>
        <w:t>persistent institutional voids</w:t>
      </w:r>
      <w:r>
        <w:rPr>
          <w:rFonts w:ascii="Times Roman" w:hAnsi="Times Roman"/>
          <w:rtl w:val="0"/>
          <w:lang w:val="en-US"/>
        </w:rPr>
        <w:t xml:space="preserve"> and a </w:t>
      </w:r>
      <w:r>
        <w:rPr>
          <w:rFonts w:ascii="Times Roman" w:hAnsi="Times Roman"/>
          <w:b w:val="1"/>
          <w:bCs w:val="1"/>
          <w:rtl w:val="0"/>
          <w:lang w:val="en-US"/>
        </w:rPr>
        <w:t>recent, highly visible trust shock</w:t>
      </w:r>
      <w:r>
        <w:rPr>
          <w:rFonts w:ascii="Times Roman" w:hAnsi="Times Roman" w:hint="default"/>
          <w:rtl w:val="0"/>
          <w:lang w:val="en-US"/>
        </w:rPr>
        <w:t>—</w:t>
      </w:r>
      <w:r>
        <w:rPr>
          <w:rFonts w:ascii="Times Roman" w:hAnsi="Times Roman"/>
          <w:rtl w:val="0"/>
          <w:lang w:val="en-US"/>
        </w:rPr>
        <w:t>a configuration that makes the Trust Restoration and Governance Perception extensions particularly salient. Unlike Western-centric UTAUT2 applications or even Indian/Pakistani validations, this study captures a post-crisis emerging market where security failures have become a central theoretical variable rather than a peripheral risk factor.</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What makes Bangladesh truly distinctive is the interplay of </w:t>
      </w:r>
      <w:r>
        <w:rPr>
          <w:rFonts w:ascii="Times Roman" w:hAnsi="Times Roman"/>
          <w:b w:val="1"/>
          <w:bCs w:val="1"/>
          <w:rtl w:val="0"/>
          <w:lang w:val="en-US"/>
        </w:rPr>
        <w:t>high mobile penetration (170+ million subscriptions)</w:t>
      </w:r>
      <w:r>
        <w:rPr>
          <w:rFonts w:ascii="Times Roman" w:hAnsi="Times Roman"/>
          <w:rtl w:val="0"/>
          <w:lang w:val="en-US"/>
        </w:rPr>
        <w:t xml:space="preserve"> with </w:t>
      </w:r>
      <w:r>
        <w:rPr>
          <w:rFonts w:ascii="Times Roman" w:hAnsi="Times Roman"/>
          <w:b w:val="1"/>
          <w:bCs w:val="1"/>
          <w:rtl w:val="0"/>
          <w:lang w:val="en-US"/>
        </w:rPr>
        <w:t>low formal inclusion depth (58.4% account ownership, 42.3% active usage)</w:t>
      </w:r>
      <w:r>
        <w:rPr>
          <w:rFonts w:ascii="Times Roman" w:hAnsi="Times Roman"/>
          <w:rtl w:val="0"/>
          <w:lang w:val="en-US"/>
        </w:rPr>
        <w:t xml:space="preserve"> and </w:t>
      </w:r>
      <w:r>
        <w:rPr>
          <w:rFonts w:ascii="Times Roman" w:hAnsi="Times Roman"/>
          <w:b w:val="1"/>
          <w:bCs w:val="1"/>
          <w:rtl w:val="0"/>
          <w:lang w:val="en-US"/>
        </w:rPr>
        <w:t>concentrated yet contested market structure</w:t>
      </w:r>
      <w:r>
        <w:rPr>
          <w:rFonts w:ascii="Times Roman" w:hAnsi="Times Roman"/>
          <w:rtl w:val="0"/>
          <w:lang w:val="en-US"/>
        </w:rPr>
        <w:t>. This creates both enormous upside (leapfrogging potential via open finance and CBDC pilots) and acute downside risk (systemic vulnerability from single-point agent or platform failures). The empirical finding that rural users rely more heavily on Agent Quality while females are more sensitive to Post-Fraud Risk underscores that Bangladesh</w:t>
      </w:r>
      <w:r>
        <w:rPr>
          <w:rFonts w:ascii="Times Roman" w:hAnsi="Times Roman" w:hint="default"/>
          <w:rtl w:val="1"/>
        </w:rPr>
        <w:t>’</w:t>
      </w:r>
      <w:r>
        <w:rPr>
          <w:rFonts w:ascii="Times Roman" w:hAnsi="Times Roman"/>
          <w:rtl w:val="0"/>
          <w:lang w:val="en-US"/>
        </w:rPr>
        <w:t>s path to 2041 will be determined not by technology alone, but by how effectively institutional reforms close the last-mile and gender gaps that peers like Kenya and India have begun to narrow more rapidly.</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7.6 Theoretical Contributions to E-banking, Fintech Adoption, and Development Literature in Emerging Economies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study makes five substantive theoretical contributions that advance e-banking and fintech adoption scholarship beyond existing Western-centric and pre-crisis models. First, it provides the first comprehensive empirical validation of an integrated UTAUT2 + Institutional Theory + Digital Divide framework in a post-fraud emerging-market context. By embedding Scott</w:t>
      </w:r>
      <w:r>
        <w:rPr>
          <w:rFonts w:ascii="Times Roman" w:hAnsi="Times Roman" w:hint="default"/>
          <w:rtl w:val="1"/>
        </w:rPr>
        <w:t>’</w:t>
      </w:r>
      <w:r>
        <w:rPr>
          <w:rFonts w:ascii="Times Roman" w:hAnsi="Times Roman"/>
          <w:rtl w:val="0"/>
          <w:lang w:val="en-US"/>
        </w:rPr>
        <w:t>s (2008) regulative, normative, and cognitive pillars as moderators and mediators, the model explains 68% of variance in Behavioral Intention</w:t>
      </w:r>
      <w:r>
        <w:rPr>
          <w:rFonts w:ascii="Times Roman" w:hAnsi="Times Roman" w:hint="default"/>
          <w:rtl w:val="0"/>
          <w:lang w:val="en-US"/>
        </w:rPr>
        <w:t>—</w:t>
      </w:r>
      <w:r>
        <w:rPr>
          <w:rFonts w:ascii="Times Roman" w:hAnsi="Times Roman"/>
          <w:rtl w:val="0"/>
          <w:lang w:val="en-US"/>
        </w:rPr>
        <w:t>substantially higher than standalone UTAUT2 applications in South Asia (Rahi, 2023; Chauhan et al., 2022)</w:t>
      </w:r>
      <w:r>
        <w:rPr>
          <w:rFonts w:ascii="Times Roman" w:hAnsi="Times Roman" w:hint="default"/>
          <w:rtl w:val="0"/>
          <w:lang w:val="en-US"/>
        </w:rPr>
        <w:t>—</w:t>
      </w:r>
      <w:r>
        <w:rPr>
          <w:rFonts w:ascii="Times Roman" w:hAnsi="Times Roman"/>
          <w:rtl w:val="0"/>
          <w:lang w:val="en-US"/>
        </w:rPr>
        <w:t>and demonstrates that institutional voids are not merely contextual background but active theoretical constructs that shape core technology acceptance pathways.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Second, the introduction and validation of the </w:t>
      </w:r>
      <w:r>
        <w:rPr>
          <w:rFonts w:ascii="Times Roman" w:hAnsi="Times Roman"/>
          <w:b w:val="1"/>
          <w:bCs w:val="1"/>
          <w:rtl w:val="0"/>
          <w:lang w:val="en-US"/>
        </w:rPr>
        <w:t>Trust Restoration</w:t>
      </w:r>
      <w:r>
        <w:rPr>
          <w:rFonts w:ascii="Times Roman" w:hAnsi="Times Roman"/>
          <w:rtl w:val="0"/>
          <w:lang w:val="en-US"/>
        </w:rPr>
        <w:t xml:space="preserve"> construct represents a novel extension to post-crisis technology adoption literature. Unlike static trust measures in prior TAM/UTAUT extensions (Kumar, 2023; Abikari, 2024), Trust Restoration captures the dynamic recovery process following high-profile incidents and its interaction with Governance Perception. The large effect size (</w:t>
      </w:r>
      <w:r>
        <w:rPr>
          <w:rFonts w:ascii="Times Roman" w:hAnsi="Times Roman" w:hint="default"/>
          <w:rtl w:val="0"/>
        </w:rPr>
        <w:t xml:space="preserve">β </w:t>
      </w:r>
      <w:r>
        <w:rPr>
          <w:rFonts w:ascii="Times Roman" w:hAnsi="Times Roman"/>
          <w:rtl w:val="0"/>
        </w:rPr>
        <w:t>= 0.37, f</w:t>
      </w:r>
      <w:r>
        <w:rPr>
          <w:rFonts w:ascii="Times Roman" w:hAnsi="Times Roman" w:hint="default"/>
          <w:rtl w:val="0"/>
        </w:rPr>
        <w:t xml:space="preserve">² </w:t>
      </w:r>
      <w:r>
        <w:rPr>
          <w:rFonts w:ascii="Times Roman" w:hAnsi="Times Roman"/>
          <w:rtl w:val="0"/>
          <w:lang w:val="en-US"/>
        </w:rPr>
        <w:t>= 0.18) and significant moderation (</w:t>
      </w:r>
      <w:r>
        <w:rPr>
          <w:rFonts w:ascii="Times Roman" w:hAnsi="Times Roman" w:hint="default"/>
          <w:rtl w:val="0"/>
        </w:rPr>
        <w:t xml:space="preserve">β </w:t>
      </w:r>
      <w:r>
        <w:rPr>
          <w:rFonts w:ascii="Times Roman" w:hAnsi="Times Roman"/>
          <w:rtl w:val="0"/>
          <w:lang w:val="en-US"/>
        </w:rPr>
        <w:t>= 0.14) establish that in environments with recent institutional shocks, trust functions as a recoverable resource whose restoration is contingent on visible regulatory responsiveness</w:t>
      </w:r>
      <w:r>
        <w:rPr>
          <w:rFonts w:ascii="Times Roman" w:hAnsi="Times Roman" w:hint="default"/>
          <w:rtl w:val="0"/>
          <w:lang w:val="en-US"/>
        </w:rPr>
        <w:t>—</w:t>
      </w:r>
      <w:r>
        <w:rPr>
          <w:rFonts w:ascii="Times Roman" w:hAnsi="Times Roman"/>
          <w:rtl w:val="0"/>
          <w:lang w:val="en-US"/>
        </w:rPr>
        <w:t>a contribution directly relevant to other emerging markets experiencing fintech fraud waves.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Third, the multi-group analysis revealing heterogeneous effects (stronger Agent Quality for rural users; stronger Post-Fraud Risk for females) advances digital divide theory (van Dijk, 2020) by showing how structural inequalities interact with institutional pillars to produce segmented adoption patterns. This finding refines Rogers</w:t>
      </w:r>
      <w:r>
        <w:rPr>
          <w:rFonts w:ascii="Times Roman" w:hAnsi="Times Roman" w:hint="default"/>
          <w:rtl w:val="1"/>
        </w:rPr>
        <w:t xml:space="preserve">’ </w:t>
      </w:r>
      <w:r>
        <w:rPr>
          <w:rFonts w:ascii="Times Roman" w:hAnsi="Times Roman"/>
          <w:rtl w:val="0"/>
          <w:lang w:val="en-US"/>
        </w:rPr>
        <w:t xml:space="preserve">(2003) Diffusion of Innovations categories for agent-dependent ecosystems, demonstrating that </w:t>
      </w:r>
      <w:r>
        <w:rPr>
          <w:rFonts w:ascii="Times Roman" w:hAnsi="Times Roman" w:hint="default"/>
          <w:rtl w:val="1"/>
          <w:lang w:val="ar-SA" w:bidi="ar-SA"/>
        </w:rPr>
        <w:t>“</w:t>
      </w:r>
      <w:r>
        <w:rPr>
          <w:rFonts w:ascii="Times Roman" w:hAnsi="Times Roman"/>
          <w:rtl w:val="0"/>
          <w:lang w:val="en-US"/>
        </w:rPr>
        <w:t>late majority</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sv-SE"/>
        </w:rPr>
        <w:t>laggard</w:t>
      </w:r>
      <w:r>
        <w:rPr>
          <w:rFonts w:ascii="Times Roman" w:hAnsi="Times Roman" w:hint="default"/>
          <w:rtl w:val="0"/>
        </w:rPr>
        <w:t xml:space="preserve">” </w:t>
      </w:r>
      <w:r>
        <w:rPr>
          <w:rFonts w:ascii="Times Roman" w:hAnsi="Times Roman"/>
          <w:rtl w:val="0"/>
          <w:lang w:val="en-US"/>
        </w:rPr>
        <w:t>groups in rural Bangladesh are not merely slow adopters but structurally constrained by last-mile liquidity and normative barriers.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Fourth, the study contributes to development economics and institutional voids literature by linking fintech adoption outcomes to SDG progress. The empirical demonstration that closing gender and rural gaps requires simultaneous strengthening of regulative enforcement and agent professionalization provides a testable mechanism through which digital finance can reduce inequality (SDG 10) and foster inclusive growth (SDG 8), extending Khera et al.</w:t>
      </w:r>
      <w:r>
        <w:rPr>
          <w:rFonts w:ascii="Times Roman" w:hAnsi="Times Roman" w:hint="default"/>
          <w:rtl w:val="1"/>
        </w:rPr>
        <w:t>’</w:t>
      </w:r>
      <w:r>
        <w:rPr>
          <w:rFonts w:ascii="Times Roman" w:hAnsi="Times Roman"/>
          <w:rtl w:val="0"/>
          <w:lang w:val="en-US"/>
        </w:rPr>
        <w:t>s (2021) cross-country GDP growth findings to the micro-level behavioral pathways in a single high-growth emerging economy.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Finally, the research offers a replicable theoretical template for South Asian and African fintech scholarship. By demonstrating how UTAUT2 can be contextually extended with post-crisis trust restoration and Scott</w:t>
      </w:r>
      <w:r>
        <w:rPr>
          <w:rFonts w:ascii="Times Roman" w:hAnsi="Times Roman" w:hint="default"/>
          <w:rtl w:val="1"/>
        </w:rPr>
        <w:t>’</w:t>
      </w:r>
      <w:r>
        <w:rPr>
          <w:rFonts w:ascii="Times Roman" w:hAnsi="Times Roman"/>
          <w:rtl w:val="0"/>
          <w:lang w:val="en-US"/>
        </w:rPr>
        <w:t>s three pillars, the study moves beyond isolated country validations (Sharmin et al., 2021; Abid, 2023) toward a multi-level framework capable of explaining adoption in environments characterized by rapid scale, recent governance shocks, and persistent institutional voids. These contributions collectively elevate technology acceptance theories from predominantly Western, micro-level explanations to contextually robust, institutionally embedded models suited to the complexities of 21st-century digital financial transformation in the Global South.</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7.7 Policy, Managerial, and Practical Implications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integrated findings</w:t>
      </w:r>
      <w:r>
        <w:rPr>
          <w:rFonts w:ascii="Times Roman" w:hAnsi="Times Roman" w:hint="default"/>
          <w:rtl w:val="0"/>
          <w:lang w:val="en-US"/>
        </w:rPr>
        <w:t>—</w:t>
      </w:r>
      <w:r>
        <w:rPr>
          <w:rFonts w:ascii="Times Roman" w:hAnsi="Times Roman"/>
          <w:rtl w:val="0"/>
          <w:lang w:val="en-US"/>
        </w:rPr>
        <w:t>particularly the dominant influence of Trust Restoration (</w:t>
      </w:r>
      <w:r>
        <w:rPr>
          <w:rFonts w:ascii="Times Roman" w:hAnsi="Times Roman" w:hint="default"/>
          <w:rtl w:val="0"/>
        </w:rPr>
        <w:t xml:space="preserve">β </w:t>
      </w:r>
      <w:r>
        <w:rPr>
          <w:rFonts w:ascii="Times Roman" w:hAnsi="Times Roman"/>
          <w:rtl w:val="0"/>
          <w:lang w:val="en-US"/>
        </w:rPr>
        <w:t>= 0.37) and Performance Expectancy (</w:t>
      </w:r>
      <w:r>
        <w:rPr>
          <w:rFonts w:ascii="Times Roman" w:hAnsi="Times Roman" w:hint="default"/>
          <w:rtl w:val="0"/>
        </w:rPr>
        <w:t xml:space="preserve">β </w:t>
      </w:r>
      <w:r>
        <w:rPr>
          <w:rFonts w:ascii="Times Roman" w:hAnsi="Times Roman"/>
          <w:rtl w:val="0"/>
          <w:lang w:val="en-US"/>
        </w:rPr>
        <w:t>= 0.41) on Behavioral Intention, the significant moderating roles of Governance Perception and digital divide variables, and the clear prioritization of security/trust deficits (#1), literacy/gender-rural gaps (#2), regulatory enforcement weaknesses (#3), and agent network quality issues (#4) through Importance-Performance Analysis</w:t>
      </w:r>
      <w:r>
        <w:rPr>
          <w:rFonts w:ascii="Times Roman" w:hAnsi="Times Roman" w:hint="default"/>
          <w:rtl w:val="0"/>
          <w:lang w:val="en-US"/>
        </w:rPr>
        <w:t>—</w:t>
      </w:r>
      <w:r>
        <w:rPr>
          <w:rFonts w:ascii="Times Roman" w:hAnsi="Times Roman"/>
          <w:rtl w:val="0"/>
          <w:lang w:val="en-US"/>
        </w:rPr>
        <w:t>carry direct, actionable implications for three primary stakeholder groups. These implications are grounded in both the quantitative structural model (R</w:t>
      </w:r>
      <w:r>
        <w:rPr>
          <w:rFonts w:ascii="Times Roman" w:hAnsi="Times Roman" w:hint="default"/>
          <w:rtl w:val="0"/>
        </w:rPr>
        <w:t xml:space="preserve">² </w:t>
      </w:r>
      <w:r>
        <w:rPr>
          <w:rFonts w:ascii="Times Roman" w:hAnsi="Times Roman"/>
          <w:rtl w:val="0"/>
          <w:lang w:val="en-US"/>
        </w:rPr>
        <w:t>= 0.68 for Behavioral Intention) and the qualitative themes of fragile but recoverable trust, governance on paper versus ground reality, last-mile fragility, and systemic barriers facing women. The recommendations are explicitly aligned with the Cashless Economy Roadmap 2030 and Smart Bangladesh Vision 2041, ensuring that policy and practice interventions simultaneously strengthen the core UTAUT2 pathways and address the institutional voids identified through Scott</w:t>
      </w:r>
      <w:r>
        <w:rPr>
          <w:rFonts w:ascii="Times Roman" w:hAnsi="Times Roman" w:hint="default"/>
          <w:rtl w:val="1"/>
        </w:rPr>
        <w:t>’</w:t>
      </w:r>
      <w:r>
        <w:rPr>
          <w:rFonts w:ascii="Times Roman" w:hAnsi="Times Roman"/>
          <w:rtl w:val="0"/>
          <w:lang w:val="en-US"/>
        </w:rPr>
        <w:t>s (2008) regulative, normative, and cognitive pillars.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7.7.1 For Bangladesh Bank and Regulators (Capacity Building, Proactive Enforcement, CBDC Roadmap, Trust-Restoration Framework)</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Bangladesh Bank and associated regulators (BFIU, Ministry of Finance) must transition from a predominantly reactive, compliance-focused posture to a proactive, risk-based supervisory model that directly targets the highest-impact leverage points revealed by the study. First, </w:t>
      </w:r>
      <w:r>
        <w:rPr>
          <w:rFonts w:ascii="Times Roman" w:hAnsi="Times Roman"/>
          <w:b w:val="1"/>
          <w:bCs w:val="1"/>
          <w:rtl w:val="0"/>
          <w:lang w:val="en-US"/>
        </w:rPr>
        <w:t>capacity building</w:t>
      </w:r>
      <w:r>
        <w:rPr>
          <w:rFonts w:ascii="Times Roman" w:hAnsi="Times Roman"/>
          <w:rtl w:val="0"/>
          <w:lang w:val="en-US"/>
        </w:rPr>
        <w:t xml:space="preserve"> should prioritize real-time transaction monitoring systems integrated with AI-driven anomaly detection, expanding the specialized technology-risk and digital-banking units established under the January 2026 Risk-Based Supervision restructuring. The finding that Governance Perception significantly moderates the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Behavioral Intention relationship (</w:t>
      </w:r>
      <w:r>
        <w:rPr>
          <w:rFonts w:ascii="Times Roman" w:hAnsi="Times Roman" w:hint="default"/>
          <w:rtl w:val="0"/>
        </w:rPr>
        <w:t xml:space="preserve">β </w:t>
      </w:r>
      <w:r>
        <w:rPr>
          <w:rFonts w:ascii="Times Roman" w:hAnsi="Times Roman"/>
          <w:rtl w:val="0"/>
          <w:lang w:val="en-US"/>
        </w:rPr>
        <w:t xml:space="preserve">= 0.14, p &lt; .01) indicates that visible enforcement strength is essential for converting high formal inclusion (58.4%) into active, trust-based usage. Recommended actions include mandatory quarterly public reporting of fraud redressal success rates and average resolution times, directly addressing the qualitative theme </w:t>
      </w:r>
      <w:r>
        <w:rPr>
          <w:rFonts w:ascii="Times Roman" w:hAnsi="Times Roman" w:hint="default"/>
          <w:rtl w:val="1"/>
          <w:lang w:val="ar-SA" w:bidi="ar-SA"/>
        </w:rPr>
        <w:t>“</w:t>
      </w:r>
      <w:r>
        <w:rPr>
          <w:rFonts w:ascii="Times Roman" w:hAnsi="Times Roman"/>
          <w:rtl w:val="0"/>
          <w:lang w:val="en-US"/>
        </w:rPr>
        <w:t>Governance Exists on Paper.</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it-IT"/>
        </w:rPr>
        <w:t xml:space="preserve">Second, </w:t>
      </w:r>
      <w:r>
        <w:rPr>
          <w:rFonts w:ascii="Times Roman" w:hAnsi="Times Roman"/>
          <w:b w:val="1"/>
          <w:bCs w:val="1"/>
          <w:rtl w:val="0"/>
          <w:lang w:val="en-US"/>
        </w:rPr>
        <w:t>proactive enforcement</w:t>
      </w:r>
      <w:r>
        <w:rPr>
          <w:rFonts w:ascii="Times Roman" w:hAnsi="Times Roman"/>
          <w:rtl w:val="0"/>
          <w:lang w:val="en-US"/>
        </w:rPr>
        <w:t xml:space="preserve"> must target market concentration risks (HHI &gt; 2,800) and agent-level vulnerabilities. The study</w:t>
      </w:r>
      <w:r>
        <w:rPr>
          <w:rFonts w:ascii="Times Roman" w:hAnsi="Times Roman" w:hint="default"/>
          <w:rtl w:val="1"/>
        </w:rPr>
        <w:t>’</w:t>
      </w:r>
      <w:r>
        <w:rPr>
          <w:rFonts w:ascii="Times Roman" w:hAnsi="Times Roman"/>
          <w:rtl w:val="0"/>
          <w:lang w:val="en-US"/>
        </w:rPr>
        <w:t>s evidence that only 7.6% of fraud victims file cases, combined with documented e-money violations and liquidity shortages, justifies stricter personal liability provisions for PSO executives (as proposed in the 2025 PSO Regulation draft) and mandatory agent liquidity buffer requirements during peak periods (Eid, harvest seasons). A zero-tolerance policy on SIM-swap and phishing networks, coupled with swift license suspensions for non-compliant MFS providers, would strengthen the regulative pillar and accelerate trust recovery.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Third, the </w:t>
      </w:r>
      <w:r>
        <w:rPr>
          <w:rFonts w:ascii="Times Roman" w:hAnsi="Times Roman"/>
          <w:b w:val="1"/>
          <w:bCs w:val="1"/>
          <w:rtl w:val="0"/>
          <w:lang w:val="en-US"/>
        </w:rPr>
        <w:t>CBDC roadmap</w:t>
      </w:r>
      <w:r>
        <w:rPr>
          <w:rFonts w:ascii="Times Roman" w:hAnsi="Times Roman"/>
          <w:rtl w:val="0"/>
          <w:lang w:val="en-US"/>
        </w:rPr>
        <w:t xml:space="preserve"> should be accelerated with a phased pilot focused initially on wholesale applications for interbank and MFS settlement by 2028</w:t>
      </w:r>
      <w:r>
        <w:rPr>
          <w:rFonts w:ascii="Times Roman" w:hAnsi="Times Roman" w:hint="default"/>
          <w:rtl w:val="0"/>
        </w:rPr>
        <w:t>–</w:t>
      </w:r>
      <w:r>
        <w:rPr>
          <w:rFonts w:ascii="Times Roman" w:hAnsi="Times Roman"/>
          <w:rtl w:val="0"/>
          <w:lang w:val="en-US"/>
        </w:rPr>
        <w:t xml:space="preserve">2029, followed by limited retail pilots in high-poverty districts by 2032. Given that 74% of key informants viewed wholesale CBDC as feasible within three years, this would enhance interoperability (building on NPSB/IDTP) and reduce settlement risks that currently amplify perceived insecurity. Finally, a formal </w:t>
      </w:r>
      <w:r>
        <w:rPr>
          <w:rFonts w:ascii="Times Roman" w:hAnsi="Times Roman"/>
          <w:b w:val="1"/>
          <w:bCs w:val="1"/>
          <w:rtl w:val="0"/>
          <w:lang w:val="en-US"/>
        </w:rPr>
        <w:t>Trust-Restoration Framework</w:t>
      </w:r>
      <w:r>
        <w:rPr>
          <w:rFonts w:ascii="Times Roman" w:hAnsi="Times Roman"/>
          <w:rtl w:val="0"/>
          <w:lang w:val="en-US"/>
        </w:rPr>
        <w:t xml:space="preserve"> should be institutionalized by December 2026, mandating public compensation protocols within 72 hours of verified fraud, independent audit of redressal mechanisms, and a national </w:t>
      </w:r>
      <w:r>
        <w:rPr>
          <w:rFonts w:ascii="Times Roman" w:hAnsi="Times Roman" w:hint="default"/>
          <w:rtl w:val="1"/>
          <w:lang w:val="ar-SA" w:bidi="ar-SA"/>
        </w:rPr>
        <w:t>“</w:t>
      </w:r>
      <w:r>
        <w:rPr>
          <w:rFonts w:ascii="Times Roman" w:hAnsi="Times Roman"/>
          <w:rtl w:val="0"/>
        </w:rPr>
        <w:t>Digital Trust Score</w:t>
      </w:r>
      <w:r>
        <w:rPr>
          <w:rFonts w:ascii="Times Roman" w:hAnsi="Times Roman" w:hint="default"/>
          <w:rtl w:val="0"/>
        </w:rPr>
        <w:t xml:space="preserve">” </w:t>
      </w:r>
      <w:r>
        <w:rPr>
          <w:rFonts w:ascii="Times Roman" w:hAnsi="Times Roman"/>
          <w:rtl w:val="0"/>
          <w:lang w:val="en-US"/>
        </w:rPr>
        <w:t>dashboard for each licensed provider. These measures would directly operationalize the Trust Restoration construct validated in the model and shift probability toward the optimistic growth scenario outlined in Section 7.4.</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7.7.2 For Commercial Banks and MFS Providers (Trust Restoration Strategies, Product Innovation, Rural Agent Ecosystem Strengthening, Gender-Inclusive Design)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Commercial banks (BRAC Bank, Islami Bank, Dutch-Bangla Bank) and dominant MFS providers (bKash, Nagad, Rocket) must treat trust restoration and inclusive design as core competitive strategies rather than peripheral CSR activities. The quantitative result that Trust Restoration is the second-strongest predictor of Behavioral Intention (</w:t>
      </w:r>
      <w:r>
        <w:rPr>
          <w:rFonts w:ascii="Times Roman" w:hAnsi="Times Roman" w:hint="default"/>
          <w:rtl w:val="0"/>
        </w:rPr>
        <w:t xml:space="preserve">β </w:t>
      </w:r>
      <w:r>
        <w:rPr>
          <w:rFonts w:ascii="Times Roman" w:hAnsi="Times Roman"/>
          <w:rtl w:val="0"/>
          <w:lang w:val="en-US"/>
        </w:rPr>
        <w:t>= 0.37) demonstrates that post-2024</w:t>
      </w:r>
      <w:r>
        <w:rPr>
          <w:rFonts w:ascii="Times Roman" w:hAnsi="Times Roman" w:hint="default"/>
          <w:rtl w:val="0"/>
        </w:rPr>
        <w:t>–</w:t>
      </w:r>
      <w:r>
        <w:rPr>
          <w:rFonts w:ascii="Times Roman" w:hAnsi="Times Roman"/>
          <w:rtl w:val="0"/>
          <w:lang w:val="en-US"/>
        </w:rPr>
        <w:t xml:space="preserve">25 incident recovery directly drives usage. Providers should implement </w:t>
      </w:r>
      <w:r>
        <w:rPr>
          <w:rFonts w:ascii="Times Roman" w:hAnsi="Times Roman"/>
          <w:b w:val="1"/>
          <w:bCs w:val="1"/>
          <w:rtl w:val="0"/>
          <w:lang w:val="en-US"/>
        </w:rPr>
        <w:t>proactive trust restoration strategies</w:t>
      </w:r>
      <w:r>
        <w:rPr>
          <w:rFonts w:ascii="Times Roman" w:hAnsi="Times Roman"/>
          <w:rtl w:val="0"/>
          <w:lang w:val="en-US"/>
        </w:rPr>
        <w:t xml:space="preserve">, including instant in-app fraud alerts with one-click dispute resolution, public victim compensation funds publicized through SMS and agent networks, and transparent </w:t>
      </w:r>
      <w:r>
        <w:rPr>
          <w:rFonts w:ascii="Times Roman" w:hAnsi="Times Roman" w:hint="default"/>
          <w:rtl w:val="1"/>
          <w:lang w:val="ar-SA" w:bidi="ar-SA"/>
        </w:rPr>
        <w:t>“</w:t>
      </w:r>
      <w:r>
        <w:rPr>
          <w:rFonts w:ascii="Times Roman" w:hAnsi="Times Roman"/>
          <w:rtl w:val="0"/>
          <w:lang w:val="en-US"/>
        </w:rPr>
        <w:t>Trust Score</w:t>
      </w:r>
      <w:r>
        <w:rPr>
          <w:rFonts w:ascii="Times Roman" w:hAnsi="Times Roman" w:hint="default"/>
          <w:rtl w:val="0"/>
        </w:rPr>
        <w:t xml:space="preserve">” </w:t>
      </w:r>
      <w:r>
        <w:rPr>
          <w:rFonts w:ascii="Times Roman" w:hAnsi="Times Roman"/>
          <w:rtl w:val="0"/>
          <w:lang w:val="en-US"/>
        </w:rPr>
        <w:t xml:space="preserve">metrics displayed at the point of transaction. These actions align with the qualitative insight that </w:t>
      </w:r>
      <w:r>
        <w:rPr>
          <w:rFonts w:ascii="Times Roman" w:hAnsi="Times Roman" w:hint="default"/>
          <w:rtl w:val="1"/>
          <w:lang w:val="ar-SA" w:bidi="ar-SA"/>
        </w:rPr>
        <w:t>“</w:t>
      </w:r>
      <w:r>
        <w:rPr>
          <w:rFonts w:ascii="Times Roman" w:hAnsi="Times Roman"/>
          <w:rtl w:val="0"/>
          <w:lang w:val="en-US"/>
        </w:rPr>
        <w:t>when we respond quickly and compensate victims publicly, trust rebounds faster than we expect.</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Product innovation</w:t>
      </w:r>
      <w:r>
        <w:rPr>
          <w:rFonts w:ascii="Times Roman" w:hAnsi="Times Roman"/>
          <w:rtl w:val="0"/>
          <w:lang w:val="en-US"/>
        </w:rPr>
        <w:t xml:space="preserve"> should leverage the strong Performance Expectancy effect (</w:t>
      </w:r>
      <w:r>
        <w:rPr>
          <w:rFonts w:ascii="Times Roman" w:hAnsi="Times Roman" w:hint="default"/>
          <w:rtl w:val="0"/>
        </w:rPr>
        <w:t xml:space="preserve">β </w:t>
      </w:r>
      <w:r>
        <w:rPr>
          <w:rFonts w:ascii="Times Roman" w:hAnsi="Times Roman"/>
          <w:rtl w:val="0"/>
          <w:lang w:val="en-US"/>
        </w:rPr>
        <w:t>= 0.41) by accelerating AI-driven credit scoring for micro and SME lending (projected to reach BDT 35,000 crore by 2030) and embedding biometric authentication as default onboarding, which pilot data show reduces fraud incidents by 35</w:t>
      </w:r>
      <w:r>
        <w:rPr>
          <w:rFonts w:ascii="Times Roman" w:hAnsi="Times Roman" w:hint="default"/>
          <w:rtl w:val="0"/>
        </w:rPr>
        <w:t>–</w:t>
      </w:r>
      <w:r>
        <w:rPr>
          <w:rFonts w:ascii="Times Roman" w:hAnsi="Times Roman"/>
          <w:rtl w:val="0"/>
          <w:lang w:val="en-US"/>
        </w:rPr>
        <w:t>40%. Open finance APIs under the 2025 Digital Bank Guidelines should be prioritized to enable personalized savings automation and embedded insurance products, directly addressing the hedonic motivation and price value pathways that remain underutilized in the current ecosystem.</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Rural agent ecosystem strengthening</w:t>
      </w:r>
      <w:r>
        <w:rPr>
          <w:rFonts w:ascii="Times Roman" w:hAnsi="Times Roman"/>
          <w:rtl w:val="0"/>
          <w:lang w:val="en-US"/>
        </w:rPr>
        <w:t xml:space="preserve"> is critical given the significantly stronger Agent Quality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Behavioral Intention path among rural users (</w:t>
      </w:r>
      <w:r>
        <w:rPr>
          <w:rFonts w:ascii="Times Roman" w:hAnsi="Times Roman" w:hint="default"/>
          <w:rtl w:val="0"/>
        </w:rPr>
        <w:t xml:space="preserve">β </w:t>
      </w:r>
      <w:r>
        <w:rPr>
          <w:rFonts w:ascii="Times Roman" w:hAnsi="Times Roman"/>
          <w:rtl w:val="0"/>
          <w:lang w:val="en-US"/>
        </w:rPr>
        <w:t>= 0.38 vs. 0.19 urban). Providers must introduce mandatory certification programs, real-time liquidity dashboards with automated top-up during peak periods, and performance-based incentives tied to customer retention rather than transaction volume alone. The qualitative vignette of rural agents running out of cash by 2 PM during Eid illustrates that last-mile reliability is now a binding constraint on scaling active usage.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Finally, </w:t>
      </w:r>
      <w:r>
        <w:rPr>
          <w:rFonts w:ascii="Times Roman" w:hAnsi="Times Roman"/>
          <w:b w:val="1"/>
          <w:bCs w:val="1"/>
          <w:rtl w:val="0"/>
          <w:lang w:val="en-US"/>
        </w:rPr>
        <w:t>gender-inclusive design</w:t>
      </w:r>
      <w:r>
        <w:rPr>
          <w:rFonts w:ascii="Times Roman" w:hAnsi="Times Roman"/>
          <w:rtl w:val="0"/>
          <w:lang w:val="en-US"/>
        </w:rPr>
        <w:t xml:space="preserve"> must become a strategic priority. The stronger negative effect of Post-Fraud Risk Perception among females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en-US"/>
        </w:rPr>
        <w:t xml:space="preserve">0.31) and the theme </w:t>
      </w:r>
      <w:r>
        <w:rPr>
          <w:rFonts w:ascii="Times Roman" w:hAnsi="Times Roman" w:hint="default"/>
          <w:rtl w:val="1"/>
          <w:lang w:val="ar-SA" w:bidi="ar-SA"/>
        </w:rPr>
        <w:t>“</w:t>
      </w:r>
      <w:r>
        <w:rPr>
          <w:rFonts w:ascii="Times Roman" w:hAnsi="Times Roman"/>
          <w:rtl w:val="0"/>
          <w:lang w:val="en-US"/>
        </w:rPr>
        <w:t>Women Are Ready, But the System Isn</w:t>
      </w:r>
      <w:r>
        <w:rPr>
          <w:rFonts w:ascii="Times Roman" w:hAnsi="Times Roman" w:hint="default"/>
          <w:rtl w:val="1"/>
        </w:rPr>
        <w:t>’</w:t>
      </w:r>
      <w:r>
        <w:rPr>
          <w:rFonts w:ascii="Times Roman" w:hAnsi="Times Roman"/>
          <w:rtl w:val="0"/>
        </w:rPr>
        <w:t>t</w:t>
      </w:r>
      <w:r>
        <w:rPr>
          <w:rFonts w:ascii="Times Roman" w:hAnsi="Times Roman" w:hint="default"/>
          <w:rtl w:val="0"/>
        </w:rPr>
        <w:t xml:space="preserve">” </w:t>
      </w:r>
      <w:r>
        <w:rPr>
          <w:rFonts w:ascii="Times Roman" w:hAnsi="Times Roman"/>
          <w:rtl w:val="0"/>
          <w:lang w:val="en-US"/>
        </w:rPr>
        <w:t>demand targeted interventions: women-only agent networks or privacy-screened cash points, Bengali-first app interfaces with voice navigation, and savings/credit products designed around normative constraints (e.g., family-linked accounts with female-controlled sub-wallets). These measures would accelerate closure of the 11.8 percentage point gender gap and unlock the substantial untapped demand among the 48.8% female respondents in the sample.</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7.7.3 For Government, Development Partners &amp; Civil Society (National Digital Literacy Campaign, Infrastructure Acceleration, Gender &amp; Rural Inclusion Programs)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The Government of Bangladesh, development partners (World Bank, Gates Foundation, UNDP), and civil society organizations must address the foundational digital divide barriers that currently attenuate Effort Expectancy and Facilitating Conditions effects, particularly in rural areas. A </w:t>
      </w:r>
      <w:r>
        <w:rPr>
          <w:rFonts w:ascii="Times Roman" w:hAnsi="Times Roman"/>
          <w:b w:val="1"/>
          <w:bCs w:val="1"/>
          <w:rtl w:val="0"/>
          <w:lang w:val="en-US"/>
        </w:rPr>
        <w:t>national digital literacy campaign</w:t>
      </w:r>
      <w:r>
        <w:rPr>
          <w:rFonts w:ascii="Times Roman" w:hAnsi="Times Roman"/>
          <w:rtl w:val="0"/>
          <w:lang w:val="en-US"/>
        </w:rPr>
        <w:t xml:space="preserve"> targeting 50 million adults by 2029 should be launched immediately, focusing on fraud recognition, safe app navigation, and rights awareness. The finding that rural respondents scored significantly lower on digital literacy self-assessment (M = 4.12 vs. 5.67 urban) and that Digital Literacy moderates the Effort Expectancy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Intention relationship justifies embedding literacy modules into existing G2P disbursement channels (e.g., bKash and Nagad salary and social safety net transfers) and school curricula.</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Infrastructure acceleration</w:t>
      </w:r>
      <w:r>
        <w:rPr>
          <w:rFonts w:ascii="Times Roman" w:hAnsi="Times Roman"/>
          <w:rtl w:val="0"/>
          <w:lang w:val="en-US"/>
        </w:rPr>
        <w:t xml:space="preserve"> must close the urban</w:t>
      </w:r>
      <w:r>
        <w:rPr>
          <w:rFonts w:ascii="Times Roman" w:hAnsi="Times Roman" w:hint="default"/>
          <w:rtl w:val="0"/>
        </w:rPr>
        <w:t>–</w:t>
      </w:r>
      <w:r>
        <w:rPr>
          <w:rFonts w:ascii="Times Roman" w:hAnsi="Times Roman"/>
          <w:rtl w:val="0"/>
          <w:lang w:val="en-US"/>
        </w:rPr>
        <w:t>rural connectivity and power reliability gaps that continue to depress Agent Quality perceptions and overall facilitating conditions. The 23.6 percentage point rural</w:t>
      </w:r>
      <w:r>
        <w:rPr>
          <w:rFonts w:ascii="Times Roman" w:hAnsi="Times Roman" w:hint="default"/>
          <w:rtl w:val="0"/>
        </w:rPr>
        <w:t>–</w:t>
      </w:r>
      <w:r>
        <w:rPr>
          <w:rFonts w:ascii="Times Roman" w:hAnsi="Times Roman"/>
          <w:rtl w:val="0"/>
          <w:lang w:val="en-US"/>
        </w:rPr>
        <w:t>urban gap in active usage and frequent network failures reported by rural agents require accelerated 5G rollout in all eight divisions by 2028, subsidized solar-powered agent terminals, and mandatory redundancy standards for MFS platforms. Development partners can support this through blended finance instruments tied to measurable last-mile quality KPIs.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Gender and rural inclusion programs</w:t>
      </w:r>
      <w:r>
        <w:rPr>
          <w:rFonts w:ascii="Times Roman" w:hAnsi="Times Roman"/>
          <w:rtl w:val="0"/>
          <w:lang w:val="en-US"/>
        </w:rPr>
        <w:t xml:space="preserve"> should be scaled with dedicated funding windows. Female agent recruitment targets (minimum 40% of new agents by 2028), women-centric financial products, and rural digital entrepreneurship hubs would directly address the normative and access barriers highlighted in the qualitative data. Civil society organizations should lead independent monitoring of the Digital Trust Score and agent quality metrics, creating accountability mechanisms that reinforce the regulative pillar. These interventions would convert the high Behavioral Intention observed in the survey (driven by strong Performance Expectancy) into sustained, inclusive Usage Behavior, ensuring that Bangladesh</w:t>
      </w:r>
      <w:r>
        <w:rPr>
          <w:rFonts w:ascii="Times Roman" w:hAnsi="Times Roman" w:hint="default"/>
          <w:rtl w:val="1"/>
        </w:rPr>
        <w:t>’</w:t>
      </w:r>
      <w:r>
        <w:rPr>
          <w:rFonts w:ascii="Times Roman" w:hAnsi="Times Roman"/>
          <w:rtl w:val="0"/>
          <w:lang w:val="en-US"/>
        </w:rPr>
        <w:t>s impressive quantitative scale translates into equitable development outcomes aligned with SDG 1 (No Poverty), SDG 5 (Gender Equality), SDG 9, and SDG 10 by 2030</w:t>
      </w:r>
      <w:r>
        <w:rPr>
          <w:rFonts w:ascii="Times Roman" w:hAnsi="Times Roman" w:hint="default"/>
          <w:rtl w:val="0"/>
        </w:rPr>
        <w:t>–</w:t>
      </w:r>
      <w:r>
        <w:rPr>
          <w:rFonts w:ascii="Times Roman" w:hAnsi="Times Roman"/>
          <w:rtl w:val="0"/>
        </w:rPr>
        <w:t>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Collectively, these stakeholder-specific implications demonstrate that the challenges and prospects identified in this study are not merely academic findings but actionable levers for transforming Bangladesh</w:t>
      </w:r>
      <w:r>
        <w:rPr>
          <w:rFonts w:ascii="Times Roman" w:hAnsi="Times Roman" w:hint="default"/>
          <w:rtl w:val="1"/>
        </w:rPr>
        <w:t>’</w:t>
      </w:r>
      <w:r>
        <w:rPr>
          <w:rFonts w:ascii="Times Roman" w:hAnsi="Times Roman"/>
          <w:rtl w:val="0"/>
          <w:lang w:val="en-US"/>
        </w:rPr>
        <w:t>s digital financial ecosystem from one of impressive scale with fragile foundations into a globally leading model of inclusive, trustworthy, and resilient digital finance.</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7.8 Critical Evaluation of UTAUT2 Applicability and Limitations in the Bangladesh Institutional Context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extended UTAUT2 model tested in this study demonstrated robust applicability in the Bangladeshi e-banking context, explaining 68% of variance in Behavioral Intention and 59% in Usage Behavior</w:t>
      </w:r>
      <w:r>
        <w:rPr>
          <w:rFonts w:ascii="Times Roman" w:hAnsi="Times Roman" w:hint="default"/>
          <w:rtl w:val="0"/>
          <w:lang w:val="en-US"/>
        </w:rPr>
        <w:t>—</w:t>
      </w:r>
      <w:r>
        <w:rPr>
          <w:rFonts w:ascii="Times Roman" w:hAnsi="Times Roman"/>
          <w:rtl w:val="0"/>
          <w:lang w:val="en-US"/>
        </w:rPr>
        <w:t>figures that exceed typical benchmarks reported in South Asian validations (Rahi, 2023; Sharmin et al., 2021). Core constructs performed as hypothesized: Performance Expectancy (</w:t>
      </w:r>
      <w:r>
        <w:rPr>
          <w:rFonts w:ascii="Times Roman" w:hAnsi="Times Roman" w:hint="default"/>
          <w:rtl w:val="0"/>
        </w:rPr>
        <w:t xml:space="preserve">β </w:t>
      </w:r>
      <w:r>
        <w:rPr>
          <w:rFonts w:ascii="Times Roman" w:hAnsi="Times Roman"/>
          <w:rtl w:val="0"/>
          <w:lang w:val="en-US"/>
        </w:rPr>
        <w:t>= 0.41) and Effort Expectancy (</w:t>
      </w:r>
      <w:r>
        <w:rPr>
          <w:rFonts w:ascii="Times Roman" w:hAnsi="Times Roman" w:hint="default"/>
          <w:rtl w:val="0"/>
        </w:rPr>
        <w:t xml:space="preserve">β </w:t>
      </w:r>
      <w:r>
        <w:rPr>
          <w:rFonts w:ascii="Times Roman" w:hAnsi="Times Roman"/>
          <w:rtl w:val="0"/>
          <w:lang w:val="en-US"/>
        </w:rPr>
        <w:t>= 0.29) significantly predicted Behavioral Intention, while the consumer-oriented additions of Hedonic Motivation, Price Value, and Habit retained relevance, albeit with varying effect sizes. Multi-group analysis further confirmed the model</w:t>
      </w:r>
      <w:r>
        <w:rPr>
          <w:rFonts w:ascii="Times Roman" w:hAnsi="Times Roman" w:hint="default"/>
          <w:rtl w:val="1"/>
        </w:rPr>
        <w:t>’</w:t>
      </w:r>
      <w:r>
        <w:rPr>
          <w:rFonts w:ascii="Times Roman" w:hAnsi="Times Roman"/>
          <w:rtl w:val="0"/>
          <w:lang w:val="en-US"/>
        </w:rPr>
        <w:t>s utility in capturing heterogeneity, with significant path differences across rural</w:t>
      </w:r>
      <w:r>
        <w:rPr>
          <w:rFonts w:ascii="Times Roman" w:hAnsi="Times Roman" w:hint="default"/>
          <w:rtl w:val="0"/>
        </w:rPr>
        <w:t>–</w:t>
      </w:r>
      <w:r>
        <w:rPr>
          <w:rFonts w:ascii="Times Roman" w:hAnsi="Times Roman"/>
          <w:rtl w:val="0"/>
          <w:lang w:val="en-US"/>
        </w:rPr>
        <w:t>urban and gender divides aligning with Bangladesh</w:t>
      </w:r>
      <w:r>
        <w:rPr>
          <w:rFonts w:ascii="Times Roman" w:hAnsi="Times Roman" w:hint="default"/>
          <w:rtl w:val="1"/>
        </w:rPr>
        <w:t>’</w:t>
      </w:r>
      <w:r>
        <w:rPr>
          <w:rFonts w:ascii="Times Roman" w:hAnsi="Times Roman"/>
          <w:rtl w:val="0"/>
          <w:lang w:val="en-US"/>
        </w:rPr>
        <w:t>s documented digital inclusion asymmetries.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Nevertheless, the Bangladesh institutional context reveals several important limitations of the original UTAUT2 framework that necessitated the theoretical extensions introduced in Chapter 2. First, UTAUT2</w:t>
      </w:r>
      <w:r>
        <w:rPr>
          <w:rFonts w:ascii="Times Roman" w:hAnsi="Times Roman" w:hint="default"/>
          <w:rtl w:val="1"/>
        </w:rPr>
        <w:t>’</w:t>
      </w:r>
      <w:r>
        <w:rPr>
          <w:rFonts w:ascii="Times Roman" w:hAnsi="Times Roman"/>
          <w:rtl w:val="0"/>
          <w:lang w:val="en-US"/>
        </w:rPr>
        <w:t xml:space="preserve">s assumption of relatively stable, voluntary adoption environments underestimates the salience of </w:t>
      </w:r>
      <w:r>
        <w:rPr>
          <w:rFonts w:ascii="Times Roman" w:hAnsi="Times Roman"/>
          <w:b w:val="1"/>
          <w:bCs w:val="1"/>
          <w:rtl w:val="0"/>
          <w:lang w:val="en-US"/>
        </w:rPr>
        <w:t>post-crisis trust dynamics</w:t>
      </w:r>
      <w:r>
        <w:rPr>
          <w:rFonts w:ascii="Times Roman" w:hAnsi="Times Roman"/>
          <w:rtl w:val="0"/>
          <w:lang w:val="en-US"/>
        </w:rPr>
        <w:t xml:space="preserve"> and </w:t>
      </w:r>
      <w:r>
        <w:rPr>
          <w:rFonts w:ascii="Times Roman" w:hAnsi="Times Roman"/>
          <w:b w:val="1"/>
          <w:bCs w:val="1"/>
          <w:rtl w:val="0"/>
          <w:lang w:val="en-US"/>
        </w:rPr>
        <w:t>institutional voids</w:t>
      </w:r>
      <w:r>
        <w:rPr>
          <w:rFonts w:ascii="Times Roman" w:hAnsi="Times Roman"/>
          <w:rtl w:val="0"/>
          <w:lang w:val="en-US"/>
        </w:rPr>
        <w:t xml:space="preserve"> that characterize emerging markets recovering from high-profile fraud incidents. The finding that Trust Restoration emerged as the second-strongest predictor (</w:t>
      </w:r>
      <w:r>
        <w:rPr>
          <w:rFonts w:ascii="Times Roman" w:hAnsi="Times Roman" w:hint="default"/>
          <w:rtl w:val="0"/>
        </w:rPr>
        <w:t xml:space="preserve">β </w:t>
      </w:r>
      <w:r>
        <w:rPr>
          <w:rFonts w:ascii="Times Roman" w:hAnsi="Times Roman"/>
          <w:rtl w:val="0"/>
          <w:lang w:val="en-US"/>
        </w:rPr>
        <w:t>= 0.37) and that Governance Perception significantly moderates this pathway (</w:t>
      </w:r>
      <w:r>
        <w:rPr>
          <w:rFonts w:ascii="Times Roman" w:hAnsi="Times Roman" w:hint="default"/>
          <w:rtl w:val="0"/>
        </w:rPr>
        <w:t xml:space="preserve">β </w:t>
      </w:r>
      <w:r>
        <w:rPr>
          <w:rFonts w:ascii="Times Roman" w:hAnsi="Times Roman"/>
          <w:rtl w:val="0"/>
          <w:lang w:val="en-US"/>
        </w:rPr>
        <w:t>= 0.14) demonstrates that trust in the Bangladeshi context is not a static antecedent but a dynamically recoverable construct shaped by recent regulatory shocks (2024</w:t>
      </w:r>
      <w:r>
        <w:rPr>
          <w:rFonts w:ascii="Times Roman" w:hAnsi="Times Roman" w:hint="default"/>
          <w:rtl w:val="0"/>
        </w:rPr>
        <w:t>–</w:t>
      </w:r>
      <w:r>
        <w:rPr>
          <w:rFonts w:ascii="Times Roman" w:hAnsi="Times Roman"/>
          <w:rtl w:val="0"/>
          <w:lang w:val="en-US"/>
        </w:rPr>
        <w:t>2025 SIM-swap scandals, e-money violations). Venkatesh et al.</w:t>
      </w:r>
      <w:r>
        <w:rPr>
          <w:rFonts w:ascii="Times Roman" w:hAnsi="Times Roman" w:hint="default"/>
          <w:rtl w:val="1"/>
        </w:rPr>
        <w:t>’</w:t>
      </w:r>
      <w:r>
        <w:rPr>
          <w:rFonts w:ascii="Times Roman" w:hAnsi="Times Roman"/>
          <w:rtl w:val="0"/>
          <w:lang w:val="en-US"/>
        </w:rPr>
        <w:t>s (2012) original model does not explicitly account for such temporal and institutional contingencies, limiting its explanatory power without the integration of Scott</w:t>
      </w:r>
      <w:r>
        <w:rPr>
          <w:rFonts w:ascii="Times Roman" w:hAnsi="Times Roman" w:hint="default"/>
          <w:rtl w:val="1"/>
        </w:rPr>
        <w:t>’</w:t>
      </w:r>
      <w:r>
        <w:rPr>
          <w:rFonts w:ascii="Times Roman" w:hAnsi="Times Roman"/>
          <w:rtl w:val="0"/>
          <w:lang w:val="en-US"/>
        </w:rPr>
        <w:t>s (2008) regulative, normative, and cognitive pillars.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Second, the relatively weaker effect of Habit in the structural model contrasts with UTAUT2</w:t>
      </w:r>
      <w:r>
        <w:rPr>
          <w:rFonts w:ascii="Times Roman" w:hAnsi="Times Roman" w:hint="default"/>
          <w:rtl w:val="1"/>
        </w:rPr>
        <w:t>’</w:t>
      </w:r>
      <w:r>
        <w:rPr>
          <w:rFonts w:ascii="Times Roman" w:hAnsi="Times Roman"/>
          <w:rtl w:val="0"/>
          <w:lang w:val="en-US"/>
        </w:rPr>
        <w:t xml:space="preserve">s emphasis on automaticity in consumer contexts. Qualitative data revealed that habit formation in Bangladesh is heavily </w:t>
      </w:r>
      <w:r>
        <w:rPr>
          <w:rFonts w:ascii="Times Roman" w:hAnsi="Times Roman"/>
          <w:b w:val="1"/>
          <w:bCs w:val="1"/>
          <w:rtl w:val="0"/>
          <w:lang w:val="en-US"/>
        </w:rPr>
        <w:t>agent-mediated</w:t>
      </w:r>
      <w:r>
        <w:rPr>
          <w:rFonts w:ascii="Times Roman" w:hAnsi="Times Roman"/>
          <w:rtl w:val="0"/>
          <w:lang w:val="en-US"/>
        </w:rPr>
        <w:t xml:space="preserve"> rather than direct app-based repetition, particularly among rural and low-literacy users. This suggests that in last-mile, collectivist ecosystems, habit operates through social and institutional channels (trusted agents, community norms) rather than purely individual behavioral repetition</w:t>
      </w:r>
      <w:r>
        <w:rPr>
          <w:rFonts w:ascii="Times Roman" w:hAnsi="Times Roman" w:hint="default"/>
          <w:rtl w:val="0"/>
          <w:lang w:val="en-US"/>
        </w:rPr>
        <w:t>—</w:t>
      </w:r>
      <w:r>
        <w:rPr>
          <w:rFonts w:ascii="Times Roman" w:hAnsi="Times Roman"/>
          <w:rtl w:val="0"/>
          <w:lang w:val="en-US"/>
        </w:rPr>
        <w:t>a nuance absent from the original framework and more pronounced in agent-dependent markets than in high-digital-literacy environments such as Singapore or the Nordics.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Third, the strong moderating effects of digital divide variables (rural Agent Quality </w:t>
      </w:r>
      <w:r>
        <w:rPr>
          <w:rFonts w:ascii="Times Roman" w:hAnsi="Times Roman" w:hint="default"/>
          <w:rtl w:val="0"/>
        </w:rPr>
        <w:t xml:space="preserve">β </w:t>
      </w:r>
      <w:r>
        <w:rPr>
          <w:rFonts w:ascii="Times Roman" w:hAnsi="Times Roman"/>
          <w:rtl w:val="0"/>
          <w:lang w:val="de-DE"/>
        </w:rPr>
        <w:t xml:space="preserve">= 0.38; female Post-Fraud Risk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en-US"/>
        </w:rPr>
        <w:t>0.31) highlight UTAUT2</w:t>
      </w:r>
      <w:r>
        <w:rPr>
          <w:rFonts w:ascii="Times Roman" w:hAnsi="Times Roman" w:hint="default"/>
          <w:rtl w:val="1"/>
        </w:rPr>
        <w:t>’</w:t>
      </w:r>
      <w:r>
        <w:rPr>
          <w:rFonts w:ascii="Times Roman" w:hAnsi="Times Roman"/>
          <w:rtl w:val="0"/>
          <w:lang w:val="en-US"/>
        </w:rPr>
        <w:t>s limited treatment of structural inequalities. While the original model includes gender, age, and experience as moderators, it does not adequately capture how persistent infrastructural gaps, normative barriers, and post-fraud cognitive schemas interact with core constructs in emerging economies. The Bangladesh findings therefore support critiques that UTAUT2 requires explicit contextualization through Institutional Theory when applied to environments marked by regulatory capacity constraints and uneven inclusion (Dendrinos, 2024; Merhi et al., 2019).</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Finally, the cross-sectional design, while appropriate for establishing baseline relationships in the post-2024</w:t>
      </w:r>
      <w:r>
        <w:rPr>
          <w:rFonts w:ascii="Times Roman" w:hAnsi="Times Roman" w:hint="default"/>
          <w:rtl w:val="0"/>
        </w:rPr>
        <w:t>–</w:t>
      </w:r>
      <w:r>
        <w:rPr>
          <w:rFonts w:ascii="Times Roman" w:hAnsi="Times Roman"/>
          <w:rtl w:val="0"/>
          <w:lang w:val="en-US"/>
        </w:rPr>
        <w:t>25 environment, limits causal inference regarding trust restoration trajectories over time. Longitudinal or panel studies would be required to validate the dynamic recovery mechanisms proposed in the extended model. Despite these limitations, the study demonstrates that UTAUT2 remains a powerful foundational framework when augmented with context-specific institutional and post-crisis variables, offering a replicable template for other South Asian and African digital finance ecosystems facing similar governance and trust challenges.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7.9 Integrated Policy-Practice-Research Implications Framework (Stakeholder Matrix)</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findings of this study converge on a single overarching conclusion: Bangladesh</w:t>
      </w:r>
      <w:r>
        <w:rPr>
          <w:rFonts w:ascii="Times Roman" w:hAnsi="Times Roman" w:hint="default"/>
          <w:rtl w:val="1"/>
        </w:rPr>
        <w:t>’</w:t>
      </w:r>
      <w:r>
        <w:rPr>
          <w:rFonts w:ascii="Times Roman" w:hAnsi="Times Roman"/>
          <w:rtl w:val="0"/>
          <w:lang w:val="en-US"/>
        </w:rPr>
        <w:t>s impressive quantitative scale in mobile financial services (239.3 million registered accounts, Tk 17.37 lakh crore transaction value in 2024) can be converted into sustainable, inclusive, and trustworthy digital finance only through coordinated, multi-level action that simultaneously strengthens core adoption drivers (Performance Expectancy, Trust Restoration) and addresses the prioritized institutional and digital divide barriers. The following integrated stakeholder matrix synthesizes the policy, managerial, and practical implications across all stakeholder groups, with clear timelines, key performance indicators (KPIs), and accountability mechanisms aligned to the Cashless Economy Roadmap 2030 and Smart Bangladesh Vision 2041.</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rPr>
        <w:t>Stakeholder Matrix</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Bangladesh Bank &amp; Regulators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Key Implications</w:t>
      </w:r>
      <w:r>
        <w:rPr>
          <w:rFonts w:ascii="Times Roman" w:hAnsi="Times Roman"/>
          <w:rtl w:val="0"/>
          <w:lang w:val="en-US"/>
        </w:rPr>
        <w:t>: Governance Perception moderates Trust Restoration (</w:t>
      </w:r>
      <w:r>
        <w:rPr>
          <w:rFonts w:ascii="Times Roman" w:hAnsi="Times Roman" w:hint="default"/>
          <w:rtl w:val="0"/>
        </w:rPr>
        <w:t xml:space="preserve">β </w:t>
      </w:r>
      <w:r>
        <w:rPr>
          <w:rFonts w:ascii="Times Roman" w:hAnsi="Times Roman"/>
          <w:rtl w:val="0"/>
          <w:lang w:val="en-US"/>
        </w:rPr>
        <w:t>= 0.14); Security/Trust ranked #1 challenge (IPA); weak enforcement sustains concentration risks (HHI &gt; 2,800).</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Recommended Actions</w:t>
      </w:r>
      <w:r>
        <w:rPr>
          <w:rFonts w:ascii="Times Roman" w:hAnsi="Times Roman"/>
          <w:rtl w:val="0"/>
          <w:lang w:val="en-US"/>
        </w:rPr>
        <w:t>: (1) Launch real-time AI fraud monitoring + mandatory 72-hour public redressal reporting by Q4 2026; (2) Implement agent liquidity buffer regulations and personal liability for PSO executives by 2027; (3) Accelerate wholesale CBDC pilot by 2028</w:t>
      </w:r>
      <w:r>
        <w:rPr>
          <w:rFonts w:ascii="Times Roman" w:hAnsi="Times Roman" w:hint="default"/>
          <w:rtl w:val="0"/>
        </w:rPr>
        <w:t>–</w:t>
      </w:r>
      <w:r>
        <w:rPr>
          <w:rFonts w:ascii="Times Roman" w:hAnsi="Times Roman"/>
          <w:rtl w:val="0"/>
          <w:lang w:val="en-US"/>
        </w:rPr>
        <w:t>2029 with retail pilots in 3 high-poverty districts by 2032.</w:t>
      </w:r>
    </w:p>
    <w:p>
      <w:pPr>
        <w:pStyle w:val="Default"/>
        <w:numPr>
          <w:ilvl w:val="0"/>
          <w:numId w:val="3"/>
        </w:numPr>
        <w:suppressAutoHyphens w:val="1"/>
        <w:spacing w:before="0" w:line="240" w:lineRule="auto"/>
        <w:jc w:val="both"/>
        <w:rPr>
          <w:rFonts w:ascii="Times Roman" w:hAnsi="Times Roman"/>
          <w:lang w:val="da-DK"/>
        </w:rPr>
      </w:pPr>
      <w:r>
        <w:rPr>
          <w:rFonts w:ascii="Times Roman" w:hAnsi="Times Roman"/>
          <w:b w:val="1"/>
          <w:bCs w:val="1"/>
          <w:rtl w:val="0"/>
          <w:lang w:val="da-DK"/>
        </w:rPr>
        <w:t>Timeline</w:t>
      </w:r>
      <w:r>
        <w:rPr>
          <w:rFonts w:ascii="Times Roman" w:hAnsi="Times Roman"/>
          <w:rtl w:val="0"/>
          <w:lang w:val="en-US"/>
        </w:rPr>
        <w:t>: Short-term (0</w:t>
      </w:r>
      <w:r>
        <w:rPr>
          <w:rFonts w:ascii="Times Roman" w:hAnsi="Times Roman" w:hint="default"/>
          <w:rtl w:val="0"/>
        </w:rPr>
        <w:t>–</w:t>
      </w:r>
      <w:r>
        <w:rPr>
          <w:rFonts w:ascii="Times Roman" w:hAnsi="Times Roman"/>
          <w:rtl w:val="0"/>
          <w:lang w:val="en-US"/>
        </w:rPr>
        <w:t>2 yrs): Enforcement upgrades; Medium-term (2</w:t>
      </w:r>
      <w:r>
        <w:rPr>
          <w:rFonts w:ascii="Times Roman" w:hAnsi="Times Roman" w:hint="default"/>
          <w:rtl w:val="0"/>
        </w:rPr>
        <w:t>–</w:t>
      </w:r>
      <w:r>
        <w:rPr>
          <w:rFonts w:ascii="Times Roman" w:hAnsi="Times Roman"/>
          <w:rtl w:val="0"/>
          <w:lang w:val="en-US"/>
        </w:rPr>
        <w:t>5 yrs): CBDC sandbox; Long-term (5</w:t>
      </w:r>
      <w:r>
        <w:rPr>
          <w:rFonts w:ascii="Times Roman" w:hAnsi="Times Roman" w:hint="default"/>
          <w:rtl w:val="0"/>
        </w:rPr>
        <w:t>–</w:t>
      </w:r>
      <w:r>
        <w:rPr>
          <w:rFonts w:ascii="Times Roman" w:hAnsi="Times Roman"/>
          <w:rtl w:val="0"/>
          <w:lang w:val="en-US"/>
        </w:rPr>
        <w:t>10 yrs): Full Trust-Restoration Framework.</w:t>
      </w:r>
    </w:p>
    <w:p>
      <w:pPr>
        <w:pStyle w:val="Default"/>
        <w:numPr>
          <w:ilvl w:val="0"/>
          <w:numId w:val="3"/>
        </w:numPr>
        <w:suppressAutoHyphens w:val="1"/>
        <w:spacing w:before="0" w:line="240" w:lineRule="auto"/>
        <w:jc w:val="both"/>
        <w:rPr>
          <w:rFonts w:ascii="Times Roman" w:hAnsi="Times Roman"/>
          <w:lang w:val="nl-NL"/>
        </w:rPr>
      </w:pPr>
      <w:r>
        <w:rPr>
          <w:rFonts w:ascii="Times Roman" w:hAnsi="Times Roman"/>
          <w:b w:val="1"/>
          <w:bCs w:val="1"/>
          <w:rtl w:val="0"/>
          <w:lang w:val="nl-NL"/>
        </w:rPr>
        <w:t>KPIs</w:t>
      </w:r>
      <w:r>
        <w:rPr>
          <w:rFonts w:ascii="Times Roman" w:hAnsi="Times Roman"/>
          <w:rtl w:val="0"/>
          <w:lang w:val="en-US"/>
        </w:rPr>
        <w:t>: Fraud redressal success rate &gt;85% within 72 hours; Agent liquidity failure incidents reduced by 70%; Digital Trust Score published quarterly.</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Lead Responsibility</w:t>
      </w:r>
      <w:r>
        <w:rPr>
          <w:rFonts w:ascii="Times Roman" w:hAnsi="Times Roman"/>
          <w:rtl w:val="0"/>
          <w:lang w:val="en-US"/>
        </w:rPr>
        <w:t>: Bangladesh Bank Payment Systems Department + BFIU, with independent audit by TI-Bangladesh.</w:t>
      </w: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Commercial Banks &amp; MFS Providers (bKash, Nagad, Rocket, BRAC Bank, Islami Bank)</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Key Implications</w:t>
      </w:r>
      <w:r>
        <w:rPr>
          <w:rFonts w:ascii="Times Roman" w:hAnsi="Times Roman"/>
          <w:rtl w:val="0"/>
          <w:lang w:val="en-US"/>
        </w:rPr>
        <w:t>: Trust Restoration (</w:t>
      </w:r>
      <w:r>
        <w:rPr>
          <w:rFonts w:ascii="Times Roman" w:hAnsi="Times Roman" w:hint="default"/>
          <w:rtl w:val="0"/>
        </w:rPr>
        <w:t xml:space="preserve">β </w:t>
      </w:r>
      <w:r>
        <w:rPr>
          <w:rFonts w:ascii="Times Roman" w:hAnsi="Times Roman"/>
          <w:rtl w:val="0"/>
          <w:lang w:val="en-US"/>
        </w:rPr>
        <w:t>= 0.37) and Performance Expectancy (</w:t>
      </w:r>
      <w:r>
        <w:rPr>
          <w:rFonts w:ascii="Times Roman" w:hAnsi="Times Roman" w:hint="default"/>
          <w:rtl w:val="0"/>
        </w:rPr>
        <w:t xml:space="preserve">β </w:t>
      </w:r>
      <w:r>
        <w:rPr>
          <w:rFonts w:ascii="Times Roman" w:hAnsi="Times Roman"/>
          <w:rtl w:val="0"/>
          <w:lang w:val="en-US"/>
        </w:rPr>
        <w:t>= 0.41) are dominant drivers; rural Agent Quality effect significantly stronger (</w:t>
      </w:r>
      <w:r>
        <w:rPr>
          <w:rFonts w:ascii="Times Roman" w:hAnsi="Times Roman" w:hint="default"/>
          <w:rtl w:val="0"/>
        </w:rPr>
        <w:t xml:space="preserve">β </w:t>
      </w:r>
      <w:r>
        <w:rPr>
          <w:rFonts w:ascii="Times Roman" w:hAnsi="Times Roman"/>
          <w:rtl w:val="0"/>
          <w:lang w:val="en-US"/>
        </w:rPr>
        <w:t>= 0.38); female Post-Fraud Risk significantly stronger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rPr>
        <w:t>0.31).</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Recommended Actions</w:t>
      </w:r>
      <w:r>
        <w:rPr>
          <w:rFonts w:ascii="Times Roman" w:hAnsi="Times Roman"/>
          <w:rtl w:val="0"/>
          <w:lang w:val="en-US"/>
        </w:rPr>
        <w:t>: (1) Deploy proactive trust restoration protocols (instant alerts + public compensation) by Q2 2027; (2) Scale AI-driven micro/SME lending and biometric default onboarding; (3) Introduce mandatory agent certification + real-time liquidity dashboards with female agent recruitment target of 40% by 2028.</w:t>
      </w:r>
    </w:p>
    <w:p>
      <w:pPr>
        <w:pStyle w:val="Default"/>
        <w:numPr>
          <w:ilvl w:val="0"/>
          <w:numId w:val="3"/>
        </w:numPr>
        <w:suppressAutoHyphens w:val="1"/>
        <w:spacing w:before="0" w:line="240" w:lineRule="auto"/>
        <w:jc w:val="both"/>
        <w:rPr>
          <w:rFonts w:ascii="Times Roman" w:hAnsi="Times Roman"/>
          <w:lang w:val="da-DK"/>
        </w:rPr>
      </w:pPr>
      <w:r>
        <w:rPr>
          <w:rFonts w:ascii="Times Roman" w:hAnsi="Times Roman"/>
          <w:b w:val="1"/>
          <w:bCs w:val="1"/>
          <w:rtl w:val="0"/>
          <w:lang w:val="da-DK"/>
        </w:rPr>
        <w:t>Timeline</w:t>
      </w:r>
      <w:r>
        <w:rPr>
          <w:rFonts w:ascii="Times Roman" w:hAnsi="Times Roman"/>
          <w:rtl w:val="0"/>
          <w:lang w:val="en-US"/>
        </w:rPr>
        <w:t>: Short-term: Trust dashboards &amp; agent certification; Medium-term: Gender-inclusive products &amp; open finance APIs; Long-term: Embedded climate fintech products.</w:t>
      </w:r>
    </w:p>
    <w:p>
      <w:pPr>
        <w:pStyle w:val="Default"/>
        <w:numPr>
          <w:ilvl w:val="0"/>
          <w:numId w:val="3"/>
        </w:numPr>
        <w:suppressAutoHyphens w:val="1"/>
        <w:spacing w:before="0" w:line="240" w:lineRule="auto"/>
        <w:jc w:val="both"/>
        <w:rPr>
          <w:rFonts w:ascii="Times Roman" w:hAnsi="Times Roman"/>
          <w:lang w:val="nl-NL"/>
        </w:rPr>
      </w:pPr>
      <w:r>
        <w:rPr>
          <w:rFonts w:ascii="Times Roman" w:hAnsi="Times Roman"/>
          <w:b w:val="1"/>
          <w:bCs w:val="1"/>
          <w:rtl w:val="0"/>
          <w:lang w:val="nl-NL"/>
        </w:rPr>
        <w:t>KPIs</w:t>
      </w:r>
      <w:r>
        <w:rPr>
          <w:rFonts w:ascii="Times Roman" w:hAnsi="Times Roman"/>
          <w:rtl w:val="0"/>
          <w:lang w:val="en-US"/>
        </w:rPr>
        <w:t>: Active usage rate increase from 42.3% to 65% by 2030; Gender gap reduced from 11.8 pp to &lt;7 pp; Rural agent retention &gt;80%.</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Lead Responsibility</w:t>
      </w:r>
      <w:r>
        <w:rPr>
          <w:rFonts w:ascii="Times Roman" w:hAnsi="Times Roman"/>
          <w:rtl w:val="0"/>
          <w:lang w:val="en-US"/>
        </w:rPr>
        <w:t>: CEO-level digital transformation committees with quarterly reporting to Bangladesh Bank.</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Government, Development Partners &amp; Civil Society</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Key Implications</w:t>
      </w:r>
      <w:r>
        <w:rPr>
          <w:rFonts w:ascii="Times Roman" w:hAnsi="Times Roman"/>
          <w:rtl w:val="0"/>
          <w:lang w:val="en-US"/>
        </w:rPr>
        <w:t xml:space="preserve">: Digital literacy and gender/rural divides ranked #2 challenge; Effort Expectancy and Facilitating Conditions attenuated in rural areas; qualitative theme </w:t>
      </w:r>
      <w:r>
        <w:rPr>
          <w:rFonts w:ascii="Times Roman" w:hAnsi="Times Roman" w:hint="default"/>
          <w:rtl w:val="1"/>
          <w:lang w:val="ar-SA" w:bidi="ar-SA"/>
        </w:rPr>
        <w:t>“</w:t>
      </w:r>
      <w:r>
        <w:rPr>
          <w:rFonts w:ascii="Times Roman" w:hAnsi="Times Roman"/>
          <w:rtl w:val="0"/>
          <w:lang w:val="en-US"/>
        </w:rPr>
        <w:t>Women Are Ready, But the System Isn</w:t>
      </w:r>
      <w:r>
        <w:rPr>
          <w:rFonts w:ascii="Times Roman" w:hAnsi="Times Roman" w:hint="default"/>
          <w:rtl w:val="1"/>
        </w:rPr>
        <w:t>’</w:t>
      </w:r>
      <w:r>
        <w:rPr>
          <w:rFonts w:ascii="Times Roman" w:hAnsi="Times Roman"/>
          <w:rtl w:val="0"/>
        </w:rPr>
        <w:t>t.</w:t>
      </w:r>
      <w:r>
        <w:rPr>
          <w:rFonts w:ascii="Times Roman" w:hAnsi="Times Roman" w:hint="default"/>
          <w:rtl w:val="0"/>
        </w:rPr>
        <w:t>”</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Recommended Actions</w:t>
      </w:r>
      <w:r>
        <w:rPr>
          <w:rFonts w:ascii="Times Roman" w:hAnsi="Times Roman"/>
          <w:rtl w:val="0"/>
          <w:lang w:val="en-US"/>
        </w:rPr>
        <w:t>: (1) National Digital Literacy Campaign targeting 50 million adults by 2029, integrated with G2P channels; (2) Accelerate 5G + solar-powered agent infrastructure in all eight divisions by 2028; (3) Scale women-centric financial products and female agent networks with dedicated blended finance windows.</w:t>
      </w:r>
    </w:p>
    <w:p>
      <w:pPr>
        <w:pStyle w:val="Default"/>
        <w:numPr>
          <w:ilvl w:val="0"/>
          <w:numId w:val="3"/>
        </w:numPr>
        <w:suppressAutoHyphens w:val="1"/>
        <w:spacing w:before="0" w:line="240" w:lineRule="auto"/>
        <w:jc w:val="both"/>
        <w:rPr>
          <w:rFonts w:ascii="Times Roman" w:hAnsi="Times Roman"/>
          <w:lang w:val="da-DK"/>
        </w:rPr>
      </w:pPr>
      <w:r>
        <w:rPr>
          <w:rFonts w:ascii="Times Roman" w:hAnsi="Times Roman"/>
          <w:b w:val="1"/>
          <w:bCs w:val="1"/>
          <w:rtl w:val="0"/>
          <w:lang w:val="da-DK"/>
        </w:rPr>
        <w:t>Timeline</w:t>
      </w:r>
      <w:r>
        <w:rPr>
          <w:rFonts w:ascii="Times Roman" w:hAnsi="Times Roman"/>
          <w:rtl w:val="0"/>
          <w:lang w:val="en-US"/>
        </w:rPr>
        <w:t>: Short-term: Literacy modules in existing transfer programs; Medium-term: Rural infrastructure bonds; Long-term: Gender parity in active digital usage by 2041.</w:t>
      </w:r>
    </w:p>
    <w:p>
      <w:pPr>
        <w:pStyle w:val="Default"/>
        <w:numPr>
          <w:ilvl w:val="0"/>
          <w:numId w:val="3"/>
        </w:numPr>
        <w:suppressAutoHyphens w:val="1"/>
        <w:spacing w:before="0" w:line="240" w:lineRule="auto"/>
        <w:jc w:val="both"/>
        <w:rPr>
          <w:rFonts w:ascii="Times Roman" w:hAnsi="Times Roman"/>
          <w:lang w:val="nl-NL"/>
        </w:rPr>
      </w:pPr>
      <w:r>
        <w:rPr>
          <w:rFonts w:ascii="Times Roman" w:hAnsi="Times Roman"/>
          <w:b w:val="1"/>
          <w:bCs w:val="1"/>
          <w:rtl w:val="0"/>
          <w:lang w:val="nl-NL"/>
        </w:rPr>
        <w:t>KPIs</w:t>
      </w:r>
      <w:r>
        <w:rPr>
          <w:rFonts w:ascii="Times Roman" w:hAnsi="Times Roman"/>
          <w:rtl w:val="0"/>
          <w:lang w:val="en-US"/>
        </w:rPr>
        <w:t>: Rural active usage gap reduced from 23.6 pp to &lt;10 pp; 80%+ financial inclusion by 2030; 50 million adults certified digitally literate.</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Lead Responsibility</w:t>
      </w:r>
      <w:r>
        <w:rPr>
          <w:rFonts w:ascii="Times Roman" w:hAnsi="Times Roman"/>
          <w:rtl w:val="0"/>
          <w:lang w:val="en-US"/>
        </w:rPr>
        <w:t>: Ministry of Finance + ICT Division, World Bank/Gates Foundation, BRAC/Grameen Foundation, with civil society monitoring via independent Digital Trust Score audits.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Academia &amp; Research Community</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Key Implications</w:t>
      </w:r>
      <w:r>
        <w:rPr>
          <w:rFonts w:ascii="Times Roman" w:hAnsi="Times Roman"/>
          <w:rtl w:val="0"/>
          <w:lang w:val="en-US"/>
        </w:rPr>
        <w:t>: Need for longitudinal validation of Trust Restoration dynamics and comparative South Asian panel studies.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Recommended Actions</w:t>
      </w:r>
      <w:r>
        <w:rPr>
          <w:rFonts w:ascii="Times Roman" w:hAnsi="Times Roman"/>
          <w:rtl w:val="0"/>
          <w:lang w:val="en-US"/>
        </w:rPr>
        <w:t>: (1) Establish Bangladesh Digital Finance Research Consortium for annual panel surveys (2027</w:t>
      </w:r>
      <w:r>
        <w:rPr>
          <w:rFonts w:ascii="Times Roman" w:hAnsi="Times Roman" w:hint="default"/>
          <w:rtl w:val="0"/>
        </w:rPr>
        <w:t>–</w:t>
      </w:r>
      <w:r>
        <w:rPr>
          <w:rFonts w:ascii="Times Roman" w:hAnsi="Times Roman"/>
          <w:rtl w:val="0"/>
          <w:lang w:val="en-US"/>
        </w:rPr>
        <w:t>2041); (2) Conduct experimental/quasi-experimental studies on CBDC and open finance pilots; (3) Develop context-specific measurement scales for post-crisis trust and agent quality.</w:t>
      </w:r>
    </w:p>
    <w:p>
      <w:pPr>
        <w:pStyle w:val="Default"/>
        <w:numPr>
          <w:ilvl w:val="0"/>
          <w:numId w:val="3"/>
        </w:numPr>
        <w:suppressAutoHyphens w:val="1"/>
        <w:spacing w:before="0" w:line="240" w:lineRule="auto"/>
        <w:jc w:val="both"/>
        <w:rPr>
          <w:rFonts w:ascii="Times Roman" w:hAnsi="Times Roman"/>
          <w:lang w:val="da-DK"/>
        </w:rPr>
      </w:pPr>
      <w:r>
        <w:rPr>
          <w:rFonts w:ascii="Times Roman" w:hAnsi="Times Roman"/>
          <w:b w:val="1"/>
          <w:bCs w:val="1"/>
          <w:rtl w:val="0"/>
          <w:lang w:val="da-DK"/>
        </w:rPr>
        <w:t>Timeline</w:t>
      </w:r>
      <w:r>
        <w:rPr>
          <w:rFonts w:ascii="Times Roman" w:hAnsi="Times Roman"/>
          <w:rtl w:val="0"/>
          <w:lang w:val="en-US"/>
        </w:rPr>
        <w:t>: Ongoing from 2027.</w:t>
      </w:r>
    </w:p>
    <w:p>
      <w:pPr>
        <w:pStyle w:val="Default"/>
        <w:numPr>
          <w:ilvl w:val="0"/>
          <w:numId w:val="3"/>
        </w:numPr>
        <w:suppressAutoHyphens w:val="1"/>
        <w:spacing w:before="0" w:line="240" w:lineRule="auto"/>
        <w:jc w:val="both"/>
        <w:rPr>
          <w:rFonts w:ascii="Times Roman" w:hAnsi="Times Roman"/>
          <w:lang w:val="nl-NL"/>
        </w:rPr>
      </w:pPr>
      <w:r>
        <w:rPr>
          <w:rFonts w:ascii="Times Roman" w:hAnsi="Times Roman"/>
          <w:b w:val="1"/>
          <w:bCs w:val="1"/>
          <w:rtl w:val="0"/>
          <w:lang w:val="nl-NL"/>
        </w:rPr>
        <w:t>KPIs</w:t>
      </w:r>
      <w:r>
        <w:rPr>
          <w:rFonts w:ascii="Times Roman" w:hAnsi="Times Roman"/>
          <w:rtl w:val="0"/>
          <w:lang w:val="en-US"/>
        </w:rPr>
        <w:t>: Minimum 5 peer-reviewed longitudinal studies published by 2030; Integrated dataset made openly available (anonymized).</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Lead Responsibility</w:t>
      </w:r>
      <w:r>
        <w:rPr>
          <w:rFonts w:ascii="Times Roman" w:hAnsi="Times Roman"/>
          <w:rtl w:val="0"/>
          <w:lang w:val="en-US"/>
        </w:rPr>
        <w:t>: Leading universities (Dhaka University, BRAC University, BIDS) in partnership with Bangladesh Bank and international research networks.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integrated matrix ensures that the theoretical contributions and empirical findings of the study translate into coherent, measurable action across all levels of the ecosystem. By aligning short-term quick wins (enforcement upgrades, trust dashboards) with medium- and long-term structural reforms (CBDC, literacy at scale, gender parity), Bangladesh can realistically move from the current base scenario toward the optimistic high-trust inclusive digital ecosystem by 2030</w:t>
      </w:r>
      <w:r>
        <w:rPr>
          <w:rFonts w:ascii="Times Roman" w:hAnsi="Times Roman" w:hint="default"/>
          <w:rtl w:val="0"/>
        </w:rPr>
        <w:t>–</w:t>
      </w:r>
      <w:r>
        <w:rPr>
          <w:rFonts w:ascii="Times Roman" w:hAnsi="Times Roman"/>
          <w:rtl w:val="0"/>
          <w:lang w:val="en-US"/>
        </w:rPr>
        <w:t>2041, delivering on both the Smart Bangladesh Vision and the Sustainable Development Goals.</w:t>
      </w: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center"/>
        <w:rPr>
          <w:rFonts w:ascii="Times Roman" w:cs="Times Roman" w:hAnsi="Times Roman" w:eastAsia="Times Roman"/>
          <w:b w:val="0"/>
          <w:bCs w:val="0"/>
          <w:sz w:val="40"/>
          <w:szCs w:val="40"/>
        </w:rPr>
      </w:pPr>
      <w:r>
        <w:rPr>
          <w:rFonts w:ascii="Times Roman" w:hAnsi="Times Roman"/>
          <w:b w:val="1"/>
          <w:bCs w:val="1"/>
          <w:sz w:val="40"/>
          <w:szCs w:val="40"/>
          <w:rtl w:val="0"/>
          <w:lang w:val="en-US"/>
        </w:rPr>
        <w:t>CHAPTER 8: CONCLUSION, RECOMMENDATIONS, AND FUTURE RESEARCH DIRECTIONS</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8.1 Summary of Major Findings and Conclusions (Linked Back to Objectives &amp; Hypotheses)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thesis set out to critically examine the challenges and prospects of e-banking in Bangladesh through a pragmatist mixed-methods sequential explanatory design grounded in an extended Unified Theory of Acceptance and Use of Technology 2 (UTAUT2) framework. The four specific objectives</w:t>
      </w:r>
      <w:r>
        <w:rPr>
          <w:rFonts w:ascii="Times Roman" w:hAnsi="Times Roman" w:hint="default"/>
          <w:rtl w:val="0"/>
          <w:lang w:val="en-US"/>
        </w:rPr>
        <w:t>—</w:t>
      </w:r>
      <w:r>
        <w:rPr>
          <w:rFonts w:ascii="Times Roman" w:hAnsi="Times Roman"/>
          <w:rtl w:val="0"/>
          <w:lang w:val="en-US"/>
        </w:rPr>
        <w:t>(1) identifying adoption determinants, (2) prioritising challenges and mapping root causes, (3) developing prospect scenarios to 2030/2041, and (4) evaluating policy and governance frameworks</w:t>
      </w:r>
      <w:r>
        <w:rPr>
          <w:rFonts w:ascii="Times Roman" w:hAnsi="Times Roman" w:hint="default"/>
          <w:rtl w:val="0"/>
          <w:lang w:val="en-US"/>
        </w:rPr>
        <w:t>—</w:t>
      </w:r>
      <w:r>
        <w:rPr>
          <w:rFonts w:ascii="Times Roman" w:hAnsi="Times Roman"/>
          <w:rtl w:val="0"/>
          <w:lang w:val="en-US"/>
        </w:rPr>
        <w:t>have been fully achieved. The overarching research questions (RQ1: extent of core UTAUT2 constructs in explaining behavioural intention and use; RQ2: influence of Bangladesh-specific moderators) were answered through rigorous empirical evidence.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quantitative strand (N = 592 valid responses, 83.1% effective response rate) validated the integrated conceptual model. The structural model explained substantial variance: Behavioural Intention R</w:t>
      </w:r>
      <w:r>
        <w:rPr>
          <w:rFonts w:ascii="Times Roman" w:hAnsi="Times Roman" w:hint="default"/>
          <w:rtl w:val="0"/>
        </w:rPr>
        <w:t xml:space="preserve">² </w:t>
      </w:r>
      <w:r>
        <w:rPr>
          <w:rFonts w:ascii="Times Roman" w:hAnsi="Times Roman"/>
          <w:rtl w:val="0"/>
          <w:lang w:val="en-US"/>
        </w:rPr>
        <w:t>= 0.68 and Usage Behaviour R</w:t>
      </w:r>
      <w:r>
        <w:rPr>
          <w:rFonts w:ascii="Times Roman" w:hAnsi="Times Roman" w:hint="default"/>
          <w:rtl w:val="0"/>
        </w:rPr>
        <w:t xml:space="preserve">² </w:t>
      </w:r>
      <w:r>
        <w:rPr>
          <w:rFonts w:ascii="Times Roman" w:hAnsi="Times Roman"/>
          <w:rtl w:val="0"/>
          <w:lang w:val="en-US"/>
        </w:rPr>
        <w:t>= 0.59. All seven core UTAUT2 hypotheses (H1</w:t>
      </w:r>
      <w:r>
        <w:rPr>
          <w:rFonts w:ascii="Times Roman" w:hAnsi="Times Roman" w:hint="default"/>
          <w:rtl w:val="0"/>
        </w:rPr>
        <w:t>–</w:t>
      </w:r>
      <w:r>
        <w:rPr>
          <w:rFonts w:ascii="Times Roman" w:hAnsi="Times Roman"/>
          <w:rtl w:val="0"/>
          <w:lang w:val="en-US"/>
        </w:rPr>
        <w:t>H7) were supported. Performance Expectancy emerged as the strongest predictor (</w:t>
      </w:r>
      <w:r>
        <w:rPr>
          <w:rFonts w:ascii="Times Roman" w:hAnsi="Times Roman" w:hint="default"/>
          <w:rtl w:val="0"/>
        </w:rPr>
        <w:t xml:space="preserve">β </w:t>
      </w:r>
      <w:r>
        <w:rPr>
          <w:rFonts w:ascii="Times Roman" w:hAnsi="Times Roman"/>
          <w:rtl w:val="0"/>
          <w:lang w:val="pt-PT"/>
        </w:rPr>
        <w:t>= 0.41, t = 9.87, p &lt; 0.001, f</w:t>
      </w:r>
      <w:r>
        <w:rPr>
          <w:rFonts w:ascii="Times Roman" w:hAnsi="Times Roman" w:hint="default"/>
          <w:rtl w:val="0"/>
        </w:rPr>
        <w:t xml:space="preserve">² </w:t>
      </w:r>
      <w:r>
        <w:rPr>
          <w:rFonts w:ascii="Times Roman" w:hAnsi="Times Roman"/>
          <w:rtl w:val="0"/>
          <w:lang w:val="en-US"/>
        </w:rPr>
        <w:t>= 0.21), followed by Trust Restoration (</w:t>
      </w:r>
      <w:r>
        <w:rPr>
          <w:rFonts w:ascii="Times Roman" w:hAnsi="Times Roman" w:hint="default"/>
          <w:rtl w:val="0"/>
        </w:rPr>
        <w:t xml:space="preserve">β </w:t>
      </w:r>
      <w:r>
        <w:rPr>
          <w:rFonts w:ascii="Times Roman" w:hAnsi="Times Roman"/>
          <w:rtl w:val="0"/>
        </w:rPr>
        <w:t>= 0.37, t = 8.64, p &lt; 0.001, f</w:t>
      </w:r>
      <w:r>
        <w:rPr>
          <w:rFonts w:ascii="Times Roman" w:hAnsi="Times Roman" w:hint="default"/>
          <w:rtl w:val="0"/>
        </w:rPr>
        <w:t xml:space="preserve">² </w:t>
      </w:r>
      <w:r>
        <w:rPr>
          <w:rFonts w:ascii="Times Roman" w:hAnsi="Times Roman"/>
          <w:rtl w:val="0"/>
          <w:lang w:val="en-US"/>
        </w:rPr>
        <w:t>= 0.18), Effort Expectancy (</w:t>
      </w:r>
      <w:r>
        <w:rPr>
          <w:rFonts w:ascii="Times Roman" w:hAnsi="Times Roman" w:hint="default"/>
          <w:rtl w:val="0"/>
        </w:rPr>
        <w:t xml:space="preserve">β </w:t>
      </w:r>
      <w:r>
        <w:rPr>
          <w:rFonts w:ascii="Times Roman" w:hAnsi="Times Roman"/>
          <w:rtl w:val="0"/>
          <w:lang w:val="en-US"/>
        </w:rPr>
        <w:t>= 0.29), Agent Quality (</w:t>
      </w:r>
      <w:r>
        <w:rPr>
          <w:rFonts w:ascii="Times Roman" w:hAnsi="Times Roman" w:hint="default"/>
          <w:rtl w:val="0"/>
        </w:rPr>
        <w:t xml:space="preserve">β </w:t>
      </w:r>
      <w:r>
        <w:rPr>
          <w:rFonts w:ascii="Times Roman" w:hAnsi="Times Roman"/>
          <w:rtl w:val="0"/>
          <w:lang w:val="en-US"/>
        </w:rPr>
        <w:t>= 0.26), and a significant negative effect from Post-Fraud Risk Perception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en-US"/>
        </w:rPr>
        <w:t>0.22). Predictive relevance was confirmed (Q</w:t>
      </w:r>
      <w:r>
        <w:rPr>
          <w:rFonts w:ascii="Times Roman" w:hAnsi="Times Roman" w:hint="default"/>
          <w:rtl w:val="0"/>
        </w:rPr>
        <w:t xml:space="preserve">² </w:t>
      </w:r>
      <w:r>
        <w:rPr>
          <w:rFonts w:ascii="Times Roman" w:hAnsi="Times Roman"/>
          <w:rtl w:val="0"/>
          <w:lang w:val="en-US"/>
        </w:rPr>
        <w:t>= 0.41 for Intention; Q</w:t>
      </w:r>
      <w:r>
        <w:rPr>
          <w:rFonts w:ascii="Times Roman" w:hAnsi="Times Roman" w:hint="default"/>
          <w:rtl w:val="0"/>
        </w:rPr>
        <w:t xml:space="preserve">² </w:t>
      </w:r>
      <w:r>
        <w:rPr>
          <w:rFonts w:ascii="Times Roman" w:hAnsi="Times Roman"/>
          <w:rtl w:val="0"/>
          <w:lang w:val="en-US"/>
        </w:rPr>
        <w:t>= 0.33 for Usage), with excellent model fit (SRMR = 0.048).</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Bangladesh-specific extensions (H8</w:t>
      </w:r>
      <w:r>
        <w:rPr>
          <w:rFonts w:ascii="Times Roman" w:hAnsi="Times Roman" w:hint="default"/>
          <w:rtl w:val="0"/>
        </w:rPr>
        <w:t>–</w:t>
      </w:r>
      <w:r>
        <w:rPr>
          <w:rFonts w:ascii="Times Roman" w:hAnsi="Times Roman"/>
          <w:rtl w:val="0"/>
          <w:lang w:val="en-US"/>
        </w:rPr>
        <w:t xml:space="preserve">H13) were also supported with nuanced findings. Governance Perception positively moderated the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Behavioural Intention path (</w:t>
      </w:r>
      <w:r>
        <w:rPr>
          <w:rFonts w:ascii="Times Roman" w:hAnsi="Times Roman" w:hint="default"/>
          <w:rtl w:val="0"/>
        </w:rPr>
        <w:t xml:space="preserve">β </w:t>
      </w:r>
      <w:r>
        <w:rPr>
          <w:rFonts w:ascii="Times Roman" w:hAnsi="Times Roman"/>
          <w:rtl w:val="0"/>
          <w:lang w:val="en-US"/>
        </w:rPr>
        <w:t>= 0.14, p &lt; 0.01). Multi-Group Analysis (MGA) revealed critical digital-divide effects: Agent Quality exerted a significantly stronger influence among rural users (</w:t>
      </w:r>
      <w:r>
        <w:rPr>
          <w:rFonts w:ascii="Times Roman" w:hAnsi="Times Roman" w:hint="default"/>
          <w:rtl w:val="0"/>
        </w:rPr>
        <w:t xml:space="preserve">β </w:t>
      </w:r>
      <w:r>
        <w:rPr>
          <w:rFonts w:ascii="Times Roman" w:hAnsi="Times Roman"/>
          <w:rtl w:val="0"/>
          <w:lang w:val="en-US"/>
        </w:rPr>
        <w:t>= 0.38 vs. 0.19 urban, p &lt; 0.05); Post-Fraud Risk Perception was markedly stronger among females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lang w:val="pt-PT"/>
        </w:rPr>
        <w:t xml:space="preserve">0.31 vs. </w:t>
      </w:r>
      <w:r>
        <w:rPr>
          <w:rFonts w:ascii="Times Roman" w:hAnsi="Times Roman" w:hint="default"/>
          <w:rtl w:val="0"/>
        </w:rPr>
        <w:t>−</w:t>
      </w:r>
      <w:r>
        <w:rPr>
          <w:rFonts w:ascii="Times Roman" w:hAnsi="Times Roman"/>
          <w:rtl w:val="0"/>
          <w:lang w:val="en-US"/>
        </w:rPr>
        <w:t>0.15 males, p &lt; 0.05). These results directly address Objective 1 by confirming that while core UTAUT2 constructs hold, institutional and contextual moderators are indispensable in post-2024</w:t>
      </w:r>
      <w:r>
        <w:rPr>
          <w:rFonts w:ascii="Times Roman" w:hAnsi="Times Roman" w:hint="default"/>
          <w:rtl w:val="0"/>
        </w:rPr>
        <w:t>–</w:t>
      </w:r>
      <w:r>
        <w:rPr>
          <w:rFonts w:ascii="Times Roman" w:hAnsi="Times Roman"/>
          <w:rtl w:val="0"/>
          <w:lang w:val="en-US"/>
        </w:rPr>
        <w:t>25 crisis environments.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Objective 2 was met through Importance-Performance Analysis (IPA) and Multi-Dimensional Scaling triangulated with 28 expert interviews. Four challenge clusters were prioritised: (1) Security, Fraud &amp; Cyber Risks / Trust Deficits (highest importance 6.48/7, lowest performance 3.92/7 </w:t>
      </w:r>
      <w:r>
        <w:rPr>
          <w:rFonts w:ascii="Times Roman" w:hAnsi="Times Roman" w:hint="default"/>
          <w:rtl w:val="0"/>
          <w:lang w:val="en-US"/>
        </w:rPr>
        <w:t>— “</w:t>
      </w:r>
      <w:r>
        <w:rPr>
          <w:rFonts w:ascii="Times Roman" w:hAnsi="Times Roman"/>
          <w:rtl w:val="0"/>
          <w:lang w:val="en-US"/>
        </w:rPr>
        <w:t>Concentrate Here</w:t>
      </w:r>
      <w:r>
        <w:rPr>
          <w:rFonts w:ascii="Times Roman" w:hAnsi="Times Roman" w:hint="default"/>
          <w:rtl w:val="0"/>
        </w:rPr>
        <w:t xml:space="preserve">” </w:t>
      </w:r>
      <w:r>
        <w:rPr>
          <w:rFonts w:ascii="Times Roman" w:hAnsi="Times Roman"/>
          <w:rtl w:val="0"/>
          <w:lang w:val="en-US"/>
        </w:rPr>
        <w:t>quadrant); (2) Digital Literacy &amp; Gender/Rural Divides plus Infrastructure Gaps; (3) Regulatory &amp; Governance Issues (market concentration HHI &gt; 2,800, enforcement gaps); and (4) Agent Network Quality / Last-Mile Liquidity. Qualitative themes</w:t>
      </w:r>
      <w:r>
        <w:rPr>
          <w:rFonts w:ascii="Times Roman" w:hAnsi="Times Roman" w:hint="default"/>
          <w:rtl w:val="0"/>
          <w:lang w:val="en-US"/>
        </w:rPr>
        <w:t>—“</w:t>
      </w:r>
      <w:r>
        <w:rPr>
          <w:rFonts w:ascii="Times Roman" w:hAnsi="Times Roman"/>
          <w:rtl w:val="0"/>
          <w:lang w:val="en-US"/>
        </w:rPr>
        <w:t>Trust is Fragile but Recoverable,</w:t>
      </w:r>
      <w:r>
        <w:rPr>
          <w:rFonts w:ascii="Times Roman" w:hAnsi="Times Roman" w:hint="default"/>
          <w:rtl w:val="0"/>
        </w:rPr>
        <w:t>” “</w:t>
      </w:r>
      <w:r>
        <w:rPr>
          <w:rFonts w:ascii="Times Roman" w:hAnsi="Times Roman"/>
          <w:rtl w:val="0"/>
          <w:lang w:val="en-US"/>
        </w:rPr>
        <w:t>Governance Exists on Paper, Not on the Ground,</w:t>
      </w:r>
      <w:r>
        <w:rPr>
          <w:rFonts w:ascii="Times Roman" w:hAnsi="Times Roman" w:hint="default"/>
          <w:rtl w:val="0"/>
        </w:rPr>
        <w:t>” “</w:t>
      </w:r>
      <w:r>
        <w:rPr>
          <w:rFonts w:ascii="Times Roman" w:hAnsi="Times Roman"/>
          <w:rtl w:val="0"/>
          <w:lang w:val="en-US"/>
        </w:rPr>
        <w:t>The Last Mile is Still Broken,</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Women Are Ready, But the System Isn</w:t>
      </w:r>
      <w:r>
        <w:rPr>
          <w:rFonts w:ascii="Times Roman" w:hAnsi="Times Roman" w:hint="default"/>
          <w:rtl w:val="1"/>
        </w:rPr>
        <w:t>’</w:t>
      </w:r>
      <w:r>
        <w:rPr>
          <w:rFonts w:ascii="Times Roman" w:hAnsi="Times Roman"/>
          <w:rtl w:val="0"/>
        </w:rPr>
        <w:t>t</w:t>
      </w:r>
      <w:r>
        <w:rPr>
          <w:rFonts w:ascii="Times Roman" w:hAnsi="Times Roman" w:hint="default"/>
          <w:rtl w:val="0"/>
        </w:rPr>
        <w:t>”—</w:t>
      </w:r>
      <w:r>
        <w:rPr>
          <w:rFonts w:ascii="Times Roman" w:hAnsi="Times Roman"/>
          <w:rtl w:val="0"/>
          <w:lang w:val="en-US"/>
        </w:rPr>
        <w:t>provided thick-description validation and root-cause mapping via fishbone and 5-Whys analyses, confirming interlinkages between regulative voids (Scott, 2008), cognitive mistrust, and structural inequalities (van Dijk, 2020).</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Objective 3 was fulfilled via hybrid Intuitive Logics + Morphological Analysis scenario planning. Three plausible futures were modelled: Optimistic (82</w:t>
      </w:r>
      <w:r>
        <w:rPr>
          <w:rFonts w:ascii="Times Roman" w:hAnsi="Times Roman" w:hint="default"/>
          <w:rtl w:val="0"/>
        </w:rPr>
        <w:t>–</w:t>
      </w:r>
      <w:r>
        <w:rPr>
          <w:rFonts w:ascii="Times Roman" w:hAnsi="Times Roman"/>
          <w:rtl w:val="0"/>
          <w:lang w:val="en-US"/>
        </w:rPr>
        <w:t>85% account ownership, 65%+ active usage by 2030, cash &lt;20% by 2041), Base (72</w:t>
      </w:r>
      <w:r>
        <w:rPr>
          <w:rFonts w:ascii="Times Roman" w:hAnsi="Times Roman" w:hint="default"/>
          <w:rtl w:val="0"/>
        </w:rPr>
        <w:t>–</w:t>
      </w:r>
      <w:r>
        <w:rPr>
          <w:rFonts w:ascii="Times Roman" w:hAnsi="Times Roman"/>
          <w:rtl w:val="0"/>
          <w:lang w:val="en-US"/>
        </w:rPr>
        <w:t>75% ownership, persistent 35</w:t>
      </w:r>
      <w:r>
        <w:rPr>
          <w:rFonts w:ascii="Times Roman" w:hAnsi="Times Roman" w:hint="default"/>
          <w:rtl w:val="0"/>
        </w:rPr>
        <w:t>–</w:t>
      </w:r>
      <w:r>
        <w:rPr>
          <w:rFonts w:ascii="Times Roman" w:hAnsi="Times Roman"/>
          <w:rtl w:val="0"/>
          <w:lang w:val="en-US"/>
        </w:rPr>
        <w:t>40% cash share), and Pessimistic (stagnant 38</w:t>
      </w:r>
      <w:r>
        <w:rPr>
          <w:rFonts w:ascii="Times Roman" w:hAnsi="Times Roman" w:hint="default"/>
          <w:rtl w:val="0"/>
        </w:rPr>
        <w:t>–</w:t>
      </w:r>
      <w:r>
        <w:rPr>
          <w:rFonts w:ascii="Times Roman" w:hAnsi="Times Roman"/>
          <w:rtl w:val="0"/>
          <w:lang w:val="en-US"/>
        </w:rPr>
        <w:t>42% active usage with widening divides). Projections align with Cashless Economy Roadmap 2030 and Smart Bangladesh Vision 2041 targets, contingent on Trust Restoration and Governance Perception interventions.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Objective 4 was addressed through systematic policy evaluation benchmarked against India</w:t>
      </w:r>
      <w:r>
        <w:rPr>
          <w:rFonts w:ascii="Times Roman" w:hAnsi="Times Roman" w:hint="default"/>
          <w:rtl w:val="1"/>
        </w:rPr>
        <w:t>’</w:t>
      </w:r>
      <w:r>
        <w:rPr>
          <w:rFonts w:ascii="Times Roman" w:hAnsi="Times Roman"/>
          <w:rtl w:val="0"/>
        </w:rPr>
        <w:t>s UPI, Kenya</w:t>
      </w:r>
      <w:r>
        <w:rPr>
          <w:rFonts w:ascii="Times Roman" w:hAnsi="Times Roman" w:hint="default"/>
          <w:rtl w:val="1"/>
        </w:rPr>
        <w:t>’</w:t>
      </w:r>
      <w:r>
        <w:rPr>
          <w:rFonts w:ascii="Times Roman" w:hAnsi="Times Roman"/>
          <w:rtl w:val="0"/>
          <w:lang w:val="en-US"/>
        </w:rPr>
        <w:t>s M-Pesa, and Nordic/Singapore models. Current frameworks (Digital Bank Guidelines Version 2, 2025; MFS Regulations 2022) are progressive on paper but undermined by enforcement gaps, yielding a maturity scorecard highlighting deficits in real-time supervision and consumer redress.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Collectively, the findings conclude that Bangladesh</w:t>
      </w:r>
      <w:r>
        <w:rPr>
          <w:rFonts w:ascii="Times Roman" w:hAnsi="Times Roman" w:hint="default"/>
          <w:rtl w:val="1"/>
        </w:rPr>
        <w:t>’</w:t>
      </w:r>
      <w:r>
        <w:rPr>
          <w:rFonts w:ascii="Times Roman" w:hAnsi="Times Roman"/>
          <w:rtl w:val="0"/>
          <w:lang w:val="en-US"/>
        </w:rPr>
        <w:t>s e-banking sector has achieved impressive quantitative scale (239.3 million registered MFS accounts, Tk 17.37 lakh crore transaction value in 2024) yet remains constrained by a reinforcing cycle of security incidents, trust erosion, governance voids, and digital divides. The extended UTAUT2 model advances theory by demonstrating that, in post-crisis emerging markets, trust functions as a dynamically recoverable resource whose restoration is contingent on visible regulative responsiveness. Without accelerated multi-stakeholder action, the sector risks stagnating in the Base or Pessimistic scenarios, undermining Vision 2041 and SDG 8, 9, and 10 contributions. The study therefore positions Bangladesh at a decisive inflection point where evidence-based interventions can convert scale into sustainable, inclusive, and trustworthy digital finance.</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8.2 Comprehensive Recommendations (Stakeholder Matrix with Timelines, KPIs, Resource Estimates, Responsibility Matrix, Risk Register)</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recommendations are derived directly from the empirical findings and organised into a phased stakeholder matrix. They prioritise high-leverage interventions targeting the strongest model paths (Performance Expectancy and Trust Restoration) and the IPA-ranked challenges. Each phase includes estimated resource requirements (drawn from comparable regional programmes and Bangladesh Bank budget benchmarks), clear responsibilities, measurable KPIs, and an integrated risk register.</w:t>
      </w:r>
    </w:p>
    <w:p>
      <w:pPr>
        <w:pStyle w:val="Default"/>
        <w:suppressAutoHyphens w:val="1"/>
        <w:spacing w:before="0" w:after="240" w:line="240" w:lineRule="auto"/>
        <w:jc w:val="both"/>
        <w:rPr>
          <w:rFonts w:ascii="Times Roman" w:cs="Times Roman" w:hAnsi="Times Roman" w:eastAsia="Times Roman"/>
          <w:b w:val="1"/>
          <w:bCs w:val="1"/>
        </w:rPr>
      </w:pPr>
      <w:r>
        <w:rPr>
          <w:rFonts w:ascii="Times Roman" w:hAnsi="Times Roman"/>
          <w:b w:val="1"/>
          <w:bCs w:val="1"/>
          <w:rtl w:val="0"/>
        </w:rPr>
        <w:t>Stakeholder Matrix Overview</w:t>
      </w:r>
      <w:r>
        <w:rPr>
          <w:rFonts w:ascii="Times Roman" w:cs="Times Roman" w:hAnsi="Times Roman" w:eastAsia="Times Roman"/>
          <w:b w:val="1"/>
          <w:bCs w:val="1"/>
        </w:rPr>
        <w:drawing xmlns:a="http://schemas.openxmlformats.org/drawingml/2006/main">
          <wp:anchor distT="152400" distB="152400" distL="152400" distR="152400" simplePos="0" relativeHeight="251685888" behindDoc="0" locked="0" layoutInCell="1" allowOverlap="1">
            <wp:simplePos x="0" y="0"/>
            <wp:positionH relativeFrom="margin">
              <wp:posOffset>-6350</wp:posOffset>
            </wp:positionH>
            <wp:positionV relativeFrom="line">
              <wp:posOffset>231922</wp:posOffset>
            </wp:positionV>
            <wp:extent cx="6120057" cy="1891098"/>
            <wp:effectExtent l="0" t="0" r="0" b="0"/>
            <wp:wrapTopAndBottom distT="152400" distB="152400"/>
            <wp:docPr id="1073741871"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71" name="pasted-image.tiff" descr="pasted-image.tiff"/>
                    <pic:cNvPicPr>
                      <a:picLocks noChangeAspect="1"/>
                    </pic:cNvPicPr>
                  </pic:nvPicPr>
                  <pic:blipFill>
                    <a:blip r:embed="rId40">
                      <a:extLst/>
                    </a:blip>
                    <a:stretch>
                      <a:fillRect/>
                    </a:stretch>
                  </pic:blipFill>
                  <pic:spPr>
                    <a:xfrm>
                      <a:off x="0" y="0"/>
                      <a:ext cx="6120057" cy="1891098"/>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 xml:space="preserve">Figure 8.1: </w:t>
      </w:r>
      <w:r>
        <w:rPr>
          <w:rFonts w:ascii="Times Roman" w:hAnsi="Times Roman"/>
          <w:i w:val="1"/>
          <w:iCs w:val="1"/>
          <w:rtl w:val="0"/>
          <w:lang w:val="en-US"/>
        </w:rPr>
        <w:t>Phased Strategic Implementation Roadmap (Flowchart)</w:t>
      </w:r>
      <w:r>
        <w:rPr>
          <w:rFonts w:ascii="Times Roman" w:hAnsi="Times Roman"/>
          <w:i w:val="1"/>
          <w:iCs w:val="1"/>
          <w:rtl w:val="0"/>
          <w:lang w:val="en-US"/>
        </w:rPr>
        <w:t xml:space="preserve">. </w:t>
      </w:r>
      <w:r>
        <w:rPr>
          <w:rFonts w:ascii="Times Roman" w:hAnsi="Times Roman"/>
          <w:b w:val="1"/>
          <w:bCs w:val="1"/>
          <w:rtl w:val="0"/>
        </w:rPr>
        <w:t>Bangladesh Bank. (2025).</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line="240" w:lineRule="auto"/>
        <w:jc w:val="both"/>
        <w:rPr>
          <w:rFonts w:ascii="Times Roman" w:cs="Times Roman" w:hAnsi="Times Roman" w:eastAsia="Times Roman"/>
          <w:i w:val="1"/>
          <w:iCs w:val="1"/>
        </w:rPr>
      </w:pPr>
      <w:r>
        <w:rPr>
          <w:rFonts w:ascii="Times Roman" w:hAnsi="Times Roman"/>
          <w:b w:val="1"/>
          <w:bCs w:val="1"/>
          <w:rtl w:val="0"/>
          <w:lang w:val="en-US"/>
        </w:rPr>
        <w:t>Description of</w:t>
      </w:r>
      <w:r>
        <w:rPr>
          <w:rFonts w:ascii="Times Roman" w:hAnsi="Times Roman"/>
          <w:i w:val="1"/>
          <w:iCs w:val="1"/>
          <w:rtl w:val="0"/>
          <w:lang w:val="en-US"/>
        </w:rPr>
        <w:t xml:space="preserve"> </w:t>
      </w:r>
      <w:r>
        <w:rPr>
          <w:rFonts w:ascii="Times Roman" w:hAnsi="Times Roman"/>
          <w:b w:val="1"/>
          <w:bCs w:val="1"/>
          <w:rtl w:val="0"/>
          <w:lang w:val="en-US"/>
        </w:rPr>
        <w:t>Figure 8.1: Phased Strategic Implementation Roadmap (2026</w:t>
      </w:r>
      <w:r>
        <w:rPr>
          <w:rFonts w:ascii="Times Roman" w:hAnsi="Times Roman" w:hint="default"/>
          <w:b w:val="1"/>
          <w:bCs w:val="1"/>
          <w:rtl w:val="0"/>
        </w:rPr>
        <w:t>–</w:t>
      </w:r>
      <w:r>
        <w:rPr>
          <w:rFonts w:ascii="Times Roman" w:hAnsi="Times Roman"/>
          <w:b w:val="1"/>
          <w:bCs w:val="1"/>
          <w:rtl w:val="0"/>
        </w:rPr>
        <w:t>2041).</w:t>
      </w:r>
      <w:r>
        <w:rPr>
          <w:rFonts w:ascii="Times Roman" w:hAnsi="Times Roman"/>
          <w:rtl w:val="0"/>
          <w:lang w:val="en-US"/>
        </w:rPr>
        <w:t xml:space="preserve"> This structural flowchart synthesizes the comprehensive recommendations into three temporal horizons. It maps the transition from immediate trust-restoration and enforcement interventions (Short-term) toward structural interoperability (Medium-term), culminating in a fully integrated, climate-resilient digital finance ecosystem aligned with Vision 2041 (Long-term).</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Bangladesh Bank &amp; Regulators (Lead: Payment Systems Department + BFIU)</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Key Implications:</w:t>
      </w:r>
      <w:r>
        <w:rPr>
          <w:rFonts w:ascii="Times Roman" w:hAnsi="Times Roman"/>
          <w:rtl w:val="0"/>
          <w:lang w:val="en-US"/>
        </w:rPr>
        <w:t xml:space="preserve"> Governance Perception moderates Trust Restoration (</w:t>
      </w:r>
      <w:r>
        <w:rPr>
          <w:rFonts w:ascii="Times Roman" w:hAnsi="Times Roman" w:hint="default"/>
          <w:rtl w:val="0"/>
        </w:rPr>
        <w:t xml:space="preserve">β </w:t>
      </w:r>
      <w:r>
        <w:rPr>
          <w:rFonts w:ascii="Times Roman" w:hAnsi="Times Roman"/>
          <w:rtl w:val="0"/>
          <w:lang w:val="en-US"/>
        </w:rPr>
        <w:t>= 0.14); Security/Trust ranked #1 challenge.</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Recommended Actions &amp; Phasing:</w:t>
      </w:r>
      <w:r>
        <w:rPr>
          <w:rFonts w:ascii="Times Roman" w:hAnsi="Times Roman"/>
          <w:b w:val="0"/>
          <w:bCs w:val="0"/>
          <w:rtl w:val="0"/>
          <w:lang w:val="en-US"/>
        </w:rPr>
        <w:t xml:space="preserve"> See subsections below.</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Resource Estimate:</w:t>
      </w:r>
      <w:r>
        <w:rPr>
          <w:rFonts w:ascii="Times Roman" w:hAnsi="Times Roman"/>
          <w:rtl w:val="0"/>
        </w:rPr>
        <w:t xml:space="preserve"> BDT 850</w:t>
      </w:r>
      <w:r>
        <w:rPr>
          <w:rFonts w:ascii="Times Roman" w:hAnsi="Times Roman" w:hint="default"/>
          <w:rtl w:val="0"/>
        </w:rPr>
        <w:t>–</w:t>
      </w:r>
      <w:r>
        <w:rPr>
          <w:rFonts w:ascii="Times Roman" w:hAnsi="Times Roman"/>
          <w:rtl w:val="0"/>
          <w:lang w:val="en-US"/>
        </w:rPr>
        <w:t>1,200 crore over 10 years (primarily capacity building, AI systems, and public dashboards).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nl-NL"/>
        </w:rPr>
        <w:t>KPIs:</w:t>
      </w:r>
      <w:r>
        <w:rPr>
          <w:rFonts w:ascii="Times Roman" w:hAnsi="Times Roman"/>
          <w:rtl w:val="0"/>
          <w:lang w:val="en-US"/>
        </w:rPr>
        <w:t xml:space="preserve"> Fraud redressal success rate &gt;85% within 72 hours; Agent liquidity failure incidents reduced by 70%; Digital Trust Score published quarterly with &gt;75% public awareness.</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de-DE"/>
        </w:rPr>
        <w:t>Risk Register:</w:t>
      </w:r>
      <w:r>
        <w:rPr>
          <w:rFonts w:ascii="Times Roman" w:hAnsi="Times Roman"/>
          <w:rtl w:val="0"/>
          <w:lang w:val="en-US"/>
        </w:rPr>
        <w:t xml:space="preserve"> Regulatory capture (mitigation: independent TI-Bangladesh audits); capacity overload (mitigation: phased hiring + international technical assistance from Gates Foundation/World Bank).</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Commercial Banks &amp; MFS Providers (bKash, Nagad, Rocket, BRAC Bank, Islami Bank)</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Key Implications:</w:t>
      </w:r>
      <w:r>
        <w:rPr>
          <w:rFonts w:ascii="Times Roman" w:hAnsi="Times Roman"/>
          <w:rtl w:val="0"/>
          <w:lang w:val="en-US"/>
        </w:rPr>
        <w:t xml:space="preserve"> Trust Restoration (</w:t>
      </w:r>
      <w:r>
        <w:rPr>
          <w:rFonts w:ascii="Times Roman" w:hAnsi="Times Roman" w:hint="default"/>
          <w:rtl w:val="0"/>
        </w:rPr>
        <w:t xml:space="preserve">β </w:t>
      </w:r>
      <w:r>
        <w:rPr>
          <w:rFonts w:ascii="Times Roman" w:hAnsi="Times Roman"/>
          <w:rtl w:val="0"/>
          <w:lang w:val="en-US"/>
        </w:rPr>
        <w:t>= 0.37) and Performance Expectancy (</w:t>
      </w:r>
      <w:r>
        <w:rPr>
          <w:rFonts w:ascii="Times Roman" w:hAnsi="Times Roman" w:hint="default"/>
          <w:rtl w:val="0"/>
        </w:rPr>
        <w:t xml:space="preserve">β </w:t>
      </w:r>
      <w:r>
        <w:rPr>
          <w:rFonts w:ascii="Times Roman" w:hAnsi="Times Roman"/>
          <w:rtl w:val="0"/>
          <w:lang w:val="en-US"/>
        </w:rPr>
        <w:t>= 0.41) dominant; rural Agent Quality stronger (</w:t>
      </w:r>
      <w:r>
        <w:rPr>
          <w:rFonts w:ascii="Times Roman" w:hAnsi="Times Roman" w:hint="default"/>
          <w:rtl w:val="0"/>
        </w:rPr>
        <w:t xml:space="preserve">β </w:t>
      </w:r>
      <w:r>
        <w:rPr>
          <w:rFonts w:ascii="Times Roman" w:hAnsi="Times Roman"/>
          <w:rtl w:val="0"/>
          <w:lang w:val="en-US"/>
        </w:rPr>
        <w:t>= 0.38); female Post-Fraud Risk stronger (</w:t>
      </w:r>
      <w:r>
        <w:rPr>
          <w:rFonts w:ascii="Times Roman" w:hAnsi="Times Roman" w:hint="default"/>
          <w:rtl w:val="0"/>
        </w:rPr>
        <w:t xml:space="preserve">β </w:t>
      </w:r>
      <w:r>
        <w:rPr>
          <w:rFonts w:ascii="Times Roman" w:hAnsi="Times Roman"/>
          <w:rtl w:val="0"/>
        </w:rPr>
        <w:t xml:space="preserve">= </w:t>
      </w:r>
      <w:r>
        <w:rPr>
          <w:rFonts w:ascii="Times Roman" w:hAnsi="Times Roman" w:hint="default"/>
          <w:rtl w:val="0"/>
        </w:rPr>
        <w:t>−</w:t>
      </w:r>
      <w:r>
        <w:rPr>
          <w:rFonts w:ascii="Times Roman" w:hAnsi="Times Roman"/>
          <w:rtl w:val="0"/>
        </w:rPr>
        <w:t>0.31).</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Resource Estimate:</w:t>
      </w:r>
      <w:r>
        <w:rPr>
          <w:rFonts w:ascii="Times Roman" w:hAnsi="Times Roman"/>
          <w:rtl w:val="0"/>
        </w:rPr>
        <w:t xml:space="preserve"> BDT 2,500</w:t>
      </w:r>
      <w:r>
        <w:rPr>
          <w:rFonts w:ascii="Times Roman" w:hAnsi="Times Roman" w:hint="default"/>
          <w:rtl w:val="0"/>
        </w:rPr>
        <w:t>–</w:t>
      </w:r>
      <w:r>
        <w:rPr>
          <w:rFonts w:ascii="Times Roman" w:hAnsi="Times Roman"/>
          <w:rtl w:val="0"/>
          <w:lang w:val="en-US"/>
        </w:rPr>
        <w:t>3,500 crore (agent upgrades, AI/biometrics, product redesign).</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nl-NL"/>
        </w:rPr>
        <w:t>KPIs:</w:t>
      </w:r>
      <w:r>
        <w:rPr>
          <w:rFonts w:ascii="Times Roman" w:hAnsi="Times Roman"/>
          <w:rtl w:val="0"/>
          <w:lang w:val="en-US"/>
        </w:rPr>
        <w:t xml:space="preserve"> Active usage rate increase from 42.3% to 65% by 2030; Gender gap reduced from 11.8 pp to &lt;7 pp; Rural agent retention &gt;80%.</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de-DE"/>
        </w:rPr>
        <w:t>Risk Register:</w:t>
      </w:r>
      <w:r>
        <w:rPr>
          <w:rFonts w:ascii="Times Roman" w:hAnsi="Times Roman"/>
          <w:rtl w:val="0"/>
          <w:lang w:val="en-US"/>
        </w:rPr>
        <w:t xml:space="preserve"> Market resistance to transparency (mitigation: regulatory incentives); technology implementation delays (mitigation: sandbox testing).</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Government, Development Partners &amp; Civil Society (Ministry of Finance + ICT Division; World Bank, Gates Foundation, BRAC/Grameen)</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Key Implications:</w:t>
      </w:r>
      <w:r>
        <w:rPr>
          <w:rFonts w:ascii="Times Roman" w:hAnsi="Times Roman"/>
          <w:rtl w:val="0"/>
          <w:lang w:val="en-US"/>
        </w:rPr>
        <w:t xml:space="preserve"> Digital literacy &amp; gender/rural divides ranked #2; qualitative theme </w:t>
      </w:r>
      <w:r>
        <w:rPr>
          <w:rFonts w:ascii="Times Roman" w:hAnsi="Times Roman" w:hint="default"/>
          <w:rtl w:val="1"/>
          <w:lang w:val="ar-SA" w:bidi="ar-SA"/>
        </w:rPr>
        <w:t>“</w:t>
      </w:r>
      <w:r>
        <w:rPr>
          <w:rFonts w:ascii="Times Roman" w:hAnsi="Times Roman"/>
          <w:rtl w:val="0"/>
          <w:lang w:val="en-US"/>
        </w:rPr>
        <w:t>Women Are Ready, But the System Isn</w:t>
      </w:r>
      <w:r>
        <w:rPr>
          <w:rFonts w:ascii="Times Roman" w:hAnsi="Times Roman" w:hint="default"/>
          <w:rtl w:val="1"/>
        </w:rPr>
        <w:t>’</w:t>
      </w:r>
      <w:r>
        <w:rPr>
          <w:rFonts w:ascii="Times Roman" w:hAnsi="Times Roman"/>
          <w:rtl w:val="0"/>
        </w:rPr>
        <w:t>t.</w:t>
      </w:r>
      <w:r>
        <w:rPr>
          <w:rFonts w:ascii="Times Roman" w:hAnsi="Times Roman" w:hint="default"/>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Resource Estimate:</w:t>
      </w:r>
      <w:r>
        <w:rPr>
          <w:rFonts w:ascii="Times Roman" w:hAnsi="Times Roman"/>
          <w:rtl w:val="0"/>
        </w:rPr>
        <w:t xml:space="preserve"> BDT 1,800</w:t>
      </w:r>
      <w:r>
        <w:rPr>
          <w:rFonts w:ascii="Times Roman" w:hAnsi="Times Roman" w:hint="default"/>
          <w:rtl w:val="0"/>
        </w:rPr>
        <w:t>–</w:t>
      </w:r>
      <w:r>
        <w:rPr>
          <w:rFonts w:ascii="Times Roman" w:hAnsi="Times Roman"/>
          <w:rtl w:val="0"/>
          <w:lang w:val="en-US"/>
        </w:rPr>
        <w:t>2,400 crore (literacy campaign, infrastructure, blended finance).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nl-NL"/>
        </w:rPr>
        <w:t>KPIs:</w:t>
      </w:r>
      <w:r>
        <w:rPr>
          <w:rFonts w:ascii="Times Roman" w:hAnsi="Times Roman"/>
          <w:rtl w:val="0"/>
        </w:rPr>
        <w:t xml:space="preserve"> Rural</w:t>
      </w:r>
      <w:r>
        <w:rPr>
          <w:rFonts w:ascii="Times Roman" w:hAnsi="Times Roman" w:hint="default"/>
          <w:rtl w:val="0"/>
        </w:rPr>
        <w:t>–</w:t>
      </w:r>
      <w:r>
        <w:rPr>
          <w:rFonts w:ascii="Times Roman" w:hAnsi="Times Roman"/>
          <w:rtl w:val="0"/>
          <w:lang w:val="en-US"/>
        </w:rPr>
        <w:t>urban active usage gap reduced from 23.6 pp to &lt;10 pp; 80%+ financial inclusion by 2030; 50 million adults digitally literate.</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de-DE"/>
        </w:rPr>
        <w:t>Risk Register:</w:t>
      </w:r>
      <w:r>
        <w:rPr>
          <w:rFonts w:ascii="Times Roman" w:hAnsi="Times Roman"/>
          <w:rtl w:val="0"/>
          <w:lang w:val="en-US"/>
        </w:rPr>
        <w:t xml:space="preserve"> Political disruption (mitigation: cross-party parliamentary oversight); low uptake (mitigation: integration with existing G2P channels).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Academia &amp; Research Community</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Resource Estimate:</w:t>
      </w:r>
      <w:r>
        <w:rPr>
          <w:rFonts w:ascii="Times Roman" w:hAnsi="Times Roman"/>
          <w:rtl w:val="0"/>
        </w:rPr>
        <w:t xml:space="preserve"> BDT 120</w:t>
      </w:r>
      <w:r>
        <w:rPr>
          <w:rFonts w:ascii="Times Roman" w:hAnsi="Times Roman" w:hint="default"/>
          <w:rtl w:val="0"/>
        </w:rPr>
        <w:t>–</w:t>
      </w:r>
      <w:r>
        <w:rPr>
          <w:rFonts w:ascii="Times Roman" w:hAnsi="Times Roman"/>
          <w:rtl w:val="0"/>
          <w:lang w:val="it-IT"/>
        </w:rPr>
        <w:t>180 crore (consortium funding).</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nl-NL"/>
        </w:rPr>
        <w:t>KPIs:</w:t>
      </w:r>
      <w:r>
        <w:rPr>
          <w:rFonts w:ascii="Times Roman" w:hAnsi="Times Roman" w:hint="default"/>
          <w:rtl w:val="0"/>
        </w:rPr>
        <w:t xml:space="preserve"> ≥</w:t>
      </w:r>
      <w:r>
        <w:rPr>
          <w:rFonts w:ascii="Times Roman" w:hAnsi="Times Roman"/>
          <w:rtl w:val="0"/>
          <w:lang w:val="en-US"/>
        </w:rPr>
        <w:t>5 peer-reviewed longitudinal studies by 2030; open anonymised dataset.</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de-DE"/>
        </w:rPr>
        <w:t>Risk Register:</w:t>
      </w:r>
      <w:r>
        <w:rPr>
          <w:rFonts w:ascii="Times Roman" w:hAnsi="Times Roman"/>
          <w:rtl w:val="0"/>
          <w:lang w:val="en-US"/>
        </w:rPr>
        <w:t xml:space="preserve"> Data access restrictions (mitigation: formal data-sharing MoUs with Bangladesh Bank).</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8.2.1 Short-term (0</w:t>
      </w:r>
      <w:r>
        <w:rPr>
          <w:rFonts w:ascii="Times Roman" w:hAnsi="Times Roman" w:hint="default"/>
          <w:b w:val="1"/>
          <w:bCs w:val="1"/>
          <w:sz w:val="26"/>
          <w:szCs w:val="26"/>
          <w:rtl w:val="0"/>
        </w:rPr>
        <w:t>–</w:t>
      </w:r>
      <w:r>
        <w:rPr>
          <w:rFonts w:ascii="Times Roman" w:hAnsi="Times Roman"/>
          <w:b w:val="1"/>
          <w:bCs w:val="1"/>
          <w:sz w:val="26"/>
          <w:szCs w:val="26"/>
          <w:rtl w:val="0"/>
          <w:lang w:val="en-US"/>
        </w:rPr>
        <w:t xml:space="preserve">2 years): Quick Wins </w:t>
      </w:r>
      <w:r>
        <w:rPr>
          <w:rFonts w:ascii="Times Roman" w:hAnsi="Times Roman" w:hint="default"/>
          <w:b w:val="1"/>
          <w:bCs w:val="1"/>
          <w:sz w:val="26"/>
          <w:szCs w:val="26"/>
          <w:rtl w:val="0"/>
        </w:rPr>
        <w:t xml:space="preserve">– </w:t>
      </w:r>
      <w:r>
        <w:rPr>
          <w:rFonts w:ascii="Times Roman" w:hAnsi="Times Roman"/>
          <w:b w:val="1"/>
          <w:bCs w:val="1"/>
          <w:sz w:val="26"/>
          <w:szCs w:val="26"/>
          <w:rtl w:val="0"/>
          <w:lang w:val="en-US"/>
        </w:rPr>
        <w:t>Security Audits &amp; Incident Response, Mass Digital Literacy Drives, Agent Training &amp; Certification, Compliance Enforcement &amp; e-Money Violation Crackdown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Immediate actions target the #1 IPA challenge (security/trust) and foundational digital-divide barriers. Within 12 months, Bangladesh Bank must mandate comprehensive cybersecurity audits of all licensed MFS providers and banks, coupled with a 72-hour public redressal protocol for verified fraud incidents (directly operationalising the Trust Restoration construct). A national </w:t>
      </w:r>
      <w:r>
        <w:rPr>
          <w:rFonts w:ascii="Times Roman" w:hAnsi="Times Roman" w:hint="default"/>
          <w:rtl w:val="1"/>
          <w:lang w:val="ar-SA" w:bidi="ar-SA"/>
        </w:rPr>
        <w:t>“</w:t>
      </w:r>
      <w:r>
        <w:rPr>
          <w:rFonts w:ascii="Times Roman" w:hAnsi="Times Roman"/>
          <w:rtl w:val="0"/>
        </w:rPr>
        <w:t>Digital Trust Score</w:t>
      </w:r>
      <w:r>
        <w:rPr>
          <w:rFonts w:ascii="Times Roman" w:hAnsi="Times Roman" w:hint="default"/>
          <w:rtl w:val="0"/>
        </w:rPr>
        <w:t xml:space="preserve">” </w:t>
      </w:r>
      <w:r>
        <w:rPr>
          <w:rFonts w:ascii="Times Roman" w:hAnsi="Times Roman"/>
          <w:rtl w:val="0"/>
          <w:lang w:val="en-US"/>
        </w:rPr>
        <w:t>dashboard, updated quarterly, will be launched by Q4 2026, with public compensation funds seeded at BDT 500 crore.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Simultaneously, a mass digital literacy campaign targeting 15 million adults (prioritising rural women) will be rolled out via integration with G2P disbursement channels, achieving 80% module completion by end-2027. Agent certification programmes (minimum 40-hour curriculum covering fraud recognition, liquidity management, and gender-sensitive service) will cover 100% of the 1.2 million agent network by December 2027, with performance-based incentives tied to customer retention rather than volume.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Enforcement will intensify: zero-tolerance crackdown on e-money violations (e.g., trust-fund breaches) with personal liability provisions for PSO executives and swift license suspensions. These quick wins are projected to lift Trust Restoration scores by 0.8</w:t>
      </w:r>
      <w:r>
        <w:rPr>
          <w:rFonts w:ascii="Times Roman" w:hAnsi="Times Roman" w:hint="default"/>
          <w:rtl w:val="0"/>
        </w:rPr>
        <w:t>–</w:t>
      </w:r>
      <w:r>
        <w:rPr>
          <w:rFonts w:ascii="Times Roman" w:hAnsi="Times Roman"/>
          <w:rtl w:val="0"/>
          <w:lang w:val="en-US"/>
        </w:rPr>
        <w:t>1.0 points on the 7-point scale and reduce reported fraud incidents by 35</w:t>
      </w:r>
      <w:r>
        <w:rPr>
          <w:rFonts w:ascii="Times Roman" w:hAnsi="Times Roman" w:hint="default"/>
          <w:rtl w:val="0"/>
        </w:rPr>
        <w:t>–</w:t>
      </w:r>
      <w:r>
        <w:rPr>
          <w:rFonts w:ascii="Times Roman" w:hAnsi="Times Roman"/>
          <w:rtl w:val="0"/>
          <w:lang w:val="en-US"/>
        </w:rPr>
        <w:t xml:space="preserve">40% within 24 months, directly strengthening the </w:t>
      </w:r>
      <w:r>
        <w:rPr>
          <w:rFonts w:ascii="Times Roman" w:hAnsi="Times Roman" w:hint="default"/>
          <w:rtl w:val="0"/>
        </w:rPr>
        <w:t xml:space="preserve">β </w:t>
      </w:r>
      <w:r>
        <w:rPr>
          <w:rFonts w:ascii="Times Roman" w:hAnsi="Times Roman"/>
          <w:rtl w:val="0"/>
          <w:lang w:val="en-US"/>
        </w:rPr>
        <w:t>= 0.37 path.</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8.2.2 Medium-term (2</w:t>
      </w:r>
      <w:r>
        <w:rPr>
          <w:rFonts w:ascii="Times Roman" w:hAnsi="Times Roman" w:hint="default"/>
          <w:b w:val="1"/>
          <w:bCs w:val="1"/>
          <w:sz w:val="26"/>
          <w:szCs w:val="26"/>
          <w:rtl w:val="0"/>
        </w:rPr>
        <w:t>–</w:t>
      </w:r>
      <w:r>
        <w:rPr>
          <w:rFonts w:ascii="Times Roman" w:hAnsi="Times Roman"/>
          <w:b w:val="1"/>
          <w:bCs w:val="1"/>
          <w:sz w:val="26"/>
          <w:szCs w:val="26"/>
          <w:rtl w:val="0"/>
          <w:lang w:val="en-US"/>
        </w:rPr>
        <w:t>5 years): Interoperability Deepening (Full NPSB/IDTP), Digital Bank Scaling &amp; Licensing Acceleration, AI/Biometric Integration Pilots, CBDC Sandbox &amp; Feasibility Study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Building on short-term trust gains, full bank-to-wallet and wallet-to-wallet interoperability via NPSB/IDTP will be mandated by July 2028, targeting 90% cross-platform transaction volume. This addresses the Performance Expectancy pathway by reducing friction and enhancing convenience (projected 25</w:t>
      </w:r>
      <w:r>
        <w:rPr>
          <w:rFonts w:ascii="Times Roman" w:hAnsi="Times Roman" w:hint="default"/>
          <w:rtl w:val="0"/>
        </w:rPr>
        <w:t>–</w:t>
      </w:r>
      <w:r>
        <w:rPr>
          <w:rFonts w:ascii="Times Roman" w:hAnsi="Times Roman"/>
          <w:rtl w:val="0"/>
          <w:lang w:val="en-US"/>
        </w:rPr>
        <w:t>30% increase in active usage).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Digital bank licensing will accelerate: all 15 in-principle approvals operationalised by 2029, with tailored capital requirements and sandbox provisions to foster competition and reduce HHI below 2,000. AI-driven credit scoring and biometric default onboarding will be piloted at scale (target: 50% of new MFS and digital-bank accounts), leveraging pilot data showing 35</w:t>
      </w:r>
      <w:r>
        <w:rPr>
          <w:rFonts w:ascii="Times Roman" w:hAnsi="Times Roman" w:hint="default"/>
          <w:rtl w:val="0"/>
        </w:rPr>
        <w:t>–</w:t>
      </w:r>
      <w:r>
        <w:rPr>
          <w:rFonts w:ascii="Times Roman" w:hAnsi="Times Roman"/>
          <w:rtl w:val="0"/>
          <w:lang w:val="en-US"/>
        </w:rPr>
        <w:t>40% fraud reduction.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wholesale CBDC sandbox (interbank/MFS settlement) will launch in 2028</w:t>
      </w:r>
      <w:r>
        <w:rPr>
          <w:rFonts w:ascii="Times Roman" w:hAnsi="Times Roman" w:hint="default"/>
          <w:rtl w:val="0"/>
        </w:rPr>
        <w:t>–</w:t>
      </w:r>
      <w:r>
        <w:rPr>
          <w:rFonts w:ascii="Times Roman" w:hAnsi="Times Roman"/>
          <w:rtl w:val="0"/>
          <w:lang w:val="en-US"/>
        </w:rPr>
        <w:t>2029, followed by limited retail pilots in three high-poverty districts by 2032. Open finance APIs under the 2025 Digital Bank Guidelines will enable embedded products (savings automation, micro-insurance), directly enhancing Hedonic Motivation and Price Value constructs. These interventions are expected to shift the ecosystem from Base toward Optimistic scenario parameters by 2030.</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8.2.3 Long-term (5</w:t>
      </w:r>
      <w:r>
        <w:rPr>
          <w:rFonts w:ascii="Times Roman" w:hAnsi="Times Roman" w:hint="default"/>
          <w:b w:val="1"/>
          <w:bCs w:val="1"/>
          <w:sz w:val="26"/>
          <w:szCs w:val="26"/>
          <w:rtl w:val="0"/>
        </w:rPr>
        <w:t>–</w:t>
      </w:r>
      <w:r>
        <w:rPr>
          <w:rFonts w:ascii="Times Roman" w:hAnsi="Times Roman"/>
          <w:b w:val="1"/>
          <w:bCs w:val="1"/>
          <w:sz w:val="26"/>
          <w:szCs w:val="26"/>
          <w:rtl w:val="0"/>
          <w:lang w:val="en-US"/>
        </w:rPr>
        <w:t>10 years): Full Cashless Transition, Smart Financial Ecosystem (Open Finance + Embedded Finance), Regional Leadership in South Asia Fintech, Climate-Resilient Digital Finance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By 2030</w:t>
      </w:r>
      <w:r>
        <w:rPr>
          <w:rFonts w:ascii="Times Roman" w:hAnsi="Times Roman" w:hint="default"/>
          <w:rtl w:val="0"/>
        </w:rPr>
        <w:t>–</w:t>
      </w:r>
      <w:r>
        <w:rPr>
          <w:rFonts w:ascii="Times Roman" w:hAnsi="Times Roman"/>
          <w:rtl w:val="0"/>
          <w:lang w:val="en-US"/>
        </w:rPr>
        <w:t>2041, Bangladesh will achieve near-universal formal inclusion (92%+ account ownership) with cash comprising &lt;20% of retail transaction value. The ecosystem will evolve into a smart financial platform integrating open finance, embedded finance (e.g., climate-linked micro-credit tracked via blockchain), and AI-personalised services. Climate-resilient digital finance products</w:t>
      </w:r>
      <w:r>
        <w:rPr>
          <w:rFonts w:ascii="Times Roman" w:hAnsi="Times Roman" w:hint="default"/>
          <w:rtl w:val="0"/>
          <w:lang w:val="en-US"/>
        </w:rPr>
        <w:t>—</w:t>
      </w:r>
      <w:r>
        <w:rPr>
          <w:rFonts w:ascii="Times Roman" w:hAnsi="Times Roman"/>
          <w:rtl w:val="0"/>
          <w:lang w:val="en-US"/>
        </w:rPr>
        <w:t>green micro-loans, parametric weather insurance via MFS</w:t>
      </w:r>
      <w:r>
        <w:rPr>
          <w:rFonts w:ascii="Times Roman" w:hAnsi="Times Roman" w:hint="default"/>
          <w:rtl w:val="0"/>
          <w:lang w:val="en-US"/>
        </w:rPr>
        <w:t>—</w:t>
      </w:r>
      <w:r>
        <w:rPr>
          <w:rFonts w:ascii="Times Roman" w:hAnsi="Times Roman"/>
          <w:rtl w:val="0"/>
          <w:lang w:val="en-US"/>
        </w:rPr>
        <w:t>will be scaled to align with Bangladesh</w:t>
      </w:r>
      <w:r>
        <w:rPr>
          <w:rFonts w:ascii="Times Roman" w:hAnsi="Times Roman" w:hint="default"/>
          <w:rtl w:val="1"/>
        </w:rPr>
        <w:t>’</w:t>
      </w:r>
      <w:r>
        <w:rPr>
          <w:rFonts w:ascii="Times Roman" w:hAnsi="Times Roman"/>
          <w:rtl w:val="0"/>
          <w:lang w:val="en-US"/>
        </w:rPr>
        <w:t>s climate vulnerability priorities under Vision 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Regional leadership will be secured through South Asian fintech harmonisation (e.g., cross-border NPSB linkages with India</w:t>
      </w:r>
      <w:r>
        <w:rPr>
          <w:rFonts w:ascii="Times Roman" w:hAnsi="Times Roman" w:hint="default"/>
          <w:rtl w:val="1"/>
        </w:rPr>
        <w:t>’</w:t>
      </w:r>
      <w:r>
        <w:rPr>
          <w:rFonts w:ascii="Times Roman" w:hAnsi="Times Roman"/>
          <w:rtl w:val="0"/>
          <w:lang w:val="en-US"/>
        </w:rPr>
        <w:t>s UPI and Nepal</w:t>
      </w:r>
      <w:r>
        <w:rPr>
          <w:rFonts w:ascii="Times Roman" w:hAnsi="Times Roman" w:hint="default"/>
          <w:rtl w:val="1"/>
        </w:rPr>
        <w:t>’</w:t>
      </w:r>
      <w:r>
        <w:rPr>
          <w:rFonts w:ascii="Times Roman" w:hAnsi="Times Roman"/>
          <w:rtl w:val="0"/>
          <w:lang w:val="en-US"/>
        </w:rPr>
        <w:t>s systems) and knowledge export (Bangladesh Bank</w:t>
      </w:r>
      <w:r>
        <w:rPr>
          <w:rFonts w:ascii="Times Roman" w:hAnsi="Times Roman" w:hint="default"/>
          <w:rtl w:val="0"/>
        </w:rPr>
        <w:t>–</w:t>
      </w:r>
      <w:r>
        <w:rPr>
          <w:rFonts w:ascii="Times Roman" w:hAnsi="Times Roman"/>
          <w:rtl w:val="0"/>
          <w:lang w:val="en-US"/>
        </w:rPr>
        <w:t>led capacity-building programmes for peer regulators). These outcomes will deliver measurable SDG contributions: 0.8</w:t>
      </w:r>
      <w:r>
        <w:rPr>
          <w:rFonts w:ascii="Times Roman" w:hAnsi="Times Roman" w:hint="default"/>
          <w:rtl w:val="0"/>
        </w:rPr>
        <w:t>–</w:t>
      </w:r>
      <w:r>
        <w:rPr>
          <w:rFonts w:ascii="Times Roman" w:hAnsi="Times Roman"/>
          <w:rtl w:val="0"/>
          <w:lang w:val="en-US"/>
        </w:rPr>
        <w:t>1.5 percentage-point annual GDP per capita growth increment, closure of the gender gap to &lt;5 pp, and substantial poverty reduction via efficient G2P and SME financing.</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Risk Register (Integrated Across All Phases)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High-impact risks include recurrent cyber incidents (probability medium; impact critical </w:t>
      </w:r>
      <w:r>
        <w:rPr>
          <w:rFonts w:ascii="Times Roman" w:hAnsi="Times Roman" w:hint="default"/>
          <w:rtl w:val="0"/>
          <w:lang w:val="en-US"/>
        </w:rPr>
        <w:t xml:space="preserve">— </w:t>
      </w:r>
      <w:r>
        <w:rPr>
          <w:rFonts w:ascii="Times Roman" w:hAnsi="Times Roman"/>
          <w:rtl w:val="0"/>
          <w:lang w:val="en-US"/>
        </w:rPr>
        <w:t>mitigation: AI real-time monitoring + mandatory 72-hour redressal), regulatory capture (probability low</w:t>
      </w:r>
      <w:r>
        <w:rPr>
          <w:rFonts w:ascii="Times Roman" w:hAnsi="Times Roman" w:hint="default"/>
          <w:rtl w:val="0"/>
        </w:rPr>
        <w:t>–</w:t>
      </w:r>
      <w:r>
        <w:rPr>
          <w:rFonts w:ascii="Times Roman" w:hAnsi="Times Roman"/>
          <w:rtl w:val="0"/>
          <w:lang w:val="en-US"/>
        </w:rPr>
        <w:t xml:space="preserve">medium; mitigation: independent audits), macroeconomic shocks (inflation/liquidity </w:t>
      </w:r>
      <w:r>
        <w:rPr>
          <w:rFonts w:ascii="Times Roman" w:hAnsi="Times Roman" w:hint="default"/>
          <w:rtl w:val="0"/>
          <w:lang w:val="en-US"/>
        </w:rPr>
        <w:t xml:space="preserve">— </w:t>
      </w:r>
      <w:r>
        <w:rPr>
          <w:rFonts w:ascii="Times Roman" w:hAnsi="Times Roman"/>
          <w:rtl w:val="0"/>
          <w:lang w:val="en-US"/>
        </w:rPr>
        <w:t>mitigation: counter-cyclical agent liquidity buffers), and digital-divide persistence (probability medium; mitigation: gender- and rural-targeted KPIs with quarterly public dashboards). Contingency protocols (e.g., emergency trust-restoration task forces) are embedded in each phase.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These recommendations, grounded in the validated extended UTAUT2 model and triangulated mixed-methods evidence, provide a clear, phased roadmap for converting Bangladesh</w:t>
      </w:r>
      <w:r>
        <w:rPr>
          <w:rFonts w:ascii="Times Roman" w:hAnsi="Times Roman" w:hint="default"/>
          <w:rtl w:val="1"/>
        </w:rPr>
        <w:t>’</w:t>
      </w:r>
      <w:r>
        <w:rPr>
          <w:rFonts w:ascii="Times Roman" w:hAnsi="Times Roman"/>
          <w:rtl w:val="0"/>
          <w:lang w:val="en-US"/>
        </w:rPr>
        <w:t>s impressive quantitative achievements into a globally exemplary inclusive, resilient, and trustworthy digital financial ecosystem by 2041.</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8.3 Limitations of the Current Research and Mitigations (Sampling, Cross-Sectional Design, Self-Report Bias, Rapidly Evolving Regulatory Landscape)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Every empirical investigation, however rigorously designed, is subject to inherent limitations that must be transparently acknowledged to uphold scientific integrity (Creswell &amp; Creswell, 2018). The present study employed a robust pragmatist mixed-methods sequential explanatory design (Creswell &amp; Plano Clark, 2018) with a target of 600+ customer respondents and 25</w:t>
      </w:r>
      <w:r>
        <w:rPr>
          <w:rFonts w:ascii="Times Roman" w:hAnsi="Times Roman" w:hint="default"/>
          <w:rtl w:val="0"/>
        </w:rPr>
        <w:t>–</w:t>
      </w:r>
      <w:r>
        <w:rPr>
          <w:rFonts w:ascii="Times Roman" w:hAnsi="Times Roman"/>
          <w:rtl w:val="0"/>
          <w:lang w:val="en-US"/>
        </w:rPr>
        <w:t>30 key informants; nevertheless, four principal limitations warrant explicit discussion alongside the mitigation strategies employed.</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First, </w:t>
      </w:r>
      <w:r>
        <w:rPr>
          <w:rFonts w:ascii="Times Roman" w:hAnsi="Times Roman"/>
          <w:b w:val="1"/>
          <w:bCs w:val="1"/>
          <w:rtl w:val="0"/>
          <w:lang w:val="en-US"/>
        </w:rPr>
        <w:t>sampling limitations</w:t>
      </w:r>
      <w:r>
        <w:rPr>
          <w:rFonts w:ascii="Times Roman" w:hAnsi="Times Roman"/>
          <w:rtl w:val="0"/>
          <w:lang w:val="en-US"/>
        </w:rPr>
        <w:t xml:space="preserve"> persist despite the use of stratified multi-stage probability sampling across all eight administrative divisions, power analysis via G*Power (minimum 600 respondents), and post-stratification weighting. Digital financial service users in Bangladesh remain disproportionately urban (54.7% of the final N = 592 sample), male (51.2%), and higher-income, reflecting the documented 55% gender gap and 23.6 percentage-point rural</w:t>
      </w:r>
      <w:r>
        <w:rPr>
          <w:rFonts w:ascii="Times Roman" w:hAnsi="Times Roman" w:hint="default"/>
          <w:rtl w:val="0"/>
        </w:rPr>
        <w:t>–</w:t>
      </w:r>
      <w:r>
        <w:rPr>
          <w:rFonts w:ascii="Times Roman" w:hAnsi="Times Roman"/>
          <w:rtl w:val="0"/>
          <w:lang w:val="en-US"/>
        </w:rPr>
        <w:t>urban divide in active usage (World Bank, 2025; Bangladesh Bank, 2025). This under-represents the most vulnerable segments</w:t>
      </w:r>
      <w:r>
        <w:rPr>
          <w:rFonts w:ascii="Times Roman" w:hAnsi="Times Roman" w:hint="default"/>
          <w:rtl w:val="0"/>
          <w:lang w:val="en-US"/>
        </w:rPr>
        <w:t>—</w:t>
      </w:r>
      <w:r>
        <w:rPr>
          <w:rFonts w:ascii="Times Roman" w:hAnsi="Times Roman"/>
          <w:rtl w:val="0"/>
          <w:lang w:val="en-US"/>
        </w:rPr>
        <w:t>rural women with low digital literacy and the bottom income quintile</w:t>
      </w:r>
      <w:r>
        <w:rPr>
          <w:rFonts w:ascii="Times Roman" w:hAnsi="Times Roman" w:hint="default"/>
          <w:rtl w:val="0"/>
          <w:lang w:val="en-US"/>
        </w:rPr>
        <w:t>—</w:t>
      </w:r>
      <w:r>
        <w:rPr>
          <w:rFonts w:ascii="Times Roman" w:hAnsi="Times Roman"/>
          <w:rtl w:val="0"/>
          <w:lang w:val="en-US"/>
        </w:rPr>
        <w:t xml:space="preserve">who face the greatest barriers. Multi-Group Analysis (MGA) in SmartPLS partially addressed this by revealing significant path differences (e.g., stronger Agent Quality effects for rural users, </w:t>
      </w:r>
      <w:r>
        <w:rPr>
          <w:rFonts w:ascii="Times Roman" w:hAnsi="Times Roman" w:hint="default"/>
          <w:rtl w:val="0"/>
        </w:rPr>
        <w:t xml:space="preserve">β </w:t>
      </w:r>
      <w:r>
        <w:rPr>
          <w:rFonts w:ascii="Times Roman" w:hAnsi="Times Roman"/>
          <w:rtl w:val="0"/>
          <w:lang w:val="en-US"/>
        </w:rPr>
        <w:t>= 0.38 vs. 0.19), yet generalisability beyond the sampled strata requires caution. Mitigation included purposive oversampling of rural females during fieldwork and triangulation with nationally representative benchmarks from the Global Findex Database 2025 and GSMA Mobile Money Indicators.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Second, the </w:t>
      </w:r>
      <w:r>
        <w:rPr>
          <w:rFonts w:ascii="Times Roman" w:hAnsi="Times Roman"/>
          <w:b w:val="1"/>
          <w:bCs w:val="1"/>
          <w:rtl w:val="0"/>
          <w:lang w:val="en-US"/>
        </w:rPr>
        <w:t>cross-sectional design</w:t>
      </w:r>
      <w:r>
        <w:rPr>
          <w:rFonts w:ascii="Times Roman" w:hAnsi="Times Roman"/>
          <w:rtl w:val="0"/>
          <w:lang w:val="en-US"/>
        </w:rPr>
        <w:t xml:space="preserve"> (primary data collected 2025</w:t>
      </w:r>
      <w:r>
        <w:rPr>
          <w:rFonts w:ascii="Times Roman" w:hAnsi="Times Roman" w:hint="default"/>
          <w:rtl w:val="0"/>
        </w:rPr>
        <w:t>–</w:t>
      </w:r>
      <w:r>
        <w:rPr>
          <w:rFonts w:ascii="Times Roman" w:hAnsi="Times Roman"/>
          <w:rtl w:val="0"/>
          <w:lang w:val="en-US"/>
        </w:rPr>
        <w:t>2026) captures a critical post-2024</w:t>
      </w:r>
      <w:r>
        <w:rPr>
          <w:rFonts w:ascii="Times Roman" w:hAnsi="Times Roman" w:hint="default"/>
          <w:rtl w:val="0"/>
        </w:rPr>
        <w:t>–</w:t>
      </w:r>
      <w:r>
        <w:rPr>
          <w:rFonts w:ascii="Times Roman" w:hAnsi="Times Roman"/>
          <w:rtl w:val="0"/>
          <w:lang w:val="en-US"/>
        </w:rPr>
        <w:t>25 fraud-incident snapshot but precludes definitive causal inference or observation of dynamic processes such as trust-restoration trajectories, habit formation, or the long-term effects of the Digital Bank Guidelines Version 2 (2025). As Venkatesh et al. (2012) note, longitudinal designs are essential for validating temporal precedence in UTAUT2 extensions. Mitigation involved embedding scenario planning (Intuitive Logics + Morphological Analysis) and secondary time-series analysis (Bangladesh Bank Payment Systems Statistics 2018</w:t>
      </w:r>
      <w:r>
        <w:rPr>
          <w:rFonts w:ascii="Times Roman" w:hAnsi="Times Roman" w:hint="default"/>
          <w:rtl w:val="0"/>
        </w:rPr>
        <w:t>–</w:t>
      </w:r>
      <w:r>
        <w:rPr>
          <w:rFonts w:ascii="Times Roman" w:hAnsi="Times Roman"/>
          <w:rtl w:val="0"/>
          <w:lang w:val="en-US"/>
        </w:rPr>
        <w:t>2026) to project forward-looking pathways, while explicitly flagging the need for future panel studies in the research agenda.</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Third, </w:t>
      </w:r>
      <w:r>
        <w:rPr>
          <w:rFonts w:ascii="Times Roman" w:hAnsi="Times Roman"/>
          <w:b w:val="1"/>
          <w:bCs w:val="1"/>
          <w:rtl w:val="0"/>
          <w:lang w:val="en-US"/>
        </w:rPr>
        <w:t>self-report bias</w:t>
      </w:r>
      <w:r>
        <w:rPr>
          <w:rFonts w:ascii="Times Roman" w:hAnsi="Times Roman" w:hint="default"/>
          <w:rtl w:val="0"/>
          <w:lang w:val="en-US"/>
        </w:rPr>
        <w:t>—</w:t>
      </w:r>
      <w:r>
        <w:rPr>
          <w:rFonts w:ascii="Times Roman" w:hAnsi="Times Roman"/>
          <w:rtl w:val="0"/>
          <w:lang w:val="en-US"/>
        </w:rPr>
        <w:t>particularly social desirability and recall bias on sensitive topics such as fraud experiences, trust in providers (bKash, Nagad), and perceptions of Bangladesh Bank/BFIU enforcement</w:t>
      </w:r>
      <w:r>
        <w:rPr>
          <w:rFonts w:ascii="Times Roman" w:hAnsi="Times Roman" w:hint="default"/>
          <w:rtl w:val="0"/>
          <w:lang w:val="en-US"/>
        </w:rPr>
        <w:t>—</w:t>
      </w:r>
      <w:r>
        <w:rPr>
          <w:rFonts w:ascii="Times Roman" w:hAnsi="Times Roman"/>
          <w:rtl w:val="0"/>
          <w:lang w:val="en-US"/>
        </w:rPr>
        <w:t>constitutes a recognised threat in technology-adoption research (Podsakoff et al., 2003). Although Harman</w:t>
      </w:r>
      <w:r>
        <w:rPr>
          <w:rFonts w:ascii="Times Roman" w:hAnsi="Times Roman" w:hint="default"/>
          <w:rtl w:val="1"/>
        </w:rPr>
        <w:t>’</w:t>
      </w:r>
      <w:r>
        <w:rPr>
          <w:rFonts w:ascii="Times Roman" w:hAnsi="Times Roman"/>
          <w:rtl w:val="0"/>
          <w:lang w:val="en-US"/>
        </w:rPr>
        <w:t>s single-factor test (first factor explained 27.9% of variance, well below the 50% threshold) and full collinearity assessment (all VIF &lt; 3.3) indicated no serious common-method bias, objective behavioural data (e.g., actual transaction logs) were unavailable due to privacy regulations. Mitigation included cognitive interviewing during the pilot (n = 60), member checking of interview summaries, and triangulation with secondary sources (NPSB transaction aggregates, TI-Bangladesh MFS Governance Report 2025) to cross-validate self-reported usage frequency and fraud incidence.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Fourth, the </w:t>
      </w:r>
      <w:r>
        <w:rPr>
          <w:rFonts w:ascii="Times Roman" w:hAnsi="Times Roman"/>
          <w:b w:val="1"/>
          <w:bCs w:val="1"/>
          <w:rtl w:val="0"/>
          <w:lang w:val="en-US"/>
        </w:rPr>
        <w:t>rapidly evolving regulatory and technological landscape</w:t>
      </w:r>
      <w:r>
        <w:rPr>
          <w:rFonts w:ascii="Times Roman" w:hAnsi="Times Roman"/>
          <w:rtl w:val="0"/>
          <w:lang w:val="en-US"/>
        </w:rPr>
        <w:t xml:space="preserve"> poses a temporal limitation. Key developments</w:t>
      </w:r>
      <w:r>
        <w:rPr>
          <w:rFonts w:ascii="Times Roman" w:hAnsi="Times Roman" w:hint="default"/>
          <w:rtl w:val="0"/>
          <w:lang w:val="en-US"/>
        </w:rPr>
        <w:t>—</w:t>
      </w:r>
      <w:r>
        <w:rPr>
          <w:rFonts w:ascii="Times Roman" w:hAnsi="Times Roman"/>
          <w:rtl w:val="0"/>
          <w:lang w:val="en-US"/>
        </w:rPr>
        <w:t>including full operationalisation of the Inclusive Instant Payment System (IIPS) effective November 2025, potential CBDC pilots, and further amendments to the Digital Security Act</w:t>
      </w:r>
      <w:r>
        <w:rPr>
          <w:rFonts w:ascii="Times Roman" w:hAnsi="Times Roman" w:hint="default"/>
          <w:rtl w:val="0"/>
          <w:lang w:val="en-US"/>
        </w:rPr>
        <w:t>—</w:t>
      </w:r>
      <w:r>
        <w:rPr>
          <w:rFonts w:ascii="Times Roman" w:hAnsi="Times Roman"/>
          <w:rtl w:val="0"/>
          <w:lang w:val="en-US"/>
        </w:rPr>
        <w:t>may render certain findings time-sensitive by thesis completion. The 2010</w:t>
      </w:r>
      <w:r>
        <w:rPr>
          <w:rFonts w:ascii="Times Roman" w:hAnsi="Times Roman" w:hint="default"/>
          <w:rtl w:val="0"/>
        </w:rPr>
        <w:t>–</w:t>
      </w:r>
      <w:r>
        <w:rPr>
          <w:rFonts w:ascii="Times Roman" w:hAnsi="Times Roman"/>
          <w:rtl w:val="0"/>
          <w:lang w:val="en-US"/>
        </w:rPr>
        <w:t xml:space="preserve">2026 secondary-data compilation and explicit scenario modelling to 2041 partially mitigate this, yet the study cannot fully anticipate post-2026 policy shifts or exogenous shocks (e.g., macroeconomic volatility or new cyber threats). Mitigation involved maintaining a living audit trail of regulatory circulars and embedding adaptive scenario triggers (e.g., </w:t>
      </w:r>
      <w:r>
        <w:rPr>
          <w:rFonts w:ascii="Times Roman" w:hAnsi="Times Roman" w:hint="default"/>
          <w:rtl w:val="1"/>
          <w:lang w:val="ar-SA" w:bidi="ar-SA"/>
        </w:rPr>
        <w:t>“</w:t>
      </w:r>
      <w:r>
        <w:rPr>
          <w:rFonts w:ascii="Times Roman" w:hAnsi="Times Roman"/>
          <w:rtl w:val="0"/>
          <w:lang w:val="en-US"/>
        </w:rPr>
        <w:t>if enforcement capacity improves by 30%, shift probability toward Optimistic scenario</w:t>
      </w:r>
      <w:r>
        <w:rPr>
          <w:rFonts w:ascii="Times Roman" w:hAnsi="Times Roman" w:hint="default"/>
          <w:rtl w:val="0"/>
        </w:rPr>
        <w:t>”</w:t>
      </w:r>
      <w:r>
        <w:rPr>
          <w:rFonts w:ascii="Times Roman" w:hAnsi="Times Roman"/>
          <w:rtl w:val="0"/>
        </w:rPr>
        <w:t>).</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Collectively, these limitations are systematically addressed through methodological triangulation, reflexive thematic analysis, robustness checks (alternative SEM specifications, Gaussian Copula endogeneity tests), and explicit future-research recommendations. The study</w:t>
      </w:r>
      <w:r>
        <w:rPr>
          <w:rFonts w:ascii="Times Roman" w:hAnsi="Times Roman" w:hint="default"/>
          <w:rtl w:val="1"/>
        </w:rPr>
        <w:t>’</w:t>
      </w:r>
      <w:r>
        <w:rPr>
          <w:rFonts w:ascii="Times Roman" w:hAnsi="Times Roman"/>
          <w:rtl w:val="0"/>
          <w:lang w:val="en-US"/>
        </w:rPr>
        <w:t>s contributions therefore reside in its depth of contextual insight and policy relevance rather than in universal generalisability.</w:t>
      </w:r>
      <w:r>
        <w:rPr>
          <w:rFonts w:ascii="Times Roman" w:cs="Times Roman" w:hAnsi="Times Roman" w:eastAsia="Times Roman"/>
        </w:rPr>
        <w:drawing xmlns:a="http://schemas.openxmlformats.org/drawingml/2006/main">
          <wp:anchor distT="152400" distB="152400" distL="152400" distR="152400" simplePos="0" relativeHeight="251687936" behindDoc="0" locked="0" layoutInCell="1" allowOverlap="1">
            <wp:simplePos x="0" y="0"/>
            <wp:positionH relativeFrom="margin">
              <wp:posOffset>273425</wp:posOffset>
            </wp:positionH>
            <wp:positionV relativeFrom="line">
              <wp:posOffset>186534</wp:posOffset>
            </wp:positionV>
            <wp:extent cx="5560506" cy="3347610"/>
            <wp:effectExtent l="0" t="0" r="0" b="0"/>
            <wp:wrapTopAndBottom distT="152400" distB="152400"/>
            <wp:docPr id="1073741872"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72" name="pasted-image.tiff" descr="pasted-image.tiff"/>
                    <pic:cNvPicPr>
                      <a:picLocks noChangeAspect="1"/>
                    </pic:cNvPicPr>
                  </pic:nvPicPr>
                  <pic:blipFill>
                    <a:blip r:embed="rId41">
                      <a:extLst/>
                    </a:blip>
                    <a:stretch>
                      <a:fillRect/>
                    </a:stretch>
                  </pic:blipFill>
                  <pic:spPr>
                    <a:xfrm>
                      <a:off x="0" y="0"/>
                      <a:ext cx="5560506" cy="3347610"/>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8.3:</w:t>
      </w:r>
      <w:r>
        <w:rPr>
          <w:rFonts w:ascii="Times Roman" w:hAnsi="Times Roman"/>
          <w:rtl w:val="0"/>
        </w:rPr>
        <w:t xml:space="preserve"> </w:t>
      </w:r>
      <w:r>
        <w:rPr>
          <w:rFonts w:ascii="Times Roman" w:hAnsi="Times Roman"/>
          <w:i w:val="1"/>
          <w:iCs w:val="1"/>
          <w:rtl w:val="0"/>
          <w:lang w:val="en-US"/>
        </w:rPr>
        <w:t>Future Research Agenda (Radial Mind Map Flowchart)</w:t>
      </w:r>
      <w:r>
        <w:rPr>
          <w:rFonts w:ascii="Times Roman" w:hAnsi="Times Roman"/>
          <w:i w:val="1"/>
          <w:iCs w:val="1"/>
          <w:rtl w:val="0"/>
          <w:lang w:val="en-US"/>
        </w:rPr>
        <w:t>.</w:t>
      </w:r>
      <w:r>
        <w:rPr>
          <w:rFonts w:ascii="Times Roman" w:hAnsi="Times Roman"/>
          <w:b w:val="1"/>
          <w:bCs w:val="1"/>
          <w:rtl w:val="0"/>
          <w:lang w:val="en-US"/>
        </w:rPr>
        <w:t xml:space="preserve"> </w:t>
      </w:r>
      <w:r>
        <w:rPr>
          <w:rFonts w:ascii="Times Roman" w:hAnsi="Times Roman"/>
          <w:b w:val="1"/>
          <w:bCs w:val="1"/>
          <w:rtl w:val="0"/>
        </w:rPr>
        <w:t>World Bank. (2025).</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Figure Description:</w:t>
      </w:r>
    </w:p>
    <w:p>
      <w:pPr>
        <w:pStyle w:val="Default"/>
        <w:suppressAutoHyphens w:val="1"/>
        <w:spacing w:before="0" w:after="240" w:line="240" w:lineRule="auto"/>
        <w:jc w:val="both"/>
        <w:rPr>
          <w:rFonts w:ascii="Times Roman" w:cs="Times Roman" w:hAnsi="Times Roman" w:eastAsia="Times Roman"/>
        </w:rPr>
      </w:pPr>
      <w:r>
        <w:rPr>
          <w:rFonts w:ascii="Times Roman" w:hAnsi="Times Roman"/>
          <w:b w:val="1"/>
          <w:bCs w:val="1"/>
          <w:rtl w:val="0"/>
          <w:lang w:val="en-US"/>
        </w:rPr>
        <w:t>Figure 8.3: Proposed Methodological and Sectoral Research Agenda.</w:t>
      </w:r>
      <w:r>
        <w:rPr>
          <w:rFonts w:ascii="Times Roman" w:hAnsi="Times Roman"/>
          <w:rtl w:val="0"/>
          <w:lang w:val="en-US"/>
        </w:rPr>
        <w:t xml:space="preserve"> This network diagram visualizes the six priority research streams radiating from the core integrated UTAUT2 post-crisis framework validated in this thesis, mapping out necessary pathways for longitudinal, experimental, and cross-national scholarship.</w:t>
      </w: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8.4 Agenda for Future Research (Longitudinal Panel Studies, Experimental/Quasi-Experimental Designs, Sectoral Deep Dives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Agriculture/Health/MSME Fintech, Climate/Health Fintech Nexus, CBDC Adoption &amp; Impact Studies, Comparative South Asia Panel)</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findings of this thesis open multiple avenues for rigorous, policy-relevant scholarship. A coherent future-research agenda, organised around six priority streams, is proposed to extend the validated integrated UTAUT2 + Institutional + Digital Divide framework beyond the 2025</w:t>
      </w:r>
      <w:r>
        <w:rPr>
          <w:rFonts w:ascii="Times Roman" w:hAnsi="Times Roman" w:hint="default"/>
          <w:rtl w:val="0"/>
        </w:rPr>
        <w:t>–</w:t>
      </w:r>
      <w:r>
        <w:rPr>
          <w:rFonts w:ascii="Times Roman" w:hAnsi="Times Roman"/>
          <w:rtl w:val="0"/>
          <w:lang w:val="en-US"/>
        </w:rPr>
        <w:t>2026 cross-sectional window.</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it-IT"/>
        </w:rPr>
        <w:t>1. Longitudinal Panel Studies (2027</w:t>
      </w:r>
      <w:r>
        <w:rPr>
          <w:rFonts w:ascii="Times Roman" w:hAnsi="Times Roman" w:hint="default"/>
          <w:b w:val="1"/>
          <w:bCs w:val="1"/>
          <w:rtl w:val="0"/>
        </w:rPr>
        <w:t>–</w:t>
      </w:r>
      <w:r>
        <w:rPr>
          <w:rFonts w:ascii="Times Roman" w:hAnsi="Times Roman"/>
          <w:b w:val="1"/>
          <w:bCs w:val="1"/>
          <w:rtl w:val="0"/>
        </w:rPr>
        <w:t>2041).</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nationally representative panel of 1,500</w:t>
      </w:r>
      <w:r>
        <w:rPr>
          <w:rFonts w:ascii="Times Roman" w:hAnsi="Times Roman" w:hint="default"/>
          <w:rtl w:val="0"/>
        </w:rPr>
        <w:t>–</w:t>
      </w:r>
      <w:r>
        <w:rPr>
          <w:rFonts w:ascii="Times Roman" w:hAnsi="Times Roman"/>
          <w:rtl w:val="0"/>
          <w:lang w:val="en-US"/>
        </w:rPr>
        <w:t>2,000 households, surveyed annually or biennially, would enable tracking of Trust Restoration trajectories, habit formation, and the causal impact of regulatory interventions (e.g., Digital Trust Score rollout). Fixed-effects and random-effects models, augmented with difference-in-differences around policy shocks, would strengthen causal claims currently limited by the cross-sectional design. Such panels could be anchored in the Bangladesh Digital Finance Research Consortium proposed in Chapter 7.</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2. Experimental and Quasi-Experimental Designs.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 xml:space="preserve">Randomised controlled trials (RCTs) or regression-discontinuity designs are recommended to evaluate specific interventions identified as high-leverage in the IPA (e.g., mandatory agent certification vs. status quo; gender-sensitive app interfaces vs. standard design). Field experiments embedded in bKash/Nagad platforms could test the moderating effect of Governance Perception on the Trust Restoration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Behavioural Intention path, directly extending H8</w:t>
      </w:r>
      <w:r>
        <w:rPr>
          <w:rFonts w:ascii="Times Roman" w:hAnsi="Times Roman" w:hint="default"/>
          <w:rtl w:val="0"/>
        </w:rPr>
        <w:t>–</w:t>
      </w:r>
      <w:r>
        <w:rPr>
          <w:rFonts w:ascii="Times Roman" w:hAnsi="Times Roman"/>
          <w:rtl w:val="0"/>
        </w:rPr>
        <w:t>H9.</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pt-PT"/>
        </w:rPr>
        <w:t>3. Sectoral Deep Dives.</w:t>
      </w:r>
    </w:p>
    <w:p>
      <w:pPr>
        <w:pStyle w:val="Default"/>
        <w:numPr>
          <w:ilvl w:val="0"/>
          <w:numId w:val="3"/>
        </w:numPr>
        <w:suppressAutoHyphens w:val="1"/>
        <w:spacing w:before="0" w:line="240" w:lineRule="auto"/>
        <w:jc w:val="both"/>
        <w:rPr>
          <w:rFonts w:ascii="Times Roman" w:hAnsi="Times Roman"/>
          <w:lang w:val="pt-PT"/>
        </w:rPr>
      </w:pPr>
      <w:r>
        <w:rPr>
          <w:rFonts w:ascii="Times Roman" w:hAnsi="Times Roman"/>
          <w:b w:val="1"/>
          <w:bCs w:val="1"/>
          <w:rtl w:val="0"/>
          <w:lang w:val="pt-PT"/>
        </w:rPr>
        <w:t>Agriculture Fintech</w:t>
      </w:r>
      <w:r>
        <w:rPr>
          <w:rFonts w:ascii="Times Roman" w:hAnsi="Times Roman"/>
          <w:rtl w:val="0"/>
          <w:lang w:val="en-US"/>
        </w:rPr>
        <w:t>: Investigate adoption of digital crop-insurance and input-credit products linked to MFS, addressing climate-vulnerable smallholders (building on Rogers</w:t>
      </w:r>
      <w:r>
        <w:rPr>
          <w:rFonts w:ascii="Times Roman" w:hAnsi="Times Roman" w:hint="default"/>
          <w:rtl w:val="1"/>
        </w:rPr>
        <w:t xml:space="preserve">’ </w:t>
      </w:r>
      <w:r>
        <w:rPr>
          <w:rFonts w:ascii="Times Roman" w:hAnsi="Times Roman"/>
          <w:rtl w:val="0"/>
          <w:lang w:val="en-US"/>
        </w:rPr>
        <w:t>Diffusion of Innovations attributes).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Health Fintech</w:t>
      </w:r>
      <w:r>
        <w:rPr>
          <w:rFonts w:ascii="Times Roman" w:hAnsi="Times Roman"/>
          <w:rtl w:val="0"/>
          <w:lang w:val="en-US"/>
        </w:rPr>
        <w:t>: Examine digital payments for telemedicine, health savings wallets, and insurance claims, with particular attention to gender and rural barriers.</w:t>
      </w:r>
    </w:p>
    <w:p>
      <w:pPr>
        <w:pStyle w:val="Default"/>
        <w:numPr>
          <w:ilvl w:val="0"/>
          <w:numId w:val="3"/>
        </w:numPr>
        <w:suppressAutoHyphens w:val="1"/>
        <w:spacing w:before="0" w:line="240" w:lineRule="auto"/>
        <w:jc w:val="both"/>
        <w:rPr>
          <w:rFonts w:ascii="Times Roman" w:hAnsi="Times Roman"/>
          <w:lang w:val="pt-PT"/>
        </w:rPr>
      </w:pPr>
      <w:r>
        <w:rPr>
          <w:rFonts w:ascii="Times Roman" w:hAnsi="Times Roman"/>
          <w:b w:val="1"/>
          <w:bCs w:val="1"/>
          <w:rtl w:val="0"/>
          <w:lang w:val="pt-PT"/>
        </w:rPr>
        <w:t>MSME Fintech</w:t>
      </w:r>
      <w:r>
        <w:rPr>
          <w:rFonts w:ascii="Times Roman" w:hAnsi="Times Roman"/>
          <w:rtl w:val="0"/>
          <w:lang w:val="en-US"/>
        </w:rPr>
        <w:t>: Analyse AI-driven credit scoring and embedded finance for micro-enterprises, quantifying impacts on formalisation and productivity (aligned with SDG 8).</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4. Climate/Health Fintech Nexus.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da-DK"/>
        </w:rPr>
        <w:t>Bangladesh</w:t>
      </w:r>
      <w:r>
        <w:rPr>
          <w:rFonts w:ascii="Times Roman" w:hAnsi="Times Roman" w:hint="default"/>
          <w:rtl w:val="1"/>
        </w:rPr>
        <w:t>’</w:t>
      </w:r>
      <w:r>
        <w:rPr>
          <w:rFonts w:ascii="Times Roman" w:hAnsi="Times Roman"/>
          <w:rtl w:val="0"/>
          <w:lang w:val="en-US"/>
        </w:rPr>
        <w:t>s dual exposure to climate shocks and health-system gaps creates a unique research opportunity. Studies should explore blockchain-tracked green micro-credit, parametric weather insurance via MFS, and integrated climate-health digital platforms, testing whether these innovations strengthen Performance Expectancy and reduce Post-Fraud Risk Perception among climate-affected populations.</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5. CBDC Adoption &amp; Impact Studies.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As Bangladesh Bank advances wholesale and limited retail CBDC pilots (projected 2028</w:t>
      </w:r>
      <w:r>
        <w:rPr>
          <w:rFonts w:ascii="Times Roman" w:hAnsi="Times Roman" w:hint="default"/>
          <w:rtl w:val="0"/>
        </w:rPr>
        <w:t>–</w:t>
      </w:r>
      <w:r>
        <w:rPr>
          <w:rFonts w:ascii="Times Roman" w:hAnsi="Times Roman"/>
          <w:rtl w:val="0"/>
          <w:lang w:val="en-US"/>
        </w:rPr>
        <w:t>2032), dedicated research is required on design features (anonymity, interest-bearing capacity, interoperability with MFS), user acceptance (extending the present UTAUT2 model with CBDC-specific constructs such as perceived sovereignty and privacy), and macroeconomic impacts (monetary policy transmission, financial stability). Quasi-experimental evaluation of pilot districts versus controls would generate timely evidence for the 2032 retail rollout.</w:t>
      </w:r>
    </w:p>
    <w:p>
      <w:pPr>
        <w:pStyle w:val="Default"/>
        <w:suppressAutoHyphens w:val="1"/>
        <w:spacing w:before="0" w:after="240" w:line="240" w:lineRule="auto"/>
        <w:jc w:val="both"/>
        <w:rPr>
          <w:rFonts w:ascii="Times Roman" w:cs="Times Roman" w:hAnsi="Times Roman" w:eastAsia="Times Roman"/>
          <w:b w:val="0"/>
          <w:bCs w:val="0"/>
        </w:rPr>
      </w:pPr>
      <w:r>
        <w:rPr>
          <w:rFonts w:ascii="Times Roman" w:hAnsi="Times Roman"/>
          <w:b w:val="1"/>
          <w:bCs w:val="1"/>
          <w:rtl w:val="0"/>
          <w:lang w:val="en-US"/>
        </w:rPr>
        <w:t>6. Comparative South Asia Panel.</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 multi-country panel (Bangladesh, India, Pakistan, Nepal, Sri Lanka) employing harmonised instruments would permit rigorous cross-national analysis of UTAUT2 boundary conditions, the role of interoperability architectures (UPI vs. NPSB/IDTP), and the interaction of institutional pillars with digital-divide variables. Such research would position Bangladesh as a regional knowledge hub and directly inform South Asian fintech harmonisation under BIMSTEC and SAARC frameworks.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All future studies should adhere to open-science principles (pre-registration, anonymised data sharing) and integrate mixed-methods designs to maintain the explanatory depth achieved here. Funding partnerships with the Gates Foundation, World Bank, and Bangladesh Bank</w:t>
      </w:r>
      <w:r>
        <w:rPr>
          <w:rFonts w:ascii="Times Roman" w:hAnsi="Times Roman" w:hint="default"/>
          <w:rtl w:val="1"/>
        </w:rPr>
        <w:t>’</w:t>
      </w:r>
      <w:r>
        <w:rPr>
          <w:rFonts w:ascii="Times Roman" w:hAnsi="Times Roman"/>
          <w:rtl w:val="0"/>
          <w:lang w:val="en-US"/>
        </w:rPr>
        <w:t>s Research Department are strongly encouraged.</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8.5 Alignment with National Visions (Smart Bangladesh 2041) and Sustainable Development Goals (SDG 8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 xml:space="preserve">Decent Work &amp; Economic Growth, SDG 9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 xml:space="preserve">Industry &amp; Innovation, SDG 10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Reduced Inequalities)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The empirical findings and recommendations of this thesis are explicitly calibrated to Bangladesh</w:t>
      </w:r>
      <w:r>
        <w:rPr>
          <w:rFonts w:ascii="Times Roman" w:hAnsi="Times Roman" w:hint="default"/>
          <w:rtl w:val="1"/>
        </w:rPr>
        <w:t>’</w:t>
      </w:r>
      <w:r>
        <w:rPr>
          <w:rFonts w:ascii="Times Roman" w:hAnsi="Times Roman"/>
          <w:rtl w:val="0"/>
          <w:lang w:val="en-US"/>
        </w:rPr>
        <w:t>s highest-level strategic frameworks. The Smart Bangladesh Vision 2041 (Government of the People</w:t>
      </w:r>
      <w:r>
        <w:rPr>
          <w:rFonts w:ascii="Times Roman" w:hAnsi="Times Roman" w:hint="default"/>
          <w:rtl w:val="1"/>
        </w:rPr>
        <w:t>’</w:t>
      </w:r>
      <w:r>
        <w:rPr>
          <w:rFonts w:ascii="Times Roman" w:hAnsi="Times Roman"/>
          <w:rtl w:val="0"/>
          <w:lang w:val="en-US"/>
        </w:rPr>
        <w:t>s Republic of Bangladesh, 2021) envisions a knowledge-based, innovation-driven economy with near-universal digital access and a cash-light financial system by 2041. The present study directly supports three of its four pillars</w:t>
      </w:r>
      <w:r>
        <w:rPr>
          <w:rFonts w:ascii="Times Roman" w:hAnsi="Times Roman" w:hint="default"/>
          <w:rtl w:val="0"/>
          <w:lang w:val="en-US"/>
        </w:rPr>
        <w:t>—</w:t>
      </w:r>
      <w:r>
        <w:rPr>
          <w:rFonts w:ascii="Times Roman" w:hAnsi="Times Roman"/>
          <w:rtl w:val="0"/>
          <w:lang w:val="en-US"/>
        </w:rPr>
        <w:t>Smart Economy, Smart Government, and Smart Society</w:t>
      </w:r>
      <w:r>
        <w:rPr>
          <w:rFonts w:ascii="Times Roman" w:hAnsi="Times Roman" w:hint="default"/>
          <w:rtl w:val="0"/>
          <w:lang w:val="en-US"/>
        </w:rPr>
        <w:t>—</w:t>
      </w:r>
      <w:r>
        <w:rPr>
          <w:rFonts w:ascii="Times Roman" w:hAnsi="Times Roman"/>
          <w:rtl w:val="0"/>
          <w:lang w:val="en-US"/>
        </w:rPr>
        <w:t>by demonstrating that Trust Restoration (</w:t>
      </w:r>
      <w:r>
        <w:rPr>
          <w:rFonts w:ascii="Times Roman" w:hAnsi="Times Roman" w:hint="default"/>
          <w:rtl w:val="0"/>
        </w:rPr>
        <w:t xml:space="preserve">β </w:t>
      </w:r>
      <w:r>
        <w:rPr>
          <w:rFonts w:ascii="Times Roman" w:hAnsi="Times Roman"/>
          <w:rtl w:val="0"/>
          <w:lang w:val="en-US"/>
        </w:rPr>
        <w:t>= 0.37) and Performance Expectancy (</w:t>
      </w:r>
      <w:r>
        <w:rPr>
          <w:rFonts w:ascii="Times Roman" w:hAnsi="Times Roman" w:hint="default"/>
          <w:rtl w:val="0"/>
        </w:rPr>
        <w:t xml:space="preserve">β </w:t>
      </w:r>
      <w:r>
        <w:rPr>
          <w:rFonts w:ascii="Times Roman" w:hAnsi="Times Roman"/>
          <w:rtl w:val="0"/>
          <w:lang w:val="en-US"/>
        </w:rPr>
        <w:t>= 0.41) are the principal levers for converting 239.3 million registered accounts into active, inclusive usage. The projected shift from the current Base scenario (42.3% active usage) toward the Optimistic scenario (65%+ active usage, cash &lt;20% of retail value by 2041) aligns precisely with the Cashless Economy Roadmap 2030 target of reducing cash transactions to below 25%.</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With respect to the Sustainable Development Goals, the study makes measurable contributions across three targets: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SDG 8 (Decent Work and Economic Growth)</w:t>
      </w:r>
      <w:r>
        <w:rPr>
          <w:rFonts w:ascii="Times Roman" w:hAnsi="Times Roman"/>
          <w:rtl w:val="0"/>
          <w:lang w:val="en-US"/>
        </w:rPr>
        <w:t>: Digital finance expansion is projected to generate 250,000</w:t>
      </w:r>
      <w:r>
        <w:rPr>
          <w:rFonts w:ascii="Times Roman" w:hAnsi="Times Roman" w:hint="default"/>
          <w:rtl w:val="0"/>
        </w:rPr>
        <w:t>–</w:t>
      </w:r>
      <w:r>
        <w:rPr>
          <w:rFonts w:ascii="Times Roman" w:hAnsi="Times Roman"/>
          <w:rtl w:val="0"/>
          <w:lang w:val="en-US"/>
        </w:rPr>
        <w:t>350,000 direct and indirect jobs in the fintech ecosystem by 2030 (agent networks, AI credit platforms, cybersecurity services). SME digital lending (target BDT 35,000+ crore by 2030) will enhance productivity and formalisation, directly supporting Target 8.3 (promote development-oriented policies that support productive activities). The stronger rural Agent Quality effect (</w:t>
      </w:r>
      <w:r>
        <w:rPr>
          <w:rFonts w:ascii="Times Roman" w:hAnsi="Times Roman" w:hint="default"/>
          <w:rtl w:val="0"/>
        </w:rPr>
        <w:t xml:space="preserve">β </w:t>
      </w:r>
      <w:r>
        <w:rPr>
          <w:rFonts w:ascii="Times Roman" w:hAnsi="Times Roman"/>
          <w:rtl w:val="0"/>
          <w:lang w:val="en-US"/>
        </w:rPr>
        <w:t>= 0.38) underscores the employment-generation potential of last-mile infrastructure upgrades.</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SDG 9 (Industry, Innovation and Infrastructure)</w:t>
      </w:r>
      <w:r>
        <w:rPr>
          <w:rFonts w:ascii="Times Roman" w:hAnsi="Times Roman"/>
          <w:rtl w:val="0"/>
          <w:lang w:val="en-US"/>
        </w:rPr>
        <w:t>: The validated extensions to UTAUT2</w:t>
      </w:r>
      <w:r>
        <w:rPr>
          <w:rFonts w:ascii="Times Roman" w:hAnsi="Times Roman" w:hint="default"/>
          <w:rtl w:val="0"/>
          <w:lang w:val="en-US"/>
        </w:rPr>
        <w:t>—</w:t>
      </w:r>
      <w:r>
        <w:rPr>
          <w:rFonts w:ascii="Times Roman" w:hAnsi="Times Roman"/>
          <w:rtl w:val="0"/>
          <w:lang w:val="en-US"/>
        </w:rPr>
        <w:t>particularly the integration of Scott</w:t>
      </w:r>
      <w:r>
        <w:rPr>
          <w:rFonts w:ascii="Times Roman" w:hAnsi="Times Roman" w:hint="default"/>
          <w:rtl w:val="1"/>
        </w:rPr>
        <w:t>’</w:t>
      </w:r>
      <w:r>
        <w:rPr>
          <w:rFonts w:ascii="Times Roman" w:hAnsi="Times Roman"/>
          <w:rtl w:val="0"/>
          <w:lang w:val="en-US"/>
        </w:rPr>
        <w:t>s (2008) regulative, normative, and cognitive pillars</w:t>
      </w:r>
      <w:r>
        <w:rPr>
          <w:rFonts w:ascii="Times Roman" w:hAnsi="Times Roman" w:hint="default"/>
          <w:rtl w:val="0"/>
          <w:lang w:val="en-US"/>
        </w:rPr>
        <w:t>—</w:t>
      </w:r>
      <w:r>
        <w:rPr>
          <w:rFonts w:ascii="Times Roman" w:hAnsi="Times Roman"/>
          <w:rtl w:val="0"/>
          <w:lang w:val="en-US"/>
        </w:rPr>
        <w:t>provide a replicable theoretical template for innovation policy. Open finance APIs, AI/biometric integration, and CBDC pilots represent frontier infrastructure investments that will position Bangladesh as a South Asian fintech leader. The finding that Governance Perception moderates trust pathways (</w:t>
      </w:r>
      <w:r>
        <w:rPr>
          <w:rFonts w:ascii="Times Roman" w:hAnsi="Times Roman" w:hint="default"/>
          <w:rtl w:val="0"/>
        </w:rPr>
        <w:t xml:space="preserve">β </w:t>
      </w:r>
      <w:r>
        <w:rPr>
          <w:rFonts w:ascii="Times Roman" w:hAnsi="Times Roman"/>
          <w:rtl w:val="0"/>
          <w:lang w:val="en-US"/>
        </w:rPr>
        <w:t>= 0.14) highlights the necessity of regulatory quality (Target 9.1) for technological upgrading.</w:t>
      </w:r>
    </w:p>
    <w:p>
      <w:pPr>
        <w:pStyle w:val="Default"/>
        <w:numPr>
          <w:ilvl w:val="0"/>
          <w:numId w:val="3"/>
        </w:numPr>
        <w:suppressAutoHyphens w:val="1"/>
        <w:spacing w:before="0" w:line="240" w:lineRule="auto"/>
        <w:jc w:val="both"/>
        <w:rPr>
          <w:rFonts w:ascii="Times Roman" w:hAnsi="Times Roman"/>
          <w:lang w:val="en-US"/>
        </w:rPr>
      </w:pPr>
      <w:r>
        <w:rPr>
          <w:rFonts w:ascii="Times Roman" w:hAnsi="Times Roman"/>
          <w:b w:val="1"/>
          <w:bCs w:val="1"/>
          <w:rtl w:val="0"/>
          <w:lang w:val="en-US"/>
        </w:rPr>
        <w:t>SDG 10 (Reduced Inequalities)</w:t>
      </w:r>
      <w:r>
        <w:rPr>
          <w:rFonts w:ascii="Times Roman" w:hAnsi="Times Roman"/>
          <w:rtl w:val="0"/>
          <w:lang w:val="en-US"/>
        </w:rPr>
        <w:t>: The MGA results quantify the precise mechanisms through which digital finance can narrow divides: closing the 11.8 percentage-point gender gap and 23.6 percentage-point rural</w:t>
      </w:r>
      <w:r>
        <w:rPr>
          <w:rFonts w:ascii="Times Roman" w:hAnsi="Times Roman" w:hint="default"/>
          <w:rtl w:val="0"/>
        </w:rPr>
        <w:t>–</w:t>
      </w:r>
      <w:r>
        <w:rPr>
          <w:rFonts w:ascii="Times Roman" w:hAnsi="Times Roman"/>
          <w:rtl w:val="0"/>
          <w:lang w:val="en-US"/>
        </w:rPr>
        <w:t>urban gap requires targeted interventions on Agent Quality for rural users and Post-Fraud Risk mitigation for women. Achievement of the Optimistic scenario would reduce these gaps to &lt;7 pp and &lt;10 pp respectively by 2030, directly advancing Target 10.2 (empower and promote the social, economic and political inclusion of all). Climate-resilient fintech products further address intersectional vulnerabilities faced by rural women in climate-affected districts.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Collectively, the thesis demonstrates that e-banking, when governed through evidence-based, trust-centric policies, functions as a powerful accelerator for Vision 2041 and the 2030 Agenda, converting impressive quantitative scale into equitable, sustainable development outcomes</w:t>
      </w:r>
      <w:r>
        <w:rPr>
          <w:rFonts w:ascii="Times Roman" w:hAnsi="Times Roman"/>
          <w:rtl w:val="0"/>
          <w:lang w:val="en-US"/>
        </w:rPr>
        <w:t>.</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rPr>
      </w:pPr>
      <w:r>
        <w:rPr>
          <w:rFonts w:ascii="Times Roman" w:cs="Times Roman" w:hAnsi="Times Roman" w:eastAsia="Times Roman"/>
        </w:rPr>
        <w:drawing xmlns:a="http://schemas.openxmlformats.org/drawingml/2006/main">
          <wp:anchor distT="152400" distB="152400" distL="152400" distR="152400" simplePos="0" relativeHeight="251686912" behindDoc="0" locked="0" layoutInCell="1" allowOverlap="1">
            <wp:simplePos x="0" y="0"/>
            <wp:positionH relativeFrom="margin">
              <wp:posOffset>221224</wp:posOffset>
            </wp:positionH>
            <wp:positionV relativeFrom="page">
              <wp:posOffset>980130</wp:posOffset>
            </wp:positionV>
            <wp:extent cx="5664907" cy="2654636"/>
            <wp:effectExtent l="0" t="0" r="0" b="0"/>
            <wp:wrapThrough wrapText="bothSides" distL="152400" distR="152400">
              <wp:wrapPolygon edited="1">
                <wp:start x="0" y="0"/>
                <wp:lineTo x="21600" y="0"/>
                <wp:lineTo x="21600" y="21606"/>
                <wp:lineTo x="0" y="21606"/>
                <wp:lineTo x="0" y="0"/>
              </wp:wrapPolygon>
            </wp:wrapThrough>
            <wp:docPr id="1073741873"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73" name="pasted-image.tiff" descr="pasted-image.tiff"/>
                    <pic:cNvPicPr>
                      <a:picLocks noChangeAspect="1"/>
                    </pic:cNvPicPr>
                  </pic:nvPicPr>
                  <pic:blipFill>
                    <a:blip r:embed="rId42">
                      <a:extLst/>
                    </a:blip>
                    <a:stretch>
                      <a:fillRect/>
                    </a:stretch>
                  </pic:blipFill>
                  <pic:spPr>
                    <a:xfrm>
                      <a:off x="0" y="0"/>
                      <a:ext cx="5664907" cy="2654636"/>
                    </a:xfrm>
                    <a:prstGeom prst="rect">
                      <a:avLst/>
                    </a:prstGeom>
                    <a:ln w="12700" cap="flat">
                      <a:noFill/>
                      <a:miter lim="400000"/>
                    </a:ln>
                    <a:effectLst/>
                  </pic:spPr>
                </pic:pic>
              </a:graphicData>
            </a:graphic>
          </wp:anchor>
        </w:drawing>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line="240" w:lineRule="auto"/>
        <w:jc w:val="center"/>
        <w:rPr>
          <w:rFonts w:ascii="Times Roman" w:cs="Times Roman" w:hAnsi="Times Roman" w:eastAsia="Times Roman"/>
          <w:b w:val="1"/>
          <w:bCs w:val="1"/>
        </w:rPr>
      </w:pPr>
      <w:r>
        <w:rPr>
          <w:rFonts w:ascii="Times Roman" w:hAnsi="Times Roman"/>
          <w:b w:val="1"/>
          <w:bCs w:val="1"/>
          <w:rtl w:val="0"/>
          <w:lang w:val="it-IT"/>
        </w:rPr>
        <w:t>Figure 8.2:</w:t>
      </w:r>
      <w:r>
        <w:rPr>
          <w:rFonts w:ascii="Times Roman" w:hAnsi="Times Roman"/>
          <w:rtl w:val="0"/>
        </w:rPr>
        <w:t xml:space="preserve"> </w:t>
      </w:r>
      <w:r>
        <w:rPr>
          <w:rFonts w:ascii="Times Roman" w:hAnsi="Times Roman"/>
          <w:i w:val="1"/>
          <w:iCs w:val="1"/>
          <w:rtl w:val="0"/>
          <w:lang w:val="en-US"/>
        </w:rPr>
        <w:t>Target Gap Closures for SDGs (Advanced Barbell Chart)</w:t>
      </w:r>
      <w:r>
        <w:rPr>
          <w:rFonts w:ascii="Times Roman" w:hAnsi="Times Roman"/>
          <w:i w:val="1"/>
          <w:iCs w:val="1"/>
          <w:rtl w:val="0"/>
          <w:lang w:val="en-US"/>
        </w:rPr>
        <w:t xml:space="preserve">. </w:t>
      </w:r>
      <w:r>
        <w:rPr>
          <w:rFonts w:ascii="Times Roman" w:hAnsi="Times Roman"/>
          <w:b w:val="1"/>
          <w:bCs w:val="1"/>
          <w:rtl w:val="0"/>
          <w:lang w:val="en-US"/>
        </w:rPr>
        <w:t>United Nations. (2015).</w:t>
      </w:r>
    </w:p>
    <w:p>
      <w:pPr>
        <w:pStyle w:val="Default"/>
        <w:suppressAutoHyphens w:val="1"/>
        <w:spacing w:before="0" w:line="240" w:lineRule="auto"/>
        <w:jc w:val="center"/>
        <w:rPr>
          <w:rFonts w:ascii="Times Roman" w:cs="Times Roman" w:hAnsi="Times Roman" w:eastAsia="Times Roman"/>
          <w:i w:val="1"/>
          <w:iCs w:val="1"/>
        </w:rPr>
      </w:pPr>
    </w:p>
    <w:p>
      <w:pPr>
        <w:pStyle w:val="Default"/>
        <w:suppressAutoHyphens w:val="1"/>
        <w:spacing w:before="0" w:after="240" w:line="240" w:lineRule="auto"/>
        <w:jc w:val="both"/>
        <w:rPr>
          <w:rFonts w:ascii="Times Roman" w:cs="Times Roman" w:hAnsi="Times Roman" w:eastAsia="Times Roman"/>
          <w:b w:val="0"/>
          <w:bCs w:val="0"/>
          <w:i w:val="1"/>
          <w:iCs w:val="1"/>
        </w:rPr>
      </w:pPr>
      <w:r>
        <w:rPr>
          <w:rFonts w:ascii="Times Roman" w:hAnsi="Times Roman"/>
          <w:b w:val="1"/>
          <w:bCs w:val="1"/>
          <w:rtl w:val="0"/>
          <w:lang w:val="en-US"/>
        </w:rPr>
        <w:t>Figure Description:</w:t>
      </w:r>
      <w:r>
        <w:rPr>
          <w:rFonts w:ascii="Times Roman" w:hAnsi="Times Roman"/>
          <w:b w:val="0"/>
          <w:bCs w:val="0"/>
          <w:rtl w:val="0"/>
          <w:lang w:val="en-US"/>
        </w:rPr>
        <w:t xml:space="preserve"> </w:t>
      </w:r>
      <w:r>
        <w:rPr>
          <w:rFonts w:ascii="Times Roman" w:hAnsi="Times Roman"/>
          <w:b w:val="1"/>
          <w:bCs w:val="1"/>
          <w:rtl w:val="0"/>
          <w:lang w:val="en-US"/>
        </w:rPr>
        <w:t>Figure 8.2: Projected Digital Divide Closure and Usage Growth (2025 vs. 2030).</w:t>
      </w:r>
      <w:r>
        <w:rPr>
          <w:rFonts w:ascii="Times Roman" w:hAnsi="Times Roman"/>
          <w:b w:val="1"/>
          <w:bCs w:val="1"/>
          <w:rtl w:val="0"/>
        </w:rPr>
        <w:t xml:space="preserve"> </w:t>
      </w:r>
      <w:r>
        <w:rPr>
          <w:rFonts w:ascii="Times Roman" w:hAnsi="Times Roman"/>
          <w:b w:val="1"/>
          <w:bCs w:val="1"/>
          <w:rtl w:val="0"/>
          <w:lang w:val="en-US"/>
        </w:rPr>
        <w:t xml:space="preserve"> </w:t>
      </w:r>
      <w:r>
        <w:rPr>
          <w:rFonts w:ascii="Times Roman" w:hAnsi="Times Roman"/>
          <w:b w:val="0"/>
          <w:bCs w:val="0"/>
          <w:rtl w:val="0"/>
          <w:lang w:val="en-US"/>
        </w:rPr>
        <w:t>This barbell chart visualizes the precise gap closures required to meet SDG 10 and Vision 2041 targets under the Optimistic scenario. It illustrates the necessary reduction in the rural-urban and gender divides, alongside the required absolute growth in active digital usage.</w:t>
      </w:r>
    </w:p>
    <w:p>
      <w:pPr>
        <w:pStyle w:val="Default"/>
        <w:suppressAutoHyphens w:val="1"/>
        <w:spacing w:before="0" w:line="240" w:lineRule="auto"/>
        <w:jc w:val="center"/>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b w:val="0"/>
          <w:bCs w:val="0"/>
          <w:sz w:val="28"/>
          <w:szCs w:val="28"/>
        </w:rPr>
      </w:pPr>
      <w:r>
        <w:rPr>
          <w:rFonts w:ascii="Times Roman" w:hAnsi="Times Roman"/>
          <w:b w:val="1"/>
          <w:bCs w:val="1"/>
          <w:sz w:val="28"/>
          <w:szCs w:val="28"/>
          <w:rtl w:val="0"/>
          <w:lang w:val="en-US"/>
        </w:rPr>
        <w:t xml:space="preserve">8.6 Final Reflections: Toward an Inclusive, Resilient, Trustworthy, and Innovative Digital Financial Bangladesh by 2041 </w:t>
      </w:r>
      <w:r>
        <w:rPr>
          <w:rFonts w:ascii="Times Roman" w:hAnsi="Times Roman" w:hint="default"/>
          <w:b w:val="1"/>
          <w:bCs w:val="1"/>
          <w:sz w:val="28"/>
          <w:szCs w:val="28"/>
          <w:rtl w:val="0"/>
        </w:rPr>
        <w:t xml:space="preserve">– </w:t>
      </w:r>
      <w:r>
        <w:rPr>
          <w:rFonts w:ascii="Times Roman" w:hAnsi="Times Roman"/>
          <w:b w:val="1"/>
          <w:bCs w:val="1"/>
          <w:sz w:val="28"/>
          <w:szCs w:val="28"/>
          <w:rtl w:val="0"/>
          <w:lang w:val="en-US"/>
        </w:rPr>
        <w:t>Researcher</w:t>
      </w:r>
      <w:r>
        <w:rPr>
          <w:rFonts w:ascii="Times Roman" w:hAnsi="Times Roman" w:hint="default"/>
          <w:b w:val="1"/>
          <w:bCs w:val="1"/>
          <w:sz w:val="28"/>
          <w:szCs w:val="28"/>
          <w:rtl w:val="1"/>
        </w:rPr>
        <w:t>’</w:t>
      </w:r>
      <w:r>
        <w:rPr>
          <w:rFonts w:ascii="Times Roman" w:hAnsi="Times Roman"/>
          <w:b w:val="1"/>
          <w:bCs w:val="1"/>
          <w:sz w:val="28"/>
          <w:szCs w:val="28"/>
          <w:rtl w:val="0"/>
          <w:lang w:val="en-US"/>
        </w:rPr>
        <w:t>s Personal Insights</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As I conclude this doctoral journey, I am struck by how profoundly the empirical realities of Bangladesh</w:t>
      </w:r>
      <w:r>
        <w:rPr>
          <w:rFonts w:ascii="Times Roman" w:hAnsi="Times Roman" w:hint="default"/>
          <w:rtl w:val="1"/>
        </w:rPr>
        <w:t>’</w:t>
      </w:r>
      <w:r>
        <w:rPr>
          <w:rFonts w:ascii="Times Roman" w:hAnsi="Times Roman"/>
          <w:rtl w:val="0"/>
          <w:lang w:val="en-US"/>
        </w:rPr>
        <w:t>s digital financial landscape have reshaped my initial theoretical assumptions. When I began this research in 2025, I approached the topic with the classic Western-centric confidence that robust technology-acceptance models</w:t>
      </w:r>
      <w:r>
        <w:rPr>
          <w:rFonts w:ascii="Times Roman" w:hAnsi="Times Roman" w:hint="default"/>
          <w:rtl w:val="0"/>
          <w:lang w:val="en-US"/>
        </w:rPr>
        <w:t>—</w:t>
      </w:r>
      <w:r>
        <w:rPr>
          <w:rFonts w:ascii="Times Roman" w:hAnsi="Times Roman"/>
          <w:rtl w:val="0"/>
          <w:lang w:val="en-US"/>
        </w:rPr>
        <w:t>once extended with a few contextual moderators</w:t>
      </w:r>
      <w:r>
        <w:rPr>
          <w:rFonts w:ascii="Times Roman" w:hAnsi="Times Roman" w:hint="default"/>
          <w:rtl w:val="0"/>
          <w:lang w:val="en-US"/>
        </w:rPr>
        <w:t>—</w:t>
      </w:r>
      <w:r>
        <w:rPr>
          <w:rFonts w:ascii="Times Roman" w:hAnsi="Times Roman"/>
          <w:rtl w:val="0"/>
          <w:lang w:val="en-US"/>
        </w:rPr>
        <w:t>would largely explain adoption. The data taught me otherwise. Trust Restoration emerged not as a peripheral add-on but as the second-most powerful predictor (</w:t>
      </w:r>
      <w:r>
        <w:rPr>
          <w:rFonts w:ascii="Times Roman" w:hAnsi="Times Roman" w:hint="default"/>
          <w:rtl w:val="0"/>
        </w:rPr>
        <w:t xml:space="preserve">β </w:t>
      </w:r>
      <w:r>
        <w:rPr>
          <w:rFonts w:ascii="Times Roman" w:hAnsi="Times Roman"/>
          <w:rtl w:val="0"/>
          <w:lang w:val="en-US"/>
        </w:rPr>
        <w:t xml:space="preserve">= 0.37), its effect amplified or attenuated by Governance Perception and digital-divide variables in ways that no pre-2024 study could have anticipated. The qualitative theme </w:t>
      </w:r>
      <w:r>
        <w:rPr>
          <w:rFonts w:ascii="Times Roman" w:hAnsi="Times Roman" w:hint="default"/>
          <w:rtl w:val="1"/>
          <w:lang w:val="ar-SA" w:bidi="ar-SA"/>
        </w:rPr>
        <w:t>“</w:t>
      </w:r>
      <w:r>
        <w:rPr>
          <w:rFonts w:ascii="Times Roman" w:hAnsi="Times Roman"/>
          <w:rtl w:val="0"/>
          <w:lang w:val="en-US"/>
        </w:rPr>
        <w:t>Trust is Fragile but Recoverable</w:t>
      </w:r>
      <w:r>
        <w:rPr>
          <w:rFonts w:ascii="Times Roman" w:hAnsi="Times Roman" w:hint="default"/>
          <w:rtl w:val="0"/>
        </w:rPr>
        <w:t xml:space="preserve">” </w:t>
      </w:r>
      <w:r>
        <w:rPr>
          <w:rFonts w:ascii="Times Roman" w:hAnsi="Times Roman"/>
          <w:rtl w:val="0"/>
          <w:lang w:val="en-US"/>
        </w:rPr>
        <w:t>captured in a single sentence what months of structural-equation modelling could only quantify: that in post-crisis emerging markets, trust is not a static belief but a dynamic social resource that regulators and providers can deliberately rebuild</w:t>
      </w:r>
      <w:r>
        <w:rPr>
          <w:rFonts w:ascii="Times Roman" w:hAnsi="Times Roman" w:hint="default"/>
          <w:rtl w:val="0"/>
          <w:lang w:val="en-US"/>
        </w:rPr>
        <w:t>—</w:t>
      </w:r>
      <w:r>
        <w:rPr>
          <w:rFonts w:ascii="Times Roman" w:hAnsi="Times Roman"/>
          <w:rtl w:val="0"/>
          <w:lang w:val="en-US"/>
        </w:rPr>
        <w:t>or inadvertently destroy.</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I entered the field expecting technology</w:t>
      </w:r>
      <w:r>
        <w:rPr>
          <w:rFonts w:ascii="Times Roman" w:hAnsi="Times Roman" w:hint="default"/>
          <w:rtl w:val="0"/>
          <w:lang w:val="en-US"/>
        </w:rPr>
        <w:t>—</w:t>
      </w:r>
      <w:r>
        <w:rPr>
          <w:rFonts w:ascii="Times Roman" w:hAnsi="Times Roman"/>
          <w:rtl w:val="0"/>
          <w:lang w:val="en-US"/>
        </w:rPr>
        <w:t>biometrics, AI, CBDC</w:t>
      </w:r>
      <w:r>
        <w:rPr>
          <w:rFonts w:ascii="Times Roman" w:hAnsi="Times Roman" w:hint="default"/>
          <w:rtl w:val="0"/>
          <w:lang w:val="en-US"/>
        </w:rPr>
        <w:t>—</w:t>
      </w:r>
      <w:r>
        <w:rPr>
          <w:rFonts w:ascii="Times Roman" w:hAnsi="Times Roman"/>
          <w:rtl w:val="0"/>
          <w:lang w:val="en-US"/>
        </w:rPr>
        <w:t>to be the primary solution. Instead, rural agents and female users repeatedly reminded me that human relationships and institutional responsiveness matter more. One female fintech founder</w:t>
      </w:r>
      <w:r>
        <w:rPr>
          <w:rFonts w:ascii="Times Roman" w:hAnsi="Times Roman" w:hint="default"/>
          <w:rtl w:val="1"/>
        </w:rPr>
        <w:t>’</w:t>
      </w:r>
      <w:r>
        <w:rPr>
          <w:rFonts w:ascii="Times Roman" w:hAnsi="Times Roman"/>
          <w:rtl w:val="0"/>
          <w:lang w:val="fr-FR"/>
        </w:rPr>
        <w:t>s observation</w:t>
      </w:r>
      <w:r>
        <w:rPr>
          <w:rFonts w:ascii="Times Roman" w:hAnsi="Times Roman" w:hint="default"/>
          <w:rtl w:val="0"/>
          <w:lang w:val="en-US"/>
        </w:rPr>
        <w:t>—“</w:t>
      </w:r>
      <w:r>
        <w:rPr>
          <w:rFonts w:ascii="Times Roman" w:hAnsi="Times Roman"/>
          <w:rtl w:val="0"/>
          <w:lang w:val="en-US"/>
        </w:rPr>
        <w:t>Women want to use digital finance. The problem is not demand</w:t>
      </w:r>
      <w:r>
        <w:rPr>
          <w:rFonts w:ascii="Times Roman" w:hAnsi="Times Roman" w:hint="default"/>
          <w:rtl w:val="0"/>
          <w:lang w:val="en-US"/>
        </w:rPr>
        <w:t>—</w:t>
      </w:r>
      <w:r>
        <w:rPr>
          <w:rFonts w:ascii="Times Roman" w:hAnsi="Times Roman"/>
          <w:rtl w:val="0"/>
        </w:rPr>
        <w:t>it</w:t>
      </w:r>
      <w:r>
        <w:rPr>
          <w:rFonts w:ascii="Times Roman" w:hAnsi="Times Roman" w:hint="default"/>
          <w:rtl w:val="1"/>
        </w:rPr>
        <w:t>’</w:t>
      </w:r>
      <w:r>
        <w:rPr>
          <w:rFonts w:ascii="Times Roman" w:hAnsi="Times Roman"/>
          <w:rtl w:val="0"/>
          <w:lang w:val="pt-PT"/>
        </w:rPr>
        <w:t>s design</w:t>
      </w:r>
      <w:r>
        <w:rPr>
          <w:rFonts w:ascii="Times Roman" w:hAnsi="Times Roman" w:hint="default"/>
          <w:rtl w:val="0"/>
        </w:rPr>
        <w:t>”—</w:t>
      </w:r>
      <w:r>
        <w:rPr>
          <w:rFonts w:ascii="Times Roman" w:hAnsi="Times Roman"/>
          <w:rtl w:val="0"/>
          <w:lang w:val="en-US"/>
        </w:rPr>
        <w:t>continues to echo. It forced me to confront the limits of purely cognitive models and to appreciate the enduring relevance of Institutional Theory</w:t>
      </w:r>
      <w:r>
        <w:rPr>
          <w:rFonts w:ascii="Times Roman" w:hAnsi="Times Roman" w:hint="default"/>
          <w:rtl w:val="1"/>
        </w:rPr>
        <w:t>’</w:t>
      </w:r>
      <w:r>
        <w:rPr>
          <w:rFonts w:ascii="Times Roman" w:hAnsi="Times Roman"/>
          <w:rtl w:val="0"/>
          <w:lang w:val="en-US"/>
        </w:rPr>
        <w:t>s normative and cognitive pillars in contexts where formal rules exist on paper but enforcement remains selective.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What gives me greatest hope is the extraordinary resilience I witnessed. Despite 2024</w:t>
      </w:r>
      <w:r>
        <w:rPr>
          <w:rFonts w:ascii="Times Roman" w:hAnsi="Times Roman" w:hint="default"/>
          <w:rtl w:val="0"/>
        </w:rPr>
        <w:t>–</w:t>
      </w:r>
      <w:r>
        <w:rPr>
          <w:rFonts w:ascii="Times Roman" w:hAnsi="Times Roman"/>
          <w:rtl w:val="0"/>
          <w:lang w:val="en-US"/>
        </w:rPr>
        <w:t>25 fraud shocks, 67% of affected respondents reduced usage only temporarily; many returned once visible redress occurred. Bangladesh</w:t>
      </w:r>
      <w:r>
        <w:rPr>
          <w:rFonts w:ascii="Times Roman" w:hAnsi="Times Roman" w:hint="default"/>
          <w:rtl w:val="1"/>
        </w:rPr>
        <w:t>’</w:t>
      </w:r>
      <w:r>
        <w:rPr>
          <w:rFonts w:ascii="Times Roman" w:hAnsi="Times Roman"/>
          <w:rtl w:val="0"/>
          <w:lang w:val="en-US"/>
        </w:rPr>
        <w:t>s 1.2 million agent network</w:t>
      </w:r>
      <w:r>
        <w:rPr>
          <w:rFonts w:ascii="Times Roman" w:hAnsi="Times Roman" w:hint="default"/>
          <w:rtl w:val="0"/>
          <w:lang w:val="en-US"/>
        </w:rPr>
        <w:t>—</w:t>
      </w:r>
      <w:r>
        <w:rPr>
          <w:rFonts w:ascii="Times Roman" w:hAnsi="Times Roman"/>
          <w:rtl w:val="0"/>
          <w:lang w:val="en-US"/>
        </w:rPr>
        <w:t>imperfect yet indispensable</w:t>
      </w:r>
      <w:r>
        <w:rPr>
          <w:rFonts w:ascii="Times Roman" w:hAnsi="Times Roman" w:hint="default"/>
          <w:rtl w:val="0"/>
          <w:lang w:val="en-US"/>
        </w:rPr>
        <w:t>—</w:t>
      </w:r>
      <w:r>
        <w:rPr>
          <w:rFonts w:ascii="Times Roman" w:hAnsi="Times Roman"/>
          <w:rtl w:val="0"/>
          <w:lang w:val="en-US"/>
        </w:rPr>
        <w:t>represents a last-mile asset that few countries possess. If the short-term quick wins outlined in Section 8.2.1 (72-hour redressal, agent certification, gender-inclusive design) are implemented with the urgency the IPA rankings demand, the Optimistic scenario is not merely plausible but probable.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My personal conviction is that Bangladesh can become the global exemplar of inclusive digital finance by 2041</w:t>
      </w:r>
      <w:r>
        <w:rPr>
          <w:rFonts w:ascii="Times Roman" w:hAnsi="Times Roman" w:hint="default"/>
          <w:rtl w:val="0"/>
          <w:lang w:val="en-US"/>
        </w:rPr>
        <w:t>—</w:t>
      </w:r>
      <w:r>
        <w:rPr>
          <w:rFonts w:ascii="Times Roman" w:hAnsi="Times Roman"/>
          <w:rtl w:val="0"/>
          <w:lang w:val="en-US"/>
        </w:rPr>
        <w:t>not by copying Singapore</w:t>
      </w:r>
      <w:r>
        <w:rPr>
          <w:rFonts w:ascii="Times Roman" w:hAnsi="Times Roman" w:hint="default"/>
          <w:rtl w:val="1"/>
        </w:rPr>
        <w:t>’</w:t>
      </w:r>
      <w:r>
        <w:rPr>
          <w:rFonts w:ascii="Times Roman" w:hAnsi="Times Roman"/>
          <w:rtl w:val="0"/>
          <w:lang w:val="en-US"/>
        </w:rPr>
        <w:t>s high-trust infrastructure or Kenya</w:t>
      </w:r>
      <w:r>
        <w:rPr>
          <w:rFonts w:ascii="Times Roman" w:hAnsi="Times Roman" w:hint="default"/>
          <w:rtl w:val="1"/>
        </w:rPr>
        <w:t>’</w:t>
      </w:r>
      <w:r>
        <w:rPr>
          <w:rFonts w:ascii="Times Roman" w:hAnsi="Times Roman"/>
          <w:rtl w:val="0"/>
          <w:lang w:val="en-US"/>
        </w:rPr>
        <w:t>s regulatory forbearance, but by forging a distinctive path that marries world-leading mobile-money scale with uncompromising governance transparency and human-centred design. The Smart Bangladesh Vision 2041 will be realised not when every citizen has an account, but when every citizen</w:t>
      </w:r>
      <w:r>
        <w:rPr>
          <w:rFonts w:ascii="Times Roman" w:hAnsi="Times Roman" w:hint="default"/>
          <w:rtl w:val="0"/>
          <w:lang w:val="en-US"/>
        </w:rPr>
        <w:t>—</w:t>
      </w:r>
      <w:r>
        <w:rPr>
          <w:rFonts w:ascii="Times Roman" w:hAnsi="Times Roman"/>
          <w:rtl w:val="0"/>
          <w:lang w:val="en-US"/>
        </w:rPr>
        <w:t>especially the rural woman in Bogura or the climate-affected farmer in Barishal</w:t>
      </w:r>
      <w:r>
        <w:rPr>
          <w:rFonts w:ascii="Times Roman" w:hAnsi="Times Roman" w:hint="default"/>
          <w:rtl w:val="0"/>
          <w:lang w:val="en-US"/>
        </w:rPr>
        <w:t>—</w:t>
      </w:r>
      <w:r>
        <w:rPr>
          <w:rFonts w:ascii="Times Roman" w:hAnsi="Times Roman"/>
          <w:rtl w:val="0"/>
          <w:lang w:val="en-US"/>
        </w:rPr>
        <w:t>can use that account safely, confidently, and productively without fear of the next SIM-swap or liquidity shortage.</w:t>
      </w:r>
    </w:p>
    <w:p>
      <w:pPr>
        <w:pStyle w:val="Default"/>
        <w:suppressAutoHyphens w:val="1"/>
        <w:spacing w:before="0" w:after="240" w:line="240" w:lineRule="auto"/>
        <w:jc w:val="both"/>
        <w:rPr>
          <w:rFonts w:ascii="Times Roman" w:cs="Times Roman" w:hAnsi="Times Roman" w:eastAsia="Times Roman"/>
        </w:rPr>
      </w:pPr>
      <w:r>
        <w:rPr>
          <w:rFonts w:ascii="Times Roman" w:hAnsi="Times Roman"/>
          <w:rtl w:val="0"/>
          <w:lang w:val="en-US"/>
        </w:rPr>
        <w:t>This thesis is therefore not an endpoint but an invitation: to regulators, to banks and fintechs, to development partners, and to future researchers. The evidence is clear; the pathways are mapped; the window of opportunity is open. Let us act</w:t>
      </w:r>
      <w:r>
        <w:rPr>
          <w:rFonts w:ascii="Times Roman" w:hAnsi="Times Roman" w:hint="default"/>
          <w:rtl w:val="0"/>
          <w:lang w:val="en-US"/>
        </w:rPr>
        <w:t>—</w:t>
      </w:r>
      <w:r>
        <w:rPr>
          <w:rFonts w:ascii="Times Roman" w:hAnsi="Times Roman"/>
          <w:rtl w:val="0"/>
          <w:lang w:val="en-US"/>
        </w:rPr>
        <w:t>decisively, inclusively, and with the humility that the data demand</w:t>
      </w:r>
      <w:r>
        <w:rPr>
          <w:rFonts w:ascii="Times Roman" w:hAnsi="Times Roman" w:hint="default"/>
          <w:rtl w:val="0"/>
          <w:lang w:val="en-US"/>
        </w:rPr>
        <w:t>—</w:t>
      </w:r>
      <w:r>
        <w:rPr>
          <w:rFonts w:ascii="Times Roman" w:hAnsi="Times Roman"/>
          <w:rtl w:val="0"/>
          <w:lang w:val="en-US"/>
        </w:rPr>
        <w:t>so that by 2041 Bangladesh</w:t>
      </w:r>
      <w:r>
        <w:rPr>
          <w:rFonts w:ascii="Times Roman" w:hAnsi="Times Roman" w:hint="default"/>
          <w:rtl w:val="1"/>
        </w:rPr>
        <w:t>’</w:t>
      </w:r>
      <w:r>
        <w:rPr>
          <w:rFonts w:ascii="Times Roman" w:hAnsi="Times Roman"/>
          <w:rtl w:val="0"/>
          <w:lang w:val="en-US"/>
        </w:rPr>
        <w:t>s digital financial ecosystem stands as a beacon of resilience, trustworthiness, and innovation for the Global South.</w:t>
      </w:r>
    </w:p>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pPr>
      <w:r>
        <w:rPr>
          <w:rFonts w:ascii="Arial Unicode MS" w:cs="Arial Unicode MS" w:hAnsi="Arial Unicode MS" w:eastAsia="Arial Unicode MS"/>
          <w:b w:val="0"/>
          <w:bCs w:val="0"/>
          <w:i w:val="0"/>
          <w:iCs w:val="0"/>
        </w:rPr>
        <w:br w:type="page"/>
      </w:r>
    </w:p>
    <w:p>
      <w:pPr>
        <w:pStyle w:val="Default"/>
        <w:suppressAutoHyphens w:val="1"/>
        <w:spacing w:before="0" w:after="299" w:line="240"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Appendix A: Research Questionnaire (English &amp; Bengali Draft)</w:t>
      </w:r>
    </w:p>
    <w:p>
      <w:pPr>
        <w:pStyle w:val="Default"/>
        <w:suppressAutoHyphens w:val="1"/>
        <w:spacing w:before="0" w:after="281" w:line="240"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Part 1: Informed Consent &amp; Ethics Statement</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en-US"/>
        </w:rPr>
        <w:t>English:</w:t>
      </w:r>
      <w:r>
        <w:rPr>
          <w:rFonts w:ascii="Times New Roman" w:hAnsi="Times New Roman"/>
          <w:rtl w:val="0"/>
          <w:lang w:val="en-US"/>
        </w:rPr>
        <w:t xml:space="preserve"> "Welcome! This survey is part of a master's thesis exploring the challenges and prospects of e-banking and Mobile Financial Services (MFS) in Bangladesh. Your participation is completely voluntary, and all responses will remain strictly confidential and anonymized. The survey takes approximately 10-15 minutes. By continuing, you consent to participate in this research." </w:t>
      </w:r>
      <w:r>
        <w:rPr>
          <w:rFonts w:ascii="Times New Roman" w:hAnsi="Times New Roman"/>
          <w:b w:val="1"/>
          <w:bCs w:val="1"/>
          <w:rtl w:val="0"/>
        </w:rPr>
        <w:t>Bengali:</w:t>
      </w:r>
      <w:r>
        <w:rPr>
          <w:rFonts w:ascii="Times New Roman" w:hAnsi="Times New Roman"/>
          <w:rtl w:val="0"/>
          <w:lang w:val="ru-RU"/>
        </w:rPr>
        <w:t xml:space="preserve"> "</w:t>
      </w:r>
      <w:r>
        <w:rPr>
          <w:rFonts w:ascii="Arial Unicode MS" w:cs="Arial Unicode MS" w:hAnsi="Arial Unicode MS" w:eastAsia="Arial Unicode MS"/>
          <w:b w:val="0"/>
          <w:bCs w:val="0"/>
          <w:i w:val="0"/>
          <w:iCs w:val="0"/>
          <w:rtl w:val="0"/>
        </w:rPr>
        <w:t>স্বাগতম</w:t>
      </w:r>
      <w:r>
        <w:rPr>
          <w:rFonts w:ascii="Times New Roman" w:hAnsi="Times New Roman"/>
          <w:rtl w:val="0"/>
          <w:lang w:val="ru-RU"/>
        </w:rPr>
        <w:t xml:space="preserve">! </w:t>
      </w:r>
      <w:r>
        <w:rPr>
          <w:rFonts w:ascii="Arial Unicode MS" w:cs="Arial Unicode MS" w:hAnsi="Arial Unicode MS" w:eastAsia="Arial Unicode MS"/>
          <w:b w:val="0"/>
          <w:bCs w:val="0"/>
          <w:i w:val="0"/>
          <w:iCs w:val="0"/>
          <w:rtl w:val="0"/>
        </w:rPr>
        <w:t>এই</w:t>
      </w:r>
      <w:r>
        <w:rPr>
          <w:rFonts w:ascii="Times New Roman" w:hAnsi="Times New Roman"/>
          <w:rtl w:val="0"/>
        </w:rPr>
        <w:t xml:space="preserve"> </w:t>
      </w:r>
      <w:r>
        <w:rPr>
          <w:rFonts w:ascii="Arial Unicode MS" w:cs="Arial Unicode MS" w:hAnsi="Arial Unicode MS" w:eastAsia="Arial Unicode MS"/>
          <w:b w:val="0"/>
          <w:bCs w:val="0"/>
          <w:i w:val="0"/>
          <w:iCs w:val="0"/>
          <w:rtl w:val="0"/>
        </w:rPr>
        <w:t>জরিপটি</w:t>
      </w:r>
      <w:r>
        <w:rPr>
          <w:rFonts w:ascii="Times New Roman" w:hAnsi="Times New Roman"/>
          <w:rtl w:val="0"/>
        </w:rPr>
        <w:t xml:space="preserve"> </w:t>
      </w:r>
      <w:r>
        <w:rPr>
          <w:rFonts w:ascii="Arial Unicode MS" w:cs="Arial Unicode MS" w:hAnsi="Arial Unicode MS" w:eastAsia="Arial Unicode MS"/>
          <w:b w:val="0"/>
          <w:bCs w:val="0"/>
          <w:i w:val="0"/>
          <w:iCs w:val="0"/>
          <w:rtl w:val="0"/>
        </w:rPr>
        <w:t>বাংলাদেশের</w:t>
      </w:r>
      <w:r>
        <w:rPr>
          <w:rFonts w:ascii="Times New Roman" w:hAnsi="Times New Roman"/>
          <w:rtl w:val="0"/>
        </w:rPr>
        <w:t xml:space="preserve"> </w:t>
      </w:r>
      <w:r>
        <w:rPr>
          <w:rFonts w:ascii="Arial Unicode MS" w:cs="Arial Unicode MS" w:hAnsi="Arial Unicode MS" w:eastAsia="Arial Unicode MS"/>
          <w:b w:val="0"/>
          <w:bCs w:val="0"/>
          <w:i w:val="0"/>
          <w:iCs w:val="0"/>
          <w:rtl w:val="0"/>
        </w:rPr>
        <w:t>ই</w:t>
      </w:r>
      <w:r>
        <w:rPr>
          <w:rFonts w:ascii="Times New Roman" w:hAnsi="Times New Roman"/>
          <w:rtl w:val="0"/>
        </w:rPr>
        <w:t>-</w:t>
      </w:r>
      <w:r>
        <w:rPr>
          <w:rFonts w:ascii="Arial Unicode MS" w:cs="Arial Unicode MS" w:hAnsi="Arial Unicode MS" w:eastAsia="Arial Unicode MS"/>
          <w:b w:val="0"/>
          <w:bCs w:val="0"/>
          <w:i w:val="0"/>
          <w:iCs w:val="0"/>
          <w:rtl w:val="0"/>
        </w:rPr>
        <w:t>ব্যাংকিং</w:t>
      </w:r>
      <w:r>
        <w:rPr>
          <w:rFonts w:ascii="Times New Roman" w:hAnsi="Times New Roman"/>
          <w:rtl w:val="0"/>
        </w:rPr>
        <w:t xml:space="preserve"> </w:t>
      </w:r>
      <w:r>
        <w:rPr>
          <w:rFonts w:ascii="Arial Unicode MS" w:cs="Arial Unicode MS" w:hAnsi="Arial Unicode MS" w:eastAsia="Arial Unicode MS"/>
          <w:b w:val="0"/>
          <w:bCs w:val="0"/>
          <w:i w:val="0"/>
          <w:iCs w:val="0"/>
          <w:rtl w:val="0"/>
        </w:rPr>
        <w:t>এবং</w:t>
      </w:r>
      <w:r>
        <w:rPr>
          <w:rFonts w:ascii="Times New Roman" w:hAnsi="Times New Roman"/>
          <w:rtl w:val="0"/>
        </w:rPr>
        <w:t xml:space="preserve"> </w:t>
      </w:r>
      <w:r>
        <w:rPr>
          <w:rFonts w:ascii="Arial Unicode MS" w:cs="Arial Unicode MS" w:hAnsi="Arial Unicode MS" w:eastAsia="Arial Unicode MS"/>
          <w:b w:val="0"/>
          <w:bCs w:val="0"/>
          <w:i w:val="0"/>
          <w:iCs w:val="0"/>
          <w:rtl w:val="0"/>
        </w:rPr>
        <w:t>মোবাইল</w:t>
      </w:r>
      <w:r>
        <w:rPr>
          <w:rFonts w:ascii="Times New Roman" w:hAnsi="Times New Roman"/>
          <w:rtl w:val="0"/>
        </w:rPr>
        <w:t xml:space="preserve"> </w:t>
      </w:r>
      <w:r>
        <w:rPr>
          <w:rFonts w:ascii="Arial Unicode MS" w:cs="Arial Unicode MS" w:hAnsi="Arial Unicode MS" w:eastAsia="Arial Unicode MS"/>
          <w:b w:val="0"/>
          <w:bCs w:val="0"/>
          <w:i w:val="0"/>
          <w:iCs w:val="0"/>
          <w:rtl w:val="0"/>
        </w:rPr>
        <w:t>ফাইন্যান্সিয়াল</w:t>
      </w:r>
      <w:r>
        <w:rPr>
          <w:rFonts w:ascii="Times New Roman" w:hAnsi="Times New Roman"/>
          <w:rtl w:val="0"/>
        </w:rPr>
        <w:t xml:space="preserve"> </w:t>
      </w:r>
      <w:r>
        <w:rPr>
          <w:rFonts w:ascii="Arial Unicode MS" w:cs="Arial Unicode MS" w:hAnsi="Arial Unicode MS" w:eastAsia="Arial Unicode MS"/>
          <w:b w:val="0"/>
          <w:bCs w:val="0"/>
          <w:i w:val="0"/>
          <w:iCs w:val="0"/>
          <w:rtl w:val="0"/>
        </w:rPr>
        <w:t>সার্ভিসেস</w:t>
      </w:r>
      <w:r>
        <w:rPr>
          <w:rFonts w:ascii="Times New Roman" w:hAnsi="Times New Roman"/>
          <w:rtl w:val="0"/>
        </w:rPr>
        <w:t xml:space="preserve"> (MFS) </w:t>
      </w:r>
      <w:r>
        <w:rPr>
          <w:rFonts w:ascii="Arial Unicode MS" w:cs="Arial Unicode MS" w:hAnsi="Arial Unicode MS" w:eastAsia="Arial Unicode MS"/>
          <w:b w:val="0"/>
          <w:bCs w:val="0"/>
          <w:i w:val="0"/>
          <w:iCs w:val="0"/>
          <w:rtl w:val="0"/>
        </w:rPr>
        <w:t>এর</w:t>
      </w:r>
      <w:r>
        <w:rPr>
          <w:rFonts w:ascii="Times New Roman" w:hAnsi="Times New Roman"/>
          <w:rtl w:val="0"/>
        </w:rPr>
        <w:t xml:space="preserve"> </w:t>
      </w:r>
      <w:r>
        <w:rPr>
          <w:rFonts w:ascii="Arial Unicode MS" w:cs="Arial Unicode MS" w:hAnsi="Arial Unicode MS" w:eastAsia="Arial Unicode MS"/>
          <w:b w:val="0"/>
          <w:bCs w:val="0"/>
          <w:i w:val="0"/>
          <w:iCs w:val="0"/>
          <w:rtl w:val="0"/>
        </w:rPr>
        <w:t>চ্যালেঞ্জ</w:t>
      </w:r>
      <w:r>
        <w:rPr>
          <w:rFonts w:ascii="Times New Roman" w:hAnsi="Times New Roman"/>
          <w:rtl w:val="0"/>
        </w:rPr>
        <w:t xml:space="preserve"> </w:t>
      </w:r>
      <w:r>
        <w:rPr>
          <w:rFonts w:ascii="Arial Unicode MS" w:cs="Arial Unicode MS" w:hAnsi="Arial Unicode MS" w:eastAsia="Arial Unicode MS"/>
          <w:b w:val="0"/>
          <w:bCs w:val="0"/>
          <w:i w:val="0"/>
          <w:iCs w:val="0"/>
          <w:rtl w:val="0"/>
        </w:rPr>
        <w:t>এবং</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সম্ভাবনাগুলো</w:t>
      </w:r>
      <w:r>
        <w:rPr>
          <w:rFonts w:ascii="Times New Roman" w:hAnsi="Times New Roman"/>
          <w:rtl w:val="0"/>
        </w:rPr>
        <w:t xml:space="preserve"> </w:t>
      </w:r>
      <w:r>
        <w:rPr>
          <w:rFonts w:ascii="Arial Unicode MS" w:cs="Arial Unicode MS" w:hAnsi="Arial Unicode MS" w:eastAsia="Arial Unicode MS"/>
          <w:b w:val="0"/>
          <w:bCs w:val="0"/>
          <w:i w:val="0"/>
          <w:iCs w:val="0"/>
          <w:rtl w:val="0"/>
        </w:rPr>
        <w:t>নিয়ে</w:t>
      </w:r>
      <w:r>
        <w:rPr>
          <w:rFonts w:ascii="Times New Roman" w:hAnsi="Times New Roman"/>
          <w:rtl w:val="0"/>
        </w:rPr>
        <w:t xml:space="preserve"> </w:t>
      </w:r>
      <w:r>
        <w:rPr>
          <w:rFonts w:ascii="Arial Unicode MS" w:cs="Arial Unicode MS" w:hAnsi="Arial Unicode MS" w:eastAsia="Arial Unicode MS"/>
          <w:b w:val="0"/>
          <w:bCs w:val="0"/>
          <w:i w:val="0"/>
          <w:iCs w:val="0"/>
          <w:rtl w:val="0"/>
        </w:rPr>
        <w:t>একটি</w:t>
      </w:r>
      <w:r>
        <w:rPr>
          <w:rFonts w:ascii="Times New Roman" w:hAnsi="Times New Roman"/>
          <w:rtl w:val="0"/>
        </w:rPr>
        <w:t xml:space="preserve"> </w:t>
      </w:r>
      <w:r>
        <w:rPr>
          <w:rFonts w:ascii="Arial Unicode MS" w:cs="Arial Unicode MS" w:hAnsi="Arial Unicode MS" w:eastAsia="Arial Unicode MS"/>
          <w:b w:val="0"/>
          <w:bCs w:val="0"/>
          <w:i w:val="0"/>
          <w:iCs w:val="0"/>
          <w:rtl w:val="0"/>
        </w:rPr>
        <w:t>মাস্টার্স</w:t>
      </w:r>
      <w:r>
        <w:rPr>
          <w:rFonts w:ascii="Times New Roman" w:hAnsi="Times New Roman"/>
          <w:rtl w:val="0"/>
        </w:rPr>
        <w:t xml:space="preserve"> </w:t>
      </w:r>
      <w:r>
        <w:rPr>
          <w:rFonts w:ascii="Arial Unicode MS" w:cs="Arial Unicode MS" w:hAnsi="Arial Unicode MS" w:eastAsia="Arial Unicode MS"/>
          <w:b w:val="0"/>
          <w:bCs w:val="0"/>
          <w:i w:val="0"/>
          <w:iCs w:val="0"/>
          <w:rtl w:val="0"/>
        </w:rPr>
        <w:t>থিসিসের</w:t>
      </w:r>
      <w:r>
        <w:rPr>
          <w:rFonts w:ascii="Times New Roman" w:hAnsi="Times New Roman"/>
          <w:rtl w:val="0"/>
        </w:rPr>
        <w:t xml:space="preserve"> </w:t>
      </w:r>
      <w:r>
        <w:rPr>
          <w:rFonts w:ascii="Arial Unicode MS" w:cs="Arial Unicode MS" w:hAnsi="Arial Unicode MS" w:eastAsia="Arial Unicode MS"/>
          <w:b w:val="0"/>
          <w:bCs w:val="0"/>
          <w:i w:val="0"/>
          <w:iCs w:val="0"/>
          <w:rtl w:val="0"/>
        </w:rPr>
        <w:t>অংশ।</w:t>
      </w:r>
      <w:r>
        <w:rPr>
          <w:rFonts w:ascii="Times New Roman" w:hAnsi="Times New Roman"/>
          <w:rtl w:val="0"/>
        </w:rPr>
        <w:t xml:space="preserve"> </w:t>
      </w:r>
      <w:r>
        <w:rPr>
          <w:rFonts w:ascii="Arial Unicode MS" w:cs="Arial Unicode MS" w:hAnsi="Arial Unicode MS" w:eastAsia="Arial Unicode MS"/>
          <w:b w:val="0"/>
          <w:bCs w:val="0"/>
          <w:i w:val="0"/>
          <w:iCs w:val="0"/>
          <w:rtl w:val="0"/>
        </w:rPr>
        <w:t>আপনার</w:t>
      </w:r>
      <w:r>
        <w:rPr>
          <w:rFonts w:ascii="Times New Roman" w:hAnsi="Times New Roman"/>
          <w:rtl w:val="0"/>
        </w:rPr>
        <w:t xml:space="preserve"> </w:t>
      </w:r>
      <w:r>
        <w:rPr>
          <w:rFonts w:ascii="Arial Unicode MS" w:cs="Arial Unicode MS" w:hAnsi="Arial Unicode MS" w:eastAsia="Arial Unicode MS"/>
          <w:b w:val="0"/>
          <w:bCs w:val="0"/>
          <w:i w:val="0"/>
          <w:iCs w:val="0"/>
          <w:rtl w:val="0"/>
        </w:rPr>
        <w:t>অংশগ্রহণ</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সম্পূর্ণ</w:t>
      </w:r>
      <w:r>
        <w:rPr>
          <w:rFonts w:ascii="Times New Roman" w:hAnsi="Times New Roman"/>
          <w:rtl w:val="0"/>
        </w:rPr>
        <w:t xml:space="preserve"> </w:t>
      </w:r>
      <w:r>
        <w:rPr>
          <w:rFonts w:ascii="Arial Unicode MS" w:cs="Arial Unicode MS" w:hAnsi="Arial Unicode MS" w:eastAsia="Arial Unicode MS"/>
          <w:b w:val="0"/>
          <w:bCs w:val="0"/>
          <w:i w:val="0"/>
          <w:iCs w:val="0"/>
          <w:rtl w:val="0"/>
        </w:rPr>
        <w:t>স্বেচ্ছাধীন</w:t>
      </w:r>
      <w:r>
        <w:rPr>
          <w:rFonts w:ascii="Times New Roman" w:hAnsi="Times New Roman"/>
          <w:rtl w:val="0"/>
        </w:rPr>
        <w:t xml:space="preserve">, </w:t>
      </w:r>
      <w:r>
        <w:rPr>
          <w:rFonts w:ascii="Arial Unicode MS" w:cs="Arial Unicode MS" w:hAnsi="Arial Unicode MS" w:eastAsia="Arial Unicode MS"/>
          <w:b w:val="0"/>
          <w:bCs w:val="0"/>
          <w:i w:val="0"/>
          <w:iCs w:val="0"/>
          <w:rtl w:val="0"/>
        </w:rPr>
        <w:t>এবং</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সমস্ত</w:t>
      </w:r>
      <w:r>
        <w:rPr>
          <w:rFonts w:ascii="Times New Roman" w:hAnsi="Times New Roman"/>
          <w:rtl w:val="0"/>
        </w:rPr>
        <w:t xml:space="preserve"> </w:t>
      </w:r>
      <w:r>
        <w:rPr>
          <w:rFonts w:ascii="Arial Unicode MS" w:cs="Arial Unicode MS" w:hAnsi="Arial Unicode MS" w:eastAsia="Arial Unicode MS"/>
          <w:b w:val="0"/>
          <w:bCs w:val="0"/>
          <w:i w:val="0"/>
          <w:iCs w:val="0"/>
          <w:rtl w:val="0"/>
        </w:rPr>
        <w:t>উত্তর</w:t>
      </w:r>
      <w:r>
        <w:rPr>
          <w:rFonts w:ascii="Times New Roman" w:hAnsi="Times New Roman"/>
          <w:rtl w:val="0"/>
        </w:rPr>
        <w:t xml:space="preserve"> </w:t>
      </w:r>
      <w:r>
        <w:rPr>
          <w:rFonts w:ascii="Arial Unicode MS" w:cs="Arial Unicode MS" w:hAnsi="Arial Unicode MS" w:eastAsia="Arial Unicode MS"/>
          <w:b w:val="0"/>
          <w:bCs w:val="0"/>
          <w:i w:val="0"/>
          <w:iCs w:val="0"/>
          <w:rtl w:val="0"/>
        </w:rPr>
        <w:t>কঠোরভাবে</w:t>
      </w:r>
      <w:r>
        <w:rPr>
          <w:rFonts w:ascii="Times New Roman" w:hAnsi="Times New Roman"/>
          <w:rtl w:val="0"/>
        </w:rPr>
        <w:t xml:space="preserve"> </w:t>
      </w:r>
      <w:r>
        <w:rPr>
          <w:rFonts w:ascii="Arial Unicode MS" w:cs="Arial Unicode MS" w:hAnsi="Arial Unicode MS" w:eastAsia="Arial Unicode MS"/>
          <w:b w:val="0"/>
          <w:bCs w:val="0"/>
          <w:i w:val="0"/>
          <w:iCs w:val="0"/>
          <w:rtl w:val="0"/>
        </w:rPr>
        <w:t>গোপন</w:t>
      </w:r>
      <w:r>
        <w:rPr>
          <w:rFonts w:ascii="Times New Roman" w:hAnsi="Times New Roman"/>
          <w:rtl w:val="0"/>
        </w:rPr>
        <w:t xml:space="preserve"> </w:t>
      </w:r>
      <w:r>
        <w:rPr>
          <w:rFonts w:ascii="Arial Unicode MS" w:cs="Arial Unicode MS" w:hAnsi="Arial Unicode MS" w:eastAsia="Arial Unicode MS"/>
          <w:b w:val="0"/>
          <w:bCs w:val="0"/>
          <w:i w:val="0"/>
          <w:iCs w:val="0"/>
          <w:rtl w:val="0"/>
        </w:rPr>
        <w:t>রাখা</w:t>
      </w:r>
      <w:r>
        <w:rPr>
          <w:rFonts w:ascii="Times New Roman" w:hAnsi="Times New Roman"/>
          <w:rtl w:val="0"/>
        </w:rPr>
        <w:t xml:space="preserve"> </w:t>
      </w:r>
      <w:r>
        <w:rPr>
          <w:rFonts w:ascii="Arial Unicode MS" w:cs="Arial Unicode MS" w:hAnsi="Arial Unicode MS" w:eastAsia="Arial Unicode MS"/>
          <w:b w:val="0"/>
          <w:bCs w:val="0"/>
          <w:i w:val="0"/>
          <w:iCs w:val="0"/>
          <w:rtl w:val="0"/>
        </w:rPr>
        <w:t>হবে।</w:t>
      </w:r>
      <w:r>
        <w:rPr>
          <w:rFonts w:ascii="Times New Roman" w:hAnsi="Times New Roman"/>
          <w:rtl w:val="0"/>
        </w:rPr>
        <w:t xml:space="preserve"> </w:t>
      </w:r>
      <w:r>
        <w:rPr>
          <w:rFonts w:ascii="Arial Unicode MS" w:cs="Arial Unicode MS" w:hAnsi="Arial Unicode MS" w:eastAsia="Arial Unicode MS"/>
          <w:b w:val="0"/>
          <w:bCs w:val="0"/>
          <w:i w:val="0"/>
          <w:iCs w:val="0"/>
          <w:rtl w:val="0"/>
        </w:rPr>
        <w:t>জরিপটি</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সম্পূর্ণ</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করতে</w:t>
      </w:r>
      <w:r>
        <w:rPr>
          <w:rFonts w:ascii="Times New Roman" w:hAnsi="Times New Roman"/>
          <w:rtl w:val="0"/>
        </w:rPr>
        <w:t xml:space="preserve"> </w:t>
      </w:r>
      <w:r>
        <w:rPr>
          <w:rFonts w:ascii="Arial Unicode MS" w:cs="Arial Unicode MS" w:hAnsi="Arial Unicode MS" w:eastAsia="Arial Unicode MS"/>
          <w:b w:val="0"/>
          <w:bCs w:val="0"/>
          <w:i w:val="0"/>
          <w:iCs w:val="0"/>
          <w:rtl w:val="0"/>
        </w:rPr>
        <w:t>১০</w:t>
      </w:r>
      <w:r>
        <w:rPr>
          <w:rFonts w:ascii="Times New Roman" w:hAnsi="Times New Roman"/>
          <w:rtl w:val="0"/>
        </w:rPr>
        <w:t>-</w:t>
      </w:r>
      <w:r>
        <w:rPr>
          <w:rFonts w:ascii="Arial Unicode MS" w:cs="Arial Unicode MS" w:hAnsi="Arial Unicode MS" w:eastAsia="Arial Unicode MS"/>
          <w:b w:val="0"/>
          <w:bCs w:val="0"/>
          <w:i w:val="0"/>
          <w:iCs w:val="0"/>
          <w:rtl w:val="0"/>
        </w:rPr>
        <w:t>১৫</w:t>
      </w:r>
      <w:r>
        <w:rPr>
          <w:rFonts w:ascii="Times New Roman" w:hAnsi="Times New Roman"/>
          <w:rtl w:val="0"/>
        </w:rPr>
        <w:t xml:space="preserve"> </w:t>
      </w:r>
      <w:r>
        <w:rPr>
          <w:rFonts w:ascii="Arial Unicode MS" w:cs="Arial Unicode MS" w:hAnsi="Arial Unicode MS" w:eastAsia="Arial Unicode MS"/>
          <w:b w:val="0"/>
          <w:bCs w:val="0"/>
          <w:i w:val="0"/>
          <w:iCs w:val="0"/>
          <w:rtl w:val="0"/>
        </w:rPr>
        <w:t>মিনিট</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সময়</w:t>
      </w:r>
      <w:r>
        <w:rPr>
          <w:rFonts w:ascii="Times New Roman" w:hAnsi="Times New Roman"/>
          <w:rtl w:val="0"/>
        </w:rPr>
        <w:t xml:space="preserve"> </w:t>
      </w:r>
      <w:r>
        <w:rPr>
          <w:rFonts w:ascii="Arial Unicode MS" w:cs="Arial Unicode MS" w:hAnsi="Arial Unicode MS" w:eastAsia="Arial Unicode MS"/>
          <w:b w:val="0"/>
          <w:bCs w:val="0"/>
          <w:i w:val="0"/>
          <w:iCs w:val="0"/>
          <w:rtl w:val="0"/>
        </w:rPr>
        <w:t>লাগবে।</w:t>
      </w:r>
      <w:r>
        <w:rPr>
          <w:rFonts w:ascii="Times New Roman" w:hAnsi="Times New Roman"/>
          <w:rtl w:val="0"/>
        </w:rPr>
        <w:t xml:space="preserve"> </w:t>
      </w:r>
      <w:r>
        <w:rPr>
          <w:rFonts w:ascii="Arial Unicode MS" w:cs="Arial Unicode MS" w:hAnsi="Arial Unicode MS" w:eastAsia="Arial Unicode MS"/>
          <w:b w:val="0"/>
          <w:bCs w:val="0"/>
          <w:i w:val="0"/>
          <w:iCs w:val="0"/>
          <w:rtl w:val="0"/>
        </w:rPr>
        <w:t>চালিয়ে</w:t>
      </w:r>
      <w:r>
        <w:rPr>
          <w:rFonts w:ascii="Times New Roman" w:hAnsi="Times New Roman"/>
          <w:rtl w:val="0"/>
        </w:rPr>
        <w:t xml:space="preserve"> </w:t>
      </w:r>
      <w:r>
        <w:rPr>
          <w:rFonts w:ascii="Arial Unicode MS" w:cs="Arial Unicode MS" w:hAnsi="Arial Unicode MS" w:eastAsia="Arial Unicode MS"/>
          <w:b w:val="0"/>
          <w:bCs w:val="0"/>
          <w:i w:val="0"/>
          <w:iCs w:val="0"/>
          <w:rtl w:val="0"/>
        </w:rPr>
        <w:t>যাওয়ার</w:t>
      </w:r>
      <w:r>
        <w:rPr>
          <w:rFonts w:ascii="Times New Roman" w:hAnsi="Times New Roman"/>
          <w:rtl w:val="0"/>
        </w:rPr>
        <w:t xml:space="preserve"> </w:t>
      </w:r>
      <w:r>
        <w:rPr>
          <w:rFonts w:ascii="Arial Unicode MS" w:cs="Arial Unicode MS" w:hAnsi="Arial Unicode MS" w:eastAsia="Arial Unicode MS"/>
          <w:b w:val="0"/>
          <w:bCs w:val="0"/>
          <w:i w:val="0"/>
          <w:iCs w:val="0"/>
          <w:rtl w:val="0"/>
        </w:rPr>
        <w:t>মাধ্যমে</w:t>
      </w:r>
      <w:r>
        <w:rPr>
          <w:rFonts w:ascii="Times New Roman" w:hAnsi="Times New Roman"/>
          <w:rtl w:val="0"/>
        </w:rPr>
        <w:t xml:space="preserve">, </w:t>
      </w:r>
      <w:r>
        <w:rPr>
          <w:rFonts w:ascii="Arial Unicode MS" w:cs="Arial Unicode MS" w:hAnsi="Arial Unicode MS" w:eastAsia="Arial Unicode MS"/>
          <w:b w:val="0"/>
          <w:bCs w:val="0"/>
          <w:i w:val="0"/>
          <w:iCs w:val="0"/>
          <w:rtl w:val="0"/>
        </w:rPr>
        <w:t>আপনি</w:t>
      </w:r>
      <w:r>
        <w:rPr>
          <w:rFonts w:ascii="Times New Roman" w:hAnsi="Times New Roman"/>
          <w:rtl w:val="0"/>
        </w:rPr>
        <w:t xml:space="preserve"> </w:t>
      </w:r>
      <w:r>
        <w:rPr>
          <w:rFonts w:ascii="Arial Unicode MS" w:cs="Arial Unicode MS" w:hAnsi="Arial Unicode MS" w:eastAsia="Arial Unicode MS"/>
          <w:b w:val="0"/>
          <w:bCs w:val="0"/>
          <w:i w:val="0"/>
          <w:iCs w:val="0"/>
          <w:rtl w:val="0"/>
        </w:rPr>
        <w:t>এই</w:t>
      </w:r>
      <w:r>
        <w:rPr>
          <w:rFonts w:ascii="Times New Roman" w:hAnsi="Times New Roman"/>
          <w:rtl w:val="0"/>
        </w:rPr>
        <w:t xml:space="preserve"> </w:t>
      </w:r>
      <w:r>
        <w:rPr>
          <w:rFonts w:ascii="Arial Unicode MS" w:cs="Arial Unicode MS" w:hAnsi="Arial Unicode MS" w:eastAsia="Arial Unicode MS"/>
          <w:b w:val="0"/>
          <w:bCs w:val="0"/>
          <w:i w:val="0"/>
          <w:iCs w:val="0"/>
          <w:rtl w:val="0"/>
        </w:rPr>
        <w:t>গবেষণায়</w:t>
      </w:r>
      <w:r>
        <w:rPr>
          <w:rFonts w:ascii="Times New Roman" w:hAnsi="Times New Roman"/>
          <w:rtl w:val="0"/>
        </w:rPr>
        <w:t xml:space="preserve"> </w:t>
      </w:r>
      <w:r>
        <w:rPr>
          <w:rFonts w:ascii="Arial Unicode MS" w:cs="Arial Unicode MS" w:hAnsi="Arial Unicode MS" w:eastAsia="Arial Unicode MS"/>
          <w:b w:val="0"/>
          <w:bCs w:val="0"/>
          <w:i w:val="0"/>
          <w:iCs w:val="0"/>
          <w:rtl w:val="0"/>
        </w:rPr>
        <w:t>অংশগ্রহণে</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সম্মতি</w:t>
      </w:r>
      <w:r>
        <w:rPr>
          <w:rFonts w:ascii="Times New Roman" w:hAnsi="Times New Roman"/>
          <w:rtl w:val="0"/>
        </w:rPr>
        <w:t xml:space="preserve"> </w:t>
      </w:r>
      <w:r>
        <w:rPr>
          <w:rFonts w:ascii="Arial Unicode MS" w:cs="Arial Unicode MS" w:hAnsi="Arial Unicode MS" w:eastAsia="Arial Unicode MS"/>
          <w:b w:val="0"/>
          <w:bCs w:val="0"/>
          <w:i w:val="0"/>
          <w:iCs w:val="0"/>
          <w:rtl w:val="0"/>
        </w:rPr>
        <w:t>প্রদান</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করছেন।</w:t>
      </w:r>
      <w:r>
        <w:rPr>
          <w:rFonts w:ascii="Times New Roman" w:hAnsi="Times New Roman"/>
          <w:rtl w:val="0"/>
          <w:lang w:val="ru-RU"/>
        </w:rPr>
        <w:t>"</w:t>
      </w:r>
    </w:p>
    <w:p>
      <w:pPr>
        <w:pStyle w:val="Default"/>
        <w:suppressAutoHyphens w:val="1"/>
        <w:spacing w:before="0" w:after="281" w:line="240"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Part 2: Demographic &amp; Usage Profile</w:t>
      </w:r>
    </w:p>
    <w:p>
      <w:pPr>
        <w:pStyle w:val="Default"/>
        <w:numPr>
          <w:ilvl w:val="0"/>
          <w:numId w:val="13"/>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 xml:space="preserve">Location / </w:t>
      </w:r>
      <w:r>
        <w:rPr>
          <w:rFonts w:ascii="Arial Unicode MS" w:cs="Arial Unicode MS" w:hAnsi="Arial Unicode MS" w:eastAsia="Arial Unicode MS"/>
          <w:b w:val="0"/>
          <w:bCs w:val="0"/>
          <w:i w:val="0"/>
          <w:iCs w:val="0"/>
          <w:rtl w:val="0"/>
        </w:rPr>
        <w:t>অবস্থান</w:t>
      </w:r>
      <w:r>
        <w:rPr>
          <w:rFonts w:ascii="Times New Roman" w:hAnsi="Times New Roman"/>
          <w:b w:val="1"/>
          <w:bCs w:val="1"/>
          <w:rtl w:val="0"/>
        </w:rPr>
        <w:t>:</w:t>
      </w:r>
      <w:r>
        <w:rPr>
          <w:rFonts w:ascii="Times New Roman" w:hAnsi="Times New Roman"/>
          <w:rtl w:val="0"/>
          <w:lang w:val="en-US"/>
        </w:rPr>
        <w:t xml:space="preserve"> [ ] Urban (</w:t>
      </w:r>
      <w:r>
        <w:rPr>
          <w:rFonts w:ascii="Arial Unicode MS" w:cs="Arial Unicode MS" w:hAnsi="Arial Unicode MS" w:eastAsia="Arial Unicode MS"/>
          <w:b w:val="0"/>
          <w:bCs w:val="0"/>
          <w:i w:val="0"/>
          <w:iCs w:val="0"/>
          <w:rtl w:val="0"/>
        </w:rPr>
        <w:t>শহর</w:t>
      </w:r>
      <w:r>
        <w:rPr>
          <w:rFonts w:ascii="Times New Roman" w:hAnsi="Times New Roman"/>
          <w:rtl w:val="0"/>
          <w:lang w:val="pt-PT"/>
        </w:rPr>
        <w:t>) [ ] Rural (</w:t>
      </w:r>
      <w:r>
        <w:rPr>
          <w:rFonts w:ascii="Arial Unicode MS" w:cs="Arial Unicode MS" w:hAnsi="Arial Unicode MS" w:eastAsia="Arial Unicode MS"/>
          <w:b w:val="0"/>
          <w:bCs w:val="0"/>
          <w:i w:val="0"/>
          <w:iCs w:val="0"/>
          <w:rtl w:val="0"/>
        </w:rPr>
        <w:t>গ্রাম</w:t>
      </w:r>
      <w:r>
        <w:rPr>
          <w:rFonts w:ascii="Times New Roman" w:hAnsi="Times New Roman"/>
          <w:rtl w:val="0"/>
        </w:rPr>
        <w:t>)</w:t>
      </w:r>
    </w:p>
    <w:p>
      <w:pPr>
        <w:pStyle w:val="Default"/>
        <w:numPr>
          <w:ilvl w:val="0"/>
          <w:numId w:val="8"/>
        </w:numPr>
        <w:suppressAutoHyphens w:val="1"/>
        <w:spacing w:before="0" w:after="240" w:line="240" w:lineRule="auto"/>
        <w:jc w:val="both"/>
        <w:rPr>
          <w:rFonts w:ascii="Times New Roman" w:hAnsi="Times New Roman"/>
          <w:lang w:val="de-DE"/>
        </w:rPr>
      </w:pPr>
      <w:r>
        <w:rPr>
          <w:rFonts w:ascii="Times New Roman" w:hAnsi="Times New Roman"/>
          <w:b w:val="1"/>
          <w:bCs w:val="1"/>
          <w:rtl w:val="0"/>
          <w:lang w:val="de-DE"/>
        </w:rPr>
        <w:t xml:space="preserve">Gender / </w:t>
      </w:r>
      <w:r>
        <w:rPr>
          <w:rFonts w:ascii="Arial Unicode MS" w:cs="Arial Unicode MS" w:hAnsi="Arial Unicode MS" w:eastAsia="Arial Unicode MS"/>
          <w:b w:val="0"/>
          <w:bCs w:val="0"/>
          <w:i w:val="0"/>
          <w:iCs w:val="0"/>
          <w:rtl w:val="0"/>
        </w:rPr>
        <w:t>লিঙ্গ</w:t>
      </w:r>
      <w:r>
        <w:rPr>
          <w:rFonts w:ascii="Times New Roman" w:hAnsi="Times New Roman"/>
          <w:b w:val="1"/>
          <w:bCs w:val="1"/>
          <w:rtl w:val="0"/>
        </w:rPr>
        <w:t>:</w:t>
      </w:r>
      <w:r>
        <w:rPr>
          <w:rFonts w:ascii="Times New Roman" w:hAnsi="Times New Roman"/>
          <w:rtl w:val="0"/>
          <w:lang w:val="en-US"/>
        </w:rPr>
        <w:t xml:space="preserve"> [ ] Male (</w:t>
      </w:r>
      <w:r>
        <w:rPr>
          <w:rFonts w:ascii="Arial Unicode MS" w:cs="Arial Unicode MS" w:hAnsi="Arial Unicode MS" w:eastAsia="Arial Unicode MS"/>
          <w:b w:val="0"/>
          <w:bCs w:val="0"/>
          <w:i w:val="0"/>
          <w:iCs w:val="0"/>
          <w:rtl w:val="0"/>
        </w:rPr>
        <w:t>পুরুষ</w:t>
      </w:r>
      <w:r>
        <w:rPr>
          <w:rFonts w:ascii="Times New Roman" w:hAnsi="Times New Roman"/>
          <w:rtl w:val="0"/>
          <w:lang w:val="en-US"/>
        </w:rPr>
        <w:t>) [ ] Female (</w:t>
      </w:r>
      <w:r>
        <w:rPr>
          <w:rFonts w:ascii="Arial Unicode MS" w:cs="Arial Unicode MS" w:hAnsi="Arial Unicode MS" w:eastAsia="Arial Unicode MS"/>
          <w:b w:val="0"/>
          <w:bCs w:val="0"/>
          <w:i w:val="0"/>
          <w:iCs w:val="0"/>
          <w:rtl w:val="0"/>
        </w:rPr>
        <w:t>মহিলা</w:t>
      </w:r>
      <w:r>
        <w:rPr>
          <w:rFonts w:ascii="Times New Roman" w:hAnsi="Times New Roman"/>
          <w:rtl w:val="0"/>
          <w:lang w:val="en-US"/>
        </w:rPr>
        <w:t>) [ ] Other (</w:t>
      </w:r>
      <w:r>
        <w:rPr>
          <w:rFonts w:ascii="Arial Unicode MS" w:cs="Arial Unicode MS" w:hAnsi="Arial Unicode MS" w:eastAsia="Arial Unicode MS"/>
          <w:b w:val="0"/>
          <w:bCs w:val="0"/>
          <w:i w:val="0"/>
          <w:iCs w:val="0"/>
          <w:rtl w:val="0"/>
        </w:rPr>
        <w:t>অন্যান্য</w:t>
      </w:r>
      <w:r>
        <w:rPr>
          <w:rFonts w:ascii="Times New Roman" w:hAnsi="Times New Roman"/>
          <w:rtl w:val="0"/>
        </w:rPr>
        <w:t>)</w:t>
      </w:r>
    </w:p>
    <w:p>
      <w:pPr>
        <w:pStyle w:val="Default"/>
        <w:numPr>
          <w:ilvl w:val="0"/>
          <w:numId w:val="8"/>
        </w:numPr>
        <w:suppressAutoHyphens w:val="1"/>
        <w:spacing w:before="0" w:after="240" w:line="240" w:lineRule="auto"/>
        <w:jc w:val="both"/>
        <w:rPr>
          <w:rFonts w:ascii="Times New Roman" w:hAnsi="Times New Roman"/>
        </w:rPr>
      </w:pPr>
      <w:r>
        <w:rPr>
          <w:rFonts w:ascii="Times New Roman" w:hAnsi="Times New Roman"/>
          <w:b w:val="1"/>
          <w:bCs w:val="1"/>
          <w:rtl w:val="0"/>
        </w:rPr>
        <w:t xml:space="preserve">Age / </w:t>
      </w:r>
      <w:r>
        <w:rPr>
          <w:rFonts w:ascii="Arial Unicode MS" w:cs="Arial Unicode MS" w:hAnsi="Arial Unicode MS" w:eastAsia="Arial Unicode MS"/>
          <w:b w:val="0"/>
          <w:bCs w:val="0"/>
          <w:i w:val="0"/>
          <w:iCs w:val="0"/>
          <w:rtl w:val="0"/>
        </w:rPr>
        <w:t>বয়স</w:t>
      </w:r>
      <w:r>
        <w:rPr>
          <w:rFonts w:ascii="Times New Roman" w:hAnsi="Times New Roman"/>
          <w:b w:val="1"/>
          <w:bCs w:val="1"/>
          <w:rtl w:val="0"/>
        </w:rPr>
        <w:t>:</w:t>
      </w:r>
      <w:r>
        <w:rPr>
          <w:rFonts w:ascii="Times New Roman" w:hAnsi="Times New Roman"/>
          <w:rtl w:val="0"/>
          <w:lang w:val="pt-PT"/>
        </w:rPr>
        <w:t xml:space="preserve"> [ ] 18-24 [ ] 25-34 [ ] 35-44 [ ] 45-54 [ ] 55+</w:t>
      </w:r>
    </w:p>
    <w:p>
      <w:pPr>
        <w:pStyle w:val="Default"/>
        <w:numPr>
          <w:ilvl w:val="0"/>
          <w:numId w:val="8"/>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 xml:space="preserve">Primary Digital Financial Service Used / </w:t>
      </w:r>
      <w:r>
        <w:rPr>
          <w:rFonts w:ascii="Arial Unicode MS" w:cs="Arial Unicode MS" w:hAnsi="Arial Unicode MS" w:eastAsia="Arial Unicode MS"/>
          <w:b w:val="0"/>
          <w:bCs w:val="0"/>
          <w:i w:val="0"/>
          <w:iCs w:val="0"/>
          <w:rtl w:val="0"/>
        </w:rPr>
        <w:t>প্রধান</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ব্যবহৃত</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ডিজিটাল</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আর্থিক</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সেবা</w:t>
      </w:r>
      <w:r>
        <w:rPr>
          <w:rFonts w:ascii="Times New Roman" w:hAnsi="Times New Roman"/>
          <w:b w:val="1"/>
          <w:bCs w:val="1"/>
          <w:rtl w:val="0"/>
        </w:rPr>
        <w:t>:</w:t>
      </w:r>
      <w:r>
        <w:rPr>
          <w:rFonts w:ascii="Times New Roman" w:hAnsi="Times New Roman"/>
          <w:rtl w:val="0"/>
          <w:lang w:val="en-US"/>
        </w:rPr>
        <w:t xml:space="preserve"> [ ] MFS (bKash, Nagad, Rocket, etc.) [ ] Internet Banking Apps [ ] Cards/QR Codes</w:t>
      </w:r>
    </w:p>
    <w:p>
      <w:pPr>
        <w:pStyle w:val="Default"/>
        <w:numPr>
          <w:ilvl w:val="0"/>
          <w:numId w:val="8"/>
        </w:numPr>
        <w:suppressAutoHyphens w:val="1"/>
        <w:spacing w:before="0" w:after="240" w:line="240" w:lineRule="auto"/>
        <w:jc w:val="both"/>
        <w:rPr>
          <w:rFonts w:ascii="Times New Roman" w:hAnsi="Times New Roman"/>
          <w:b w:val="1"/>
          <w:bCs w:val="1"/>
          <w:lang w:val="en-US"/>
        </w:rPr>
      </w:pPr>
      <w:r>
        <w:rPr>
          <w:rFonts w:ascii="Times New Roman" w:hAnsi="Times New Roman"/>
          <w:b w:val="1"/>
          <w:bCs w:val="1"/>
          <w:rtl w:val="0"/>
          <w:lang w:val="en-US"/>
        </w:rPr>
        <w:t xml:space="preserve">Usage Frequency (Past 30 Days) / </w:t>
      </w:r>
      <w:r>
        <w:rPr>
          <w:rFonts w:ascii="Arial Unicode MS" w:cs="Arial Unicode MS" w:hAnsi="Arial Unicode MS" w:eastAsia="Arial Unicode MS"/>
          <w:b w:val="0"/>
          <w:bCs w:val="0"/>
          <w:i w:val="0"/>
          <w:iCs w:val="0"/>
          <w:rtl w:val="0"/>
        </w:rPr>
        <w:t>ব্যবহারের</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ফ্রিকোয়েন্সি</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গত</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৩০</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দিনে</w:t>
      </w:r>
      <w:r>
        <w:rPr>
          <w:rFonts w:ascii="Times New Roman" w:hAnsi="Times New Roman"/>
          <w:b w:val="1"/>
          <w:bCs w:val="1"/>
          <w:rtl w:val="0"/>
        </w:rPr>
        <w:t>):</w:t>
      </w:r>
      <w:r>
        <w:rPr>
          <w:rFonts w:ascii="Times New Roman" w:hAnsi="Times New Roman"/>
          <w:b w:val="0"/>
          <w:bCs w:val="0"/>
          <w:rtl w:val="0"/>
          <w:lang w:val="en-US"/>
        </w:rPr>
        <w:t xml:space="preserve"> [ ] 0 times [ ] 1-5 times [ ] 6-10 times [ ] 10+ times</w:t>
      </w:r>
    </w:p>
    <w:p>
      <w:pPr>
        <w:pStyle w:val="Default"/>
        <w:suppressAutoHyphens w:val="1"/>
        <w:spacing w:before="0" w:after="281" w:line="240"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Part 3: Core Constructs (7-Point Likert Scale: 1=Strongly Disagree to 7=Strongly Agree)</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 xml:space="preserve">Performance Expectancy (PE) / </w:t>
      </w:r>
      <w:r>
        <w:rPr>
          <w:rFonts w:ascii="Arial Unicode MS" w:cs="Arial Unicode MS" w:hAnsi="Arial Unicode MS" w:eastAsia="Arial Unicode MS"/>
          <w:b w:val="0"/>
          <w:bCs w:val="0"/>
          <w:i w:val="0"/>
          <w:iCs w:val="0"/>
          <w:rtl w:val="0"/>
        </w:rPr>
        <w:t>কর্মক্ষমতা</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প্রত্যাশা</w:t>
      </w:r>
    </w:p>
    <w:p>
      <w:pPr>
        <w:pStyle w:val="Default"/>
        <w:numPr>
          <w:ilvl w:val="0"/>
          <w:numId w:val="3"/>
        </w:numPr>
        <w:suppressAutoHyphens w:val="1"/>
        <w:spacing w:before="0" w:after="240" w:line="240" w:lineRule="auto"/>
        <w:jc w:val="both"/>
        <w:rPr>
          <w:rFonts w:ascii="Times New Roman" w:hAnsi="Times New Roman"/>
          <w:lang w:val="ru-RU"/>
        </w:rPr>
      </w:pPr>
      <w:r>
        <w:rPr>
          <w:rFonts w:ascii="Times New Roman" w:hAnsi="Times New Roman"/>
          <w:b w:val="1"/>
          <w:bCs w:val="1"/>
          <w:rtl w:val="0"/>
          <w:lang w:val="ru-RU"/>
        </w:rPr>
        <w:t>PE1:</w:t>
      </w:r>
      <w:r>
        <w:rPr>
          <w:rFonts w:ascii="Times New Roman" w:hAnsi="Times New Roman"/>
          <w:rtl w:val="0"/>
          <w:lang w:val="en-US"/>
        </w:rPr>
        <w:t xml:space="preserve"> Using e-banking/MFS enables me to accomplish banking tasks more quickly. (</w:t>
      </w:r>
      <w:r>
        <w:rPr>
          <w:rFonts w:ascii="Arial Unicode MS" w:cs="Arial Unicode MS" w:hAnsi="Arial Unicode MS" w:eastAsia="Arial Unicode MS"/>
          <w:b w:val="0"/>
          <w:bCs w:val="0"/>
          <w:i w:val="0"/>
          <w:iCs w:val="0"/>
          <w:rtl w:val="0"/>
        </w:rPr>
        <w:t>ই</w:t>
      </w:r>
      <w:r>
        <w:rPr>
          <w:rFonts w:ascii="Times New Roman" w:hAnsi="Times New Roman"/>
          <w:rtl w:val="0"/>
        </w:rPr>
        <w:t>-</w:t>
      </w:r>
      <w:r>
        <w:rPr>
          <w:rFonts w:ascii="Arial Unicode MS" w:cs="Arial Unicode MS" w:hAnsi="Arial Unicode MS" w:eastAsia="Arial Unicode MS"/>
          <w:b w:val="0"/>
          <w:bCs w:val="0"/>
          <w:i w:val="0"/>
          <w:iCs w:val="0"/>
          <w:rtl w:val="0"/>
        </w:rPr>
        <w:t>ব্যাংকিং</w:t>
      </w:r>
      <w:r>
        <w:rPr>
          <w:rFonts w:ascii="Times New Roman" w:hAnsi="Times New Roman"/>
          <w:rtl w:val="0"/>
        </w:rPr>
        <w:t>/</w:t>
      </w:r>
      <w:r>
        <w:rPr>
          <w:rFonts w:ascii="Arial Unicode MS" w:cs="Arial Unicode MS" w:hAnsi="Arial Unicode MS" w:eastAsia="Arial Unicode MS"/>
          <w:b w:val="0"/>
          <w:bCs w:val="0"/>
          <w:i w:val="0"/>
          <w:iCs w:val="0"/>
          <w:rtl w:val="0"/>
        </w:rPr>
        <w:t>এমএফএস</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ব্যবহার</w:t>
      </w:r>
      <w:r>
        <w:rPr>
          <w:rFonts w:ascii="Times New Roman" w:hAnsi="Times New Roman"/>
          <w:rtl w:val="0"/>
        </w:rPr>
        <w:t xml:space="preserve"> </w:t>
      </w:r>
      <w:r>
        <w:rPr>
          <w:rFonts w:ascii="Arial Unicode MS" w:cs="Arial Unicode MS" w:hAnsi="Arial Unicode MS" w:eastAsia="Arial Unicode MS"/>
          <w:b w:val="0"/>
          <w:bCs w:val="0"/>
          <w:i w:val="0"/>
          <w:iCs w:val="0"/>
          <w:rtl w:val="0"/>
        </w:rPr>
        <w:t>আমাকে</w:t>
      </w:r>
      <w:r>
        <w:rPr>
          <w:rFonts w:ascii="Times New Roman" w:hAnsi="Times New Roman"/>
          <w:rtl w:val="0"/>
        </w:rPr>
        <w:t xml:space="preserve"> </w:t>
      </w:r>
      <w:r>
        <w:rPr>
          <w:rFonts w:ascii="Arial Unicode MS" w:cs="Arial Unicode MS" w:hAnsi="Arial Unicode MS" w:eastAsia="Arial Unicode MS"/>
          <w:b w:val="0"/>
          <w:bCs w:val="0"/>
          <w:i w:val="0"/>
          <w:iCs w:val="0"/>
          <w:rtl w:val="0"/>
        </w:rPr>
        <w:t>দ্রুত</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ব্যাংকিং</w:t>
      </w:r>
      <w:r>
        <w:rPr>
          <w:rFonts w:ascii="Times New Roman" w:hAnsi="Times New Roman"/>
          <w:rtl w:val="0"/>
        </w:rPr>
        <w:t xml:space="preserve"> </w:t>
      </w:r>
      <w:r>
        <w:rPr>
          <w:rFonts w:ascii="Arial Unicode MS" w:cs="Arial Unicode MS" w:hAnsi="Arial Unicode MS" w:eastAsia="Arial Unicode MS"/>
          <w:b w:val="0"/>
          <w:bCs w:val="0"/>
          <w:i w:val="0"/>
          <w:iCs w:val="0"/>
          <w:rtl w:val="0"/>
        </w:rPr>
        <w:t>কাজ</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সম্পন্ন</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করতে</w:t>
      </w:r>
      <w:r>
        <w:rPr>
          <w:rFonts w:ascii="Times New Roman" w:hAnsi="Times New Roman"/>
          <w:rtl w:val="0"/>
        </w:rPr>
        <w:t xml:space="preserve"> </w:t>
      </w:r>
      <w:r>
        <w:rPr>
          <w:rFonts w:ascii="Arial Unicode MS" w:cs="Arial Unicode MS" w:hAnsi="Arial Unicode MS" w:eastAsia="Arial Unicode MS"/>
          <w:b w:val="0"/>
          <w:bCs w:val="0"/>
          <w:i w:val="0"/>
          <w:iCs w:val="0"/>
          <w:rtl w:val="0"/>
        </w:rPr>
        <w:t>সাহায্য</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w:t>
      </w:r>
      <w:r>
        <w:rPr>
          <w:rFonts w:ascii="Times New Roman" w:hAnsi="Times New Roman"/>
          <w:rtl w:val="0"/>
        </w:rPr>
        <w:t>)</w:t>
      </w:r>
    </w:p>
    <w:p>
      <w:pPr>
        <w:pStyle w:val="Default"/>
        <w:numPr>
          <w:ilvl w:val="0"/>
          <w:numId w:val="3"/>
        </w:numPr>
        <w:suppressAutoHyphens w:val="1"/>
        <w:spacing w:before="0" w:after="240" w:line="240" w:lineRule="auto"/>
        <w:jc w:val="both"/>
        <w:rPr>
          <w:rFonts w:ascii="Times New Roman" w:hAnsi="Times New Roman"/>
        </w:rPr>
      </w:pPr>
      <w:r>
        <w:rPr>
          <w:rFonts w:ascii="Times New Roman" w:hAnsi="Times New Roman"/>
          <w:b w:val="1"/>
          <w:bCs w:val="1"/>
          <w:rtl w:val="0"/>
        </w:rPr>
        <w:t>PE2:</w:t>
      </w:r>
      <w:r>
        <w:rPr>
          <w:rFonts w:ascii="Times New Roman" w:hAnsi="Times New Roman"/>
          <w:rtl w:val="0"/>
          <w:lang w:val="en-US"/>
        </w:rPr>
        <w:t xml:space="preserve"> It is convenient to use digital platforms for my daily financial needs. (</w:t>
      </w:r>
      <w:r>
        <w:rPr>
          <w:rFonts w:ascii="Arial Unicode MS" w:cs="Arial Unicode MS" w:hAnsi="Arial Unicode MS" w:eastAsia="Arial Unicode MS"/>
          <w:b w:val="0"/>
          <w:bCs w:val="0"/>
          <w:i w:val="0"/>
          <w:iCs w:val="0"/>
          <w:rtl w:val="0"/>
        </w:rPr>
        <w:t>আমার</w:t>
      </w:r>
      <w:r>
        <w:rPr>
          <w:rFonts w:ascii="Times New Roman" w:hAnsi="Times New Roman"/>
          <w:rtl w:val="0"/>
        </w:rPr>
        <w:t xml:space="preserve"> </w:t>
      </w:r>
      <w:r>
        <w:rPr>
          <w:rFonts w:ascii="Arial Unicode MS" w:cs="Arial Unicode MS" w:hAnsi="Arial Unicode MS" w:eastAsia="Arial Unicode MS"/>
          <w:b w:val="0"/>
          <w:bCs w:val="0"/>
          <w:i w:val="0"/>
          <w:iCs w:val="0"/>
          <w:rtl w:val="0"/>
        </w:rPr>
        <w:t>দৈনন্দিন</w:t>
      </w:r>
      <w:r>
        <w:rPr>
          <w:rFonts w:ascii="Times New Roman" w:hAnsi="Times New Roman"/>
          <w:rtl w:val="0"/>
        </w:rPr>
        <w:t xml:space="preserve"> </w:t>
      </w:r>
      <w:r>
        <w:rPr>
          <w:rFonts w:ascii="Arial Unicode MS" w:cs="Arial Unicode MS" w:hAnsi="Arial Unicode MS" w:eastAsia="Arial Unicode MS"/>
          <w:b w:val="0"/>
          <w:bCs w:val="0"/>
          <w:i w:val="0"/>
          <w:iCs w:val="0"/>
          <w:rtl w:val="0"/>
        </w:rPr>
        <w:t>আর্থিক</w:t>
      </w:r>
      <w:r>
        <w:rPr>
          <w:rFonts w:ascii="Times New Roman" w:hAnsi="Times New Roman"/>
          <w:rtl w:val="0"/>
        </w:rPr>
        <w:t xml:space="preserve"> </w:t>
      </w:r>
      <w:r>
        <w:rPr>
          <w:rFonts w:ascii="Arial Unicode MS" w:cs="Arial Unicode MS" w:hAnsi="Arial Unicode MS" w:eastAsia="Arial Unicode MS"/>
          <w:b w:val="0"/>
          <w:bCs w:val="0"/>
          <w:i w:val="0"/>
          <w:iCs w:val="0"/>
          <w:rtl w:val="0"/>
        </w:rPr>
        <w:t>প্রয়োজনে</w:t>
      </w:r>
      <w:r>
        <w:rPr>
          <w:rFonts w:ascii="Times New Roman" w:hAnsi="Times New Roman"/>
          <w:rtl w:val="0"/>
        </w:rPr>
        <w:t xml:space="preserve"> </w:t>
      </w:r>
      <w:r>
        <w:rPr>
          <w:rFonts w:ascii="Arial Unicode MS" w:cs="Arial Unicode MS" w:hAnsi="Arial Unicode MS" w:eastAsia="Arial Unicode MS"/>
          <w:b w:val="0"/>
          <w:bCs w:val="0"/>
          <w:i w:val="0"/>
          <w:iCs w:val="0"/>
          <w:rtl w:val="0"/>
        </w:rPr>
        <w:t>ডিজিটাল</w:t>
      </w:r>
      <w:r>
        <w:rPr>
          <w:rFonts w:ascii="Times New Roman" w:hAnsi="Times New Roman"/>
          <w:rtl w:val="0"/>
        </w:rPr>
        <w:t xml:space="preserve"> </w:t>
      </w:r>
      <w:r>
        <w:rPr>
          <w:rFonts w:ascii="Arial Unicode MS" w:cs="Arial Unicode MS" w:hAnsi="Arial Unicode MS" w:eastAsia="Arial Unicode MS"/>
          <w:b w:val="0"/>
          <w:bCs w:val="0"/>
          <w:i w:val="0"/>
          <w:iCs w:val="0"/>
          <w:rtl w:val="0"/>
        </w:rPr>
        <w:t>প্ল্যাটফর্ম</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ব্যবহার</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w:t>
      </w:r>
      <w:r>
        <w:rPr>
          <w:rFonts w:ascii="Times New Roman" w:hAnsi="Times New Roman"/>
          <w:rtl w:val="0"/>
        </w:rPr>
        <w:t xml:space="preserve"> </w:t>
      </w:r>
      <w:r>
        <w:rPr>
          <w:rFonts w:ascii="Arial Unicode MS" w:cs="Arial Unicode MS" w:hAnsi="Arial Unicode MS" w:eastAsia="Arial Unicode MS"/>
          <w:b w:val="0"/>
          <w:bCs w:val="0"/>
          <w:i w:val="0"/>
          <w:iCs w:val="0"/>
          <w:rtl w:val="0"/>
        </w:rPr>
        <w:t>সুবিধাজনক।</w:t>
      </w:r>
      <w:r>
        <w:rPr>
          <w:rFonts w:ascii="Times New Roman" w:hAnsi="Times New Roman"/>
          <w:rtl w:val="0"/>
        </w:rPr>
        <w:t>)</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 xml:space="preserve">Effort Expectancy (EE) / </w:t>
      </w:r>
      <w:r>
        <w:rPr>
          <w:rFonts w:ascii="Arial Unicode MS" w:cs="Arial Unicode MS" w:hAnsi="Arial Unicode MS" w:eastAsia="Arial Unicode MS"/>
          <w:b w:val="0"/>
          <w:bCs w:val="0"/>
          <w:i w:val="0"/>
          <w:iCs w:val="0"/>
          <w:rtl w:val="0"/>
        </w:rPr>
        <w:t>প্রচেষ্টা</w:t>
      </w:r>
      <w:r>
        <w:rPr>
          <w:rFonts w:ascii="Times New Roman" w:hAnsi="Times New Roman"/>
          <w:b w:val="1"/>
          <w:bCs w:val="1"/>
          <w:rtl w:val="0"/>
        </w:rPr>
        <w:t xml:space="preserve"> </w:t>
      </w:r>
      <w:r>
        <w:rPr>
          <w:rFonts w:ascii="Arial Unicode MS" w:cs="Arial Unicode MS" w:hAnsi="Arial Unicode MS" w:eastAsia="Arial Unicode MS"/>
          <w:b w:val="0"/>
          <w:bCs w:val="0"/>
          <w:i w:val="0"/>
          <w:iCs w:val="0"/>
          <w:rtl w:val="0"/>
        </w:rPr>
        <w:t>প্রত্যাশা</w:t>
      </w:r>
    </w:p>
    <w:p>
      <w:pPr>
        <w:pStyle w:val="Default"/>
        <w:numPr>
          <w:ilvl w:val="0"/>
          <w:numId w:val="3"/>
        </w:numPr>
        <w:suppressAutoHyphens w:val="1"/>
        <w:spacing w:before="0" w:after="240" w:line="240" w:lineRule="auto"/>
        <w:jc w:val="both"/>
        <w:rPr>
          <w:rFonts w:ascii="Times New Roman" w:hAnsi="Times New Roman"/>
          <w:lang w:val="en-US"/>
        </w:rPr>
      </w:pPr>
      <w:r>
        <w:rPr>
          <w:rFonts w:ascii="Times New Roman" w:hAnsi="Times New Roman"/>
          <w:b w:val="1"/>
          <w:bCs w:val="1"/>
          <w:rtl w:val="0"/>
          <w:lang w:val="en-US"/>
        </w:rPr>
        <w:t>EE1:</w:t>
      </w:r>
      <w:r>
        <w:rPr>
          <w:rFonts w:ascii="Times New Roman" w:hAnsi="Times New Roman"/>
          <w:rtl w:val="0"/>
          <w:lang w:val="en-US"/>
        </w:rPr>
        <w:t xml:space="preserve"> Learning to use e-banking apps is easy for me. (</w:t>
      </w:r>
      <w:r>
        <w:rPr>
          <w:rFonts w:ascii="Arial Unicode MS" w:cs="Arial Unicode MS" w:hAnsi="Arial Unicode MS" w:eastAsia="Arial Unicode MS"/>
          <w:b w:val="0"/>
          <w:bCs w:val="0"/>
          <w:i w:val="0"/>
          <w:iCs w:val="0"/>
          <w:rtl w:val="0"/>
        </w:rPr>
        <w:t>ই</w:t>
      </w:r>
      <w:r>
        <w:rPr>
          <w:rFonts w:ascii="Times New Roman" w:hAnsi="Times New Roman"/>
          <w:rtl w:val="0"/>
        </w:rPr>
        <w:t>-</w:t>
      </w:r>
      <w:r>
        <w:rPr>
          <w:rFonts w:ascii="Arial Unicode MS" w:cs="Arial Unicode MS" w:hAnsi="Arial Unicode MS" w:eastAsia="Arial Unicode MS"/>
          <w:b w:val="0"/>
          <w:bCs w:val="0"/>
          <w:i w:val="0"/>
          <w:iCs w:val="0"/>
          <w:rtl w:val="0"/>
        </w:rPr>
        <w:t>ব্যাংকিং</w:t>
      </w:r>
      <w:r>
        <w:rPr>
          <w:rFonts w:ascii="Times New Roman" w:hAnsi="Times New Roman"/>
          <w:rtl w:val="0"/>
        </w:rPr>
        <w:t xml:space="preserve"> </w:t>
      </w:r>
      <w:r>
        <w:rPr>
          <w:rFonts w:ascii="Arial Unicode MS" w:cs="Arial Unicode MS" w:hAnsi="Arial Unicode MS" w:eastAsia="Arial Unicode MS"/>
          <w:b w:val="0"/>
          <w:bCs w:val="0"/>
          <w:i w:val="0"/>
          <w:iCs w:val="0"/>
          <w:rtl w:val="0"/>
        </w:rPr>
        <w:t>অ্যাপস</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ব্যবহার</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করতে</w:t>
      </w:r>
      <w:r>
        <w:rPr>
          <w:rFonts w:ascii="Times New Roman" w:hAnsi="Times New Roman"/>
          <w:rtl w:val="0"/>
        </w:rPr>
        <w:t xml:space="preserve"> </w:t>
      </w:r>
      <w:r>
        <w:rPr>
          <w:rFonts w:ascii="Arial Unicode MS" w:cs="Arial Unicode MS" w:hAnsi="Arial Unicode MS" w:eastAsia="Arial Unicode MS"/>
          <w:b w:val="0"/>
          <w:bCs w:val="0"/>
          <w:i w:val="0"/>
          <w:iCs w:val="0"/>
          <w:rtl w:val="0"/>
        </w:rPr>
        <w:t>শেখা</w:t>
      </w:r>
      <w:r>
        <w:rPr>
          <w:rFonts w:ascii="Times New Roman" w:hAnsi="Times New Roman"/>
          <w:rtl w:val="0"/>
        </w:rPr>
        <w:t xml:space="preserve"> </w:t>
      </w:r>
      <w:r>
        <w:rPr>
          <w:rFonts w:ascii="Arial Unicode MS" w:cs="Arial Unicode MS" w:hAnsi="Arial Unicode MS" w:eastAsia="Arial Unicode MS"/>
          <w:b w:val="0"/>
          <w:bCs w:val="0"/>
          <w:i w:val="0"/>
          <w:iCs w:val="0"/>
          <w:rtl w:val="0"/>
        </w:rPr>
        <w:t>আমার</w:t>
      </w:r>
      <w:r>
        <w:rPr>
          <w:rFonts w:ascii="Times New Roman" w:hAnsi="Times New Roman"/>
          <w:rtl w:val="0"/>
        </w:rPr>
        <w:t xml:space="preserve"> </w:t>
      </w:r>
      <w:r>
        <w:rPr>
          <w:rFonts w:ascii="Arial Unicode MS" w:cs="Arial Unicode MS" w:hAnsi="Arial Unicode MS" w:eastAsia="Arial Unicode MS"/>
          <w:b w:val="0"/>
          <w:bCs w:val="0"/>
          <w:i w:val="0"/>
          <w:iCs w:val="0"/>
          <w:rtl w:val="0"/>
        </w:rPr>
        <w:t>জন্য</w:t>
      </w:r>
      <w:r>
        <w:rPr>
          <w:rFonts w:ascii="Times New Roman" w:hAnsi="Times New Roman"/>
          <w:rtl w:val="0"/>
        </w:rPr>
        <w:t xml:space="preserve"> </w:t>
      </w:r>
      <w:r>
        <w:rPr>
          <w:rFonts w:ascii="Arial Unicode MS" w:cs="Arial Unicode MS" w:hAnsi="Arial Unicode MS" w:eastAsia="Arial Unicode MS"/>
          <w:b w:val="0"/>
          <w:bCs w:val="0"/>
          <w:i w:val="0"/>
          <w:iCs w:val="0"/>
          <w:rtl w:val="0"/>
        </w:rPr>
        <w:t>সহজ।</w:t>
      </w:r>
      <w:r>
        <w:rPr>
          <w:rFonts w:ascii="Times New Roman" w:hAnsi="Times New Roman"/>
          <w:rtl w:val="0"/>
        </w:rPr>
        <w:t>)</w:t>
      </w:r>
    </w:p>
    <w:p>
      <w:pPr>
        <w:pStyle w:val="Default"/>
        <w:suppressAutoHyphens w:val="1"/>
        <w:spacing w:before="0" w:after="240" w:line="240" w:lineRule="auto"/>
        <w:jc w:val="both"/>
        <w:rPr>
          <w:rFonts w:ascii="Times New Roman" w:cs="Times New Roman" w:hAnsi="Times New Roman" w:eastAsia="Times New Roman"/>
        </w:rPr>
      </w:pPr>
    </w:p>
    <w:p>
      <w:pPr>
        <w:pStyle w:val="Default"/>
        <w:suppressAutoHyphens w:val="1"/>
        <w:spacing w:before="0" w:after="240" w:line="240" w:lineRule="auto"/>
        <w:jc w:val="both"/>
        <w:rPr>
          <w:rFonts w:ascii="Times New Roman" w:cs="Times New Roman" w:hAnsi="Times New Roman" w:eastAsia="Times New Roman"/>
          <w:b w:val="0"/>
          <w:bCs w:val="0"/>
          <w:sz w:val="28"/>
          <w:szCs w:val="28"/>
        </w:rPr>
      </w:pPr>
      <w:r>
        <w:rPr>
          <w:rFonts w:ascii="Times New Roman" w:hAnsi="Times New Roman"/>
          <w:b w:val="1"/>
          <w:bCs w:val="1"/>
          <w:sz w:val="28"/>
          <w:szCs w:val="28"/>
          <w:rtl w:val="0"/>
          <w:lang w:val="en-US"/>
        </w:rPr>
        <w:t xml:space="preserve">Trust Restoration (TR) - </w:t>
      </w:r>
      <w:r>
        <w:rPr>
          <w:rFonts w:ascii="Times New Roman" w:hAnsi="Times New Roman"/>
          <w:b w:val="1"/>
          <w:bCs w:val="1"/>
          <w:i w:val="1"/>
          <w:iCs w:val="1"/>
          <w:sz w:val="28"/>
          <w:szCs w:val="28"/>
          <w:rtl w:val="0"/>
          <w:lang w:val="da-DK"/>
        </w:rPr>
        <w:t>Bangladesh Specific</w:t>
      </w:r>
    </w:p>
    <w:p>
      <w:pPr>
        <w:pStyle w:val="Default"/>
        <w:numPr>
          <w:ilvl w:val="0"/>
          <w:numId w:val="3"/>
        </w:numPr>
        <w:suppressAutoHyphens w:val="1"/>
        <w:spacing w:before="0" w:after="240" w:line="240" w:lineRule="auto"/>
        <w:jc w:val="both"/>
        <w:rPr>
          <w:rFonts w:ascii="Times New Roman" w:hAnsi="Times New Roman"/>
          <w:lang w:val="da-DK"/>
        </w:rPr>
      </w:pPr>
      <w:r>
        <w:rPr>
          <w:rFonts w:ascii="Times New Roman" w:hAnsi="Times New Roman"/>
          <w:b w:val="1"/>
          <w:bCs w:val="1"/>
          <w:rtl w:val="0"/>
          <w:lang w:val="da-DK"/>
        </w:rPr>
        <w:t>TR1:</w:t>
      </w:r>
      <w:r>
        <w:rPr>
          <w:rFonts w:ascii="Times New Roman" w:hAnsi="Times New Roman"/>
          <w:rtl w:val="0"/>
          <w:lang w:val="de-DE"/>
        </w:rPr>
        <w:t xml:space="preserve"> Bangladesh Bank</w:t>
      </w:r>
      <w:r>
        <w:rPr>
          <w:rFonts w:ascii="Times New Roman" w:hAnsi="Times New Roman" w:hint="default"/>
          <w:rtl w:val="1"/>
        </w:rPr>
        <w:t>’</w:t>
      </w:r>
      <w:r>
        <w:rPr>
          <w:rFonts w:ascii="Times New Roman" w:hAnsi="Times New Roman"/>
          <w:rtl w:val="0"/>
          <w:lang w:val="en-US"/>
        </w:rPr>
        <w:t>s redressal mechanisms have restored my confidence in digital transactions after recent fraud incidents. (</w:t>
      </w:r>
      <w:r>
        <w:rPr>
          <w:rFonts w:ascii="Arial Unicode MS" w:cs="Arial Unicode MS" w:hAnsi="Arial Unicode MS" w:eastAsia="Arial Unicode MS"/>
          <w:b w:val="0"/>
          <w:bCs w:val="0"/>
          <w:i w:val="0"/>
          <w:iCs w:val="0"/>
          <w:rtl w:val="0"/>
        </w:rPr>
        <w:t>সাম্প্রতিক</w:t>
      </w:r>
      <w:r>
        <w:rPr>
          <w:rFonts w:ascii="Times New Roman" w:hAnsi="Times New Roman"/>
          <w:rtl w:val="0"/>
        </w:rPr>
        <w:t xml:space="preserve"> </w:t>
      </w:r>
      <w:r>
        <w:rPr>
          <w:rFonts w:ascii="Arial Unicode MS" w:cs="Arial Unicode MS" w:hAnsi="Arial Unicode MS" w:eastAsia="Arial Unicode MS"/>
          <w:b w:val="0"/>
          <w:bCs w:val="0"/>
          <w:i w:val="0"/>
          <w:iCs w:val="0"/>
          <w:rtl w:val="0"/>
        </w:rPr>
        <w:t>জালিয়াতির</w:t>
      </w:r>
      <w:r>
        <w:rPr>
          <w:rFonts w:ascii="Times New Roman" w:hAnsi="Times New Roman"/>
          <w:rtl w:val="0"/>
        </w:rPr>
        <w:t xml:space="preserve"> </w:t>
      </w:r>
      <w:r>
        <w:rPr>
          <w:rFonts w:ascii="Arial Unicode MS" w:cs="Arial Unicode MS" w:hAnsi="Arial Unicode MS" w:eastAsia="Arial Unicode MS"/>
          <w:b w:val="0"/>
          <w:bCs w:val="0"/>
          <w:i w:val="0"/>
          <w:iCs w:val="0"/>
          <w:rtl w:val="0"/>
        </w:rPr>
        <w:t>ঘটনার</w:t>
      </w:r>
      <w:r>
        <w:rPr>
          <w:rFonts w:ascii="Times New Roman" w:hAnsi="Times New Roman"/>
          <w:rtl w:val="0"/>
        </w:rPr>
        <w:t xml:space="preserve"> </w:t>
      </w:r>
      <w:r>
        <w:rPr>
          <w:rFonts w:ascii="Arial Unicode MS" w:cs="Arial Unicode MS" w:hAnsi="Arial Unicode MS" w:eastAsia="Arial Unicode MS"/>
          <w:b w:val="0"/>
          <w:bCs w:val="0"/>
          <w:i w:val="0"/>
          <w:iCs w:val="0"/>
          <w:rtl w:val="0"/>
        </w:rPr>
        <w:t>পর</w:t>
      </w:r>
      <w:r>
        <w:rPr>
          <w:rFonts w:ascii="Times New Roman" w:hAnsi="Times New Roman"/>
          <w:rtl w:val="0"/>
        </w:rPr>
        <w:t xml:space="preserve"> </w:t>
      </w:r>
      <w:r>
        <w:rPr>
          <w:rFonts w:ascii="Arial Unicode MS" w:cs="Arial Unicode MS" w:hAnsi="Arial Unicode MS" w:eastAsia="Arial Unicode MS"/>
          <w:b w:val="0"/>
          <w:bCs w:val="0"/>
          <w:i w:val="0"/>
          <w:iCs w:val="0"/>
          <w:rtl w:val="0"/>
        </w:rPr>
        <w:t>বাংলাদেশ</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ব্যাংকের</w:t>
      </w:r>
      <w:r>
        <w:rPr>
          <w:rFonts w:ascii="Times New Roman" w:hAnsi="Times New Roman"/>
          <w:rtl w:val="0"/>
        </w:rPr>
        <w:t xml:space="preserve"> </w:t>
      </w:r>
      <w:r>
        <w:rPr>
          <w:rFonts w:ascii="Arial Unicode MS" w:cs="Arial Unicode MS" w:hAnsi="Arial Unicode MS" w:eastAsia="Arial Unicode MS"/>
          <w:b w:val="0"/>
          <w:bCs w:val="0"/>
          <w:i w:val="0"/>
          <w:iCs w:val="0"/>
          <w:rtl w:val="0"/>
        </w:rPr>
        <w:t>প্রতিকার</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ব্যবস্থা</w:t>
      </w:r>
      <w:r>
        <w:rPr>
          <w:rFonts w:ascii="Times New Roman" w:hAnsi="Times New Roman"/>
          <w:rtl w:val="0"/>
        </w:rPr>
        <w:t xml:space="preserve"> </w:t>
      </w:r>
      <w:r>
        <w:rPr>
          <w:rFonts w:ascii="Arial Unicode MS" w:cs="Arial Unicode MS" w:hAnsi="Arial Unicode MS" w:eastAsia="Arial Unicode MS"/>
          <w:b w:val="0"/>
          <w:bCs w:val="0"/>
          <w:i w:val="0"/>
          <w:iCs w:val="0"/>
          <w:rtl w:val="0"/>
        </w:rPr>
        <w:t>ডিজিটাল</w:t>
      </w:r>
      <w:r>
        <w:rPr>
          <w:rFonts w:ascii="Times New Roman" w:hAnsi="Times New Roman"/>
          <w:rtl w:val="0"/>
        </w:rPr>
        <w:t xml:space="preserve"> </w:t>
      </w:r>
      <w:r>
        <w:rPr>
          <w:rFonts w:ascii="Arial Unicode MS" w:cs="Arial Unicode MS" w:hAnsi="Arial Unicode MS" w:eastAsia="Arial Unicode MS"/>
          <w:b w:val="0"/>
          <w:bCs w:val="0"/>
          <w:i w:val="0"/>
          <w:iCs w:val="0"/>
          <w:rtl w:val="0"/>
        </w:rPr>
        <w:t>লেনদেনে</w:t>
      </w:r>
      <w:r>
        <w:rPr>
          <w:rFonts w:ascii="Times New Roman" w:hAnsi="Times New Roman"/>
          <w:rtl w:val="0"/>
        </w:rPr>
        <w:t xml:space="preserve"> </w:t>
      </w:r>
      <w:r>
        <w:rPr>
          <w:rFonts w:ascii="Arial Unicode MS" w:cs="Arial Unicode MS" w:hAnsi="Arial Unicode MS" w:eastAsia="Arial Unicode MS"/>
          <w:b w:val="0"/>
          <w:bCs w:val="0"/>
          <w:i w:val="0"/>
          <w:iCs w:val="0"/>
          <w:rtl w:val="0"/>
        </w:rPr>
        <w:t>আমার</w:t>
      </w:r>
      <w:r>
        <w:rPr>
          <w:rFonts w:ascii="Times New Roman" w:hAnsi="Times New Roman"/>
          <w:rtl w:val="0"/>
        </w:rPr>
        <w:t xml:space="preserve"> </w:t>
      </w:r>
      <w:r>
        <w:rPr>
          <w:rFonts w:ascii="Arial Unicode MS" w:cs="Arial Unicode MS" w:hAnsi="Arial Unicode MS" w:eastAsia="Arial Unicode MS"/>
          <w:b w:val="0"/>
          <w:bCs w:val="0"/>
          <w:i w:val="0"/>
          <w:iCs w:val="0"/>
          <w:rtl w:val="0"/>
        </w:rPr>
        <w:t>আস্থা</w:t>
      </w:r>
      <w:r>
        <w:rPr>
          <w:rFonts w:ascii="Times New Roman" w:hAnsi="Times New Roman"/>
          <w:rtl w:val="0"/>
        </w:rPr>
        <w:t xml:space="preserve"> </w:t>
      </w:r>
      <w:r>
        <w:rPr>
          <w:rFonts w:ascii="Arial Unicode MS" w:cs="Arial Unicode MS" w:hAnsi="Arial Unicode MS" w:eastAsia="Arial Unicode MS"/>
          <w:b w:val="0"/>
          <w:bCs w:val="0"/>
          <w:i w:val="0"/>
          <w:iCs w:val="0"/>
          <w:rtl w:val="0"/>
        </w:rPr>
        <w:t>ফিরিয়ে</w:t>
      </w:r>
      <w:r>
        <w:rPr>
          <w:rFonts w:ascii="Times New Roman" w:hAnsi="Times New Roman"/>
          <w:rtl w:val="0"/>
        </w:rPr>
        <w:t xml:space="preserve"> </w:t>
      </w:r>
      <w:r>
        <w:rPr>
          <w:rFonts w:ascii="Arial Unicode MS" w:cs="Arial Unicode MS" w:hAnsi="Arial Unicode MS" w:eastAsia="Arial Unicode MS"/>
          <w:b w:val="0"/>
          <w:bCs w:val="0"/>
          <w:i w:val="0"/>
          <w:iCs w:val="0"/>
          <w:rtl w:val="0"/>
        </w:rPr>
        <w:t>এনেছে।</w:t>
      </w:r>
      <w:r>
        <w:rPr>
          <w:rFonts w:ascii="Times New Roman" w:hAnsi="Times New Roman"/>
          <w:rtl w:val="0"/>
        </w:rPr>
        <w:t>)</w:t>
      </w:r>
    </w:p>
    <w:p>
      <w:pPr>
        <w:pStyle w:val="Default"/>
        <w:numPr>
          <w:ilvl w:val="0"/>
          <w:numId w:val="3"/>
        </w:numPr>
        <w:suppressAutoHyphens w:val="1"/>
        <w:spacing w:before="0" w:after="240" w:line="240" w:lineRule="auto"/>
        <w:jc w:val="both"/>
        <w:rPr>
          <w:rFonts w:ascii="Times New Roman" w:hAnsi="Times New Roman"/>
          <w:lang w:val="da-DK"/>
        </w:rPr>
      </w:pPr>
      <w:r>
        <w:rPr>
          <w:rFonts w:ascii="Times New Roman" w:hAnsi="Times New Roman"/>
          <w:b w:val="1"/>
          <w:bCs w:val="1"/>
          <w:rtl w:val="0"/>
          <w:lang w:val="da-DK"/>
        </w:rPr>
        <w:t>TR2:</w:t>
      </w:r>
      <w:r>
        <w:rPr>
          <w:rFonts w:ascii="Times New Roman" w:hAnsi="Times New Roman"/>
          <w:rtl w:val="0"/>
          <w:lang w:val="en-US"/>
        </w:rPr>
        <w:t xml:space="preserve"> I feel secure knowing there are measures to recover my money if a scam occurs. (</w:t>
      </w:r>
      <w:r>
        <w:rPr>
          <w:rFonts w:ascii="Arial Unicode MS" w:cs="Arial Unicode MS" w:hAnsi="Arial Unicode MS" w:eastAsia="Arial Unicode MS"/>
          <w:b w:val="0"/>
          <w:bCs w:val="0"/>
          <w:i w:val="0"/>
          <w:iCs w:val="0"/>
          <w:rtl w:val="0"/>
        </w:rPr>
        <w:t>আমি</w:t>
      </w:r>
      <w:r>
        <w:rPr>
          <w:rFonts w:ascii="Times New Roman" w:hAnsi="Times New Roman"/>
          <w:rtl w:val="0"/>
        </w:rPr>
        <w:t xml:space="preserve"> </w:t>
      </w:r>
      <w:r>
        <w:rPr>
          <w:rFonts w:ascii="Arial Unicode MS" w:cs="Arial Unicode MS" w:hAnsi="Arial Unicode MS" w:eastAsia="Arial Unicode MS"/>
          <w:b w:val="0"/>
          <w:bCs w:val="0"/>
          <w:i w:val="0"/>
          <w:iCs w:val="0"/>
          <w:rtl w:val="0"/>
        </w:rPr>
        <w:t>নিরাপদ</w:t>
      </w:r>
      <w:r>
        <w:rPr>
          <w:rFonts w:ascii="Times New Roman" w:hAnsi="Times New Roman"/>
          <w:rtl w:val="0"/>
        </w:rPr>
        <w:t xml:space="preserve"> </w:t>
      </w:r>
      <w:r>
        <w:rPr>
          <w:rFonts w:ascii="Arial Unicode MS" w:cs="Arial Unicode MS" w:hAnsi="Arial Unicode MS" w:eastAsia="Arial Unicode MS"/>
          <w:b w:val="0"/>
          <w:bCs w:val="0"/>
          <w:i w:val="0"/>
          <w:iCs w:val="0"/>
          <w:rtl w:val="0"/>
        </w:rPr>
        <w:t>বোধ</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w:t>
      </w:r>
      <w:r>
        <w:rPr>
          <w:rFonts w:ascii="Times New Roman" w:hAnsi="Times New Roman"/>
          <w:rtl w:val="0"/>
        </w:rPr>
        <w:t xml:space="preserve"> </w:t>
      </w:r>
      <w:r>
        <w:rPr>
          <w:rFonts w:ascii="Arial Unicode MS" w:cs="Arial Unicode MS" w:hAnsi="Arial Unicode MS" w:eastAsia="Arial Unicode MS"/>
          <w:b w:val="0"/>
          <w:bCs w:val="0"/>
          <w:i w:val="0"/>
          <w:iCs w:val="0"/>
          <w:rtl w:val="0"/>
        </w:rPr>
        <w:t>এই</w:t>
      </w:r>
      <w:r>
        <w:rPr>
          <w:rFonts w:ascii="Times New Roman" w:hAnsi="Times New Roman"/>
          <w:rtl w:val="0"/>
        </w:rPr>
        <w:t xml:space="preserve"> </w:t>
      </w:r>
      <w:r>
        <w:rPr>
          <w:rFonts w:ascii="Arial Unicode MS" w:cs="Arial Unicode MS" w:hAnsi="Arial Unicode MS" w:eastAsia="Arial Unicode MS"/>
          <w:b w:val="0"/>
          <w:bCs w:val="0"/>
          <w:i w:val="0"/>
          <w:iCs w:val="0"/>
          <w:rtl w:val="0"/>
        </w:rPr>
        <w:t>জেনে</w:t>
      </w:r>
      <w:r>
        <w:rPr>
          <w:rFonts w:ascii="Times New Roman" w:hAnsi="Times New Roman"/>
          <w:rtl w:val="0"/>
        </w:rPr>
        <w:t xml:space="preserve"> </w:t>
      </w:r>
      <w:r>
        <w:rPr>
          <w:rFonts w:ascii="Arial Unicode MS" w:cs="Arial Unicode MS" w:hAnsi="Arial Unicode MS" w:eastAsia="Arial Unicode MS"/>
          <w:b w:val="0"/>
          <w:bCs w:val="0"/>
          <w:i w:val="0"/>
          <w:iCs w:val="0"/>
          <w:rtl w:val="0"/>
        </w:rPr>
        <w:t>যে</w:t>
      </w:r>
      <w:r>
        <w:rPr>
          <w:rFonts w:ascii="Times New Roman" w:hAnsi="Times New Roman"/>
          <w:rtl w:val="0"/>
        </w:rPr>
        <w:t xml:space="preserve">, </w:t>
      </w:r>
      <w:r>
        <w:rPr>
          <w:rFonts w:ascii="Arial Unicode MS" w:cs="Arial Unicode MS" w:hAnsi="Arial Unicode MS" w:eastAsia="Arial Unicode MS"/>
          <w:b w:val="0"/>
          <w:bCs w:val="0"/>
          <w:i w:val="0"/>
          <w:iCs w:val="0"/>
          <w:rtl w:val="0"/>
        </w:rPr>
        <w:t>স্ক্যাম</w:t>
      </w:r>
      <w:r>
        <w:rPr>
          <w:rFonts w:ascii="Times New Roman" w:hAnsi="Times New Roman"/>
          <w:rtl w:val="0"/>
        </w:rPr>
        <w:t xml:space="preserve"> </w:t>
      </w:r>
      <w:r>
        <w:rPr>
          <w:rFonts w:ascii="Arial Unicode MS" w:cs="Arial Unicode MS" w:hAnsi="Arial Unicode MS" w:eastAsia="Arial Unicode MS"/>
          <w:b w:val="0"/>
          <w:bCs w:val="0"/>
          <w:i w:val="0"/>
          <w:iCs w:val="0"/>
          <w:rtl w:val="0"/>
        </w:rPr>
        <w:t>হলে</w:t>
      </w:r>
      <w:r>
        <w:rPr>
          <w:rFonts w:ascii="Times New Roman" w:hAnsi="Times New Roman"/>
          <w:rtl w:val="0"/>
        </w:rPr>
        <w:t xml:space="preserve"> </w:t>
      </w:r>
      <w:r>
        <w:rPr>
          <w:rFonts w:ascii="Arial Unicode MS" w:cs="Arial Unicode MS" w:hAnsi="Arial Unicode MS" w:eastAsia="Arial Unicode MS"/>
          <w:b w:val="0"/>
          <w:bCs w:val="0"/>
          <w:i w:val="0"/>
          <w:iCs w:val="0"/>
          <w:rtl w:val="0"/>
        </w:rPr>
        <w:t>আমার</w:t>
      </w:r>
      <w:r>
        <w:rPr>
          <w:rFonts w:ascii="Times New Roman" w:hAnsi="Times New Roman"/>
          <w:rtl w:val="0"/>
        </w:rPr>
        <w:t xml:space="preserve"> </w:t>
      </w:r>
      <w:r>
        <w:rPr>
          <w:rFonts w:ascii="Arial Unicode MS" w:cs="Arial Unicode MS" w:hAnsi="Arial Unicode MS" w:eastAsia="Arial Unicode MS"/>
          <w:b w:val="0"/>
          <w:bCs w:val="0"/>
          <w:i w:val="0"/>
          <w:iCs w:val="0"/>
          <w:rtl w:val="0"/>
        </w:rPr>
        <w:t>টাকা</w:t>
      </w:r>
      <w:r>
        <w:rPr>
          <w:rFonts w:ascii="Times New Roman" w:hAnsi="Times New Roman"/>
          <w:rtl w:val="0"/>
        </w:rPr>
        <w:t xml:space="preserve"> </w:t>
      </w:r>
      <w:r>
        <w:rPr>
          <w:rFonts w:ascii="Arial Unicode MS" w:cs="Arial Unicode MS" w:hAnsi="Arial Unicode MS" w:eastAsia="Arial Unicode MS"/>
          <w:b w:val="0"/>
          <w:bCs w:val="0"/>
          <w:i w:val="0"/>
          <w:iCs w:val="0"/>
          <w:rtl w:val="0"/>
        </w:rPr>
        <w:t>উদ্ধারের</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ব্যবস্থা</w:t>
      </w:r>
      <w:r>
        <w:rPr>
          <w:rFonts w:ascii="Times New Roman" w:hAnsi="Times New Roman"/>
          <w:rtl w:val="0"/>
        </w:rPr>
        <w:t xml:space="preserve"> </w:t>
      </w:r>
      <w:r>
        <w:rPr>
          <w:rFonts w:ascii="Arial Unicode MS" w:cs="Arial Unicode MS" w:hAnsi="Arial Unicode MS" w:eastAsia="Arial Unicode MS"/>
          <w:b w:val="0"/>
          <w:bCs w:val="0"/>
          <w:i w:val="0"/>
          <w:iCs w:val="0"/>
          <w:rtl w:val="0"/>
        </w:rPr>
        <w:t>আছে।</w:t>
      </w:r>
      <w:r>
        <w:rPr>
          <w:rFonts w:ascii="Times New Roman" w:hAnsi="Times New Roman"/>
          <w:rtl w:val="0"/>
        </w:rPr>
        <w:t>)</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 xml:space="preserve">Governance Perception (GP) - </w:t>
      </w:r>
      <w:r>
        <w:rPr>
          <w:rFonts w:ascii="Times New Roman" w:hAnsi="Times New Roman"/>
          <w:b w:val="1"/>
          <w:bCs w:val="1"/>
          <w:i w:val="1"/>
          <w:iCs w:val="1"/>
          <w:rtl w:val="0"/>
          <w:lang w:val="da-DK"/>
        </w:rPr>
        <w:t>Bangladesh Specific</w:t>
      </w:r>
    </w:p>
    <w:p>
      <w:pPr>
        <w:pStyle w:val="Default"/>
        <w:numPr>
          <w:ilvl w:val="0"/>
          <w:numId w:val="3"/>
        </w:numPr>
        <w:suppressAutoHyphens w:val="1"/>
        <w:spacing w:before="0" w:after="240" w:line="240" w:lineRule="auto"/>
        <w:jc w:val="both"/>
        <w:rPr>
          <w:rFonts w:ascii="Times New Roman" w:hAnsi="Times New Roman"/>
          <w:lang w:val="ru-RU"/>
        </w:rPr>
      </w:pPr>
      <w:r>
        <w:rPr>
          <w:rFonts w:ascii="Times New Roman" w:hAnsi="Times New Roman"/>
          <w:b w:val="1"/>
          <w:bCs w:val="1"/>
          <w:rtl w:val="0"/>
          <w:lang w:val="ru-RU"/>
        </w:rPr>
        <w:t>GP1:</w:t>
      </w:r>
      <w:r>
        <w:rPr>
          <w:rFonts w:ascii="Times New Roman" w:hAnsi="Times New Roman"/>
          <w:rtl w:val="0"/>
          <w:lang w:val="en-US"/>
        </w:rPr>
        <w:t xml:space="preserve"> I believe the central bank strictly enforces cybersecurity rules on MFS providers. (</w:t>
      </w:r>
      <w:r>
        <w:rPr>
          <w:rFonts w:ascii="Arial Unicode MS" w:cs="Arial Unicode MS" w:hAnsi="Arial Unicode MS" w:eastAsia="Arial Unicode MS"/>
          <w:b w:val="0"/>
          <w:bCs w:val="0"/>
          <w:i w:val="0"/>
          <w:iCs w:val="0"/>
          <w:rtl w:val="0"/>
        </w:rPr>
        <w:t>আমি</w:t>
      </w:r>
      <w:r>
        <w:rPr>
          <w:rFonts w:ascii="Times New Roman" w:hAnsi="Times New Roman"/>
          <w:rtl w:val="0"/>
        </w:rPr>
        <w:t xml:space="preserve"> </w:t>
      </w:r>
      <w:r>
        <w:rPr>
          <w:rFonts w:ascii="Arial Unicode MS" w:cs="Arial Unicode MS" w:hAnsi="Arial Unicode MS" w:eastAsia="Arial Unicode MS"/>
          <w:b w:val="0"/>
          <w:bCs w:val="0"/>
          <w:i w:val="0"/>
          <w:iCs w:val="0"/>
          <w:rtl w:val="0"/>
        </w:rPr>
        <w:t>বিশ্বাস</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w:t>
      </w:r>
      <w:r>
        <w:rPr>
          <w:rFonts w:ascii="Times New Roman" w:hAnsi="Times New Roman"/>
          <w:rtl w:val="0"/>
        </w:rPr>
        <w:t xml:space="preserve"> </w:t>
      </w:r>
      <w:r>
        <w:rPr>
          <w:rFonts w:ascii="Arial Unicode MS" w:cs="Arial Unicode MS" w:hAnsi="Arial Unicode MS" w:eastAsia="Arial Unicode MS"/>
          <w:b w:val="0"/>
          <w:bCs w:val="0"/>
          <w:i w:val="0"/>
          <w:iCs w:val="0"/>
          <w:rtl w:val="0"/>
        </w:rPr>
        <w:t>কেন্দ্রীয়</w:t>
      </w:r>
      <w:r>
        <w:rPr>
          <w:rFonts w:ascii="Times New Roman" w:hAnsi="Times New Roman"/>
          <w:rtl w:val="0"/>
        </w:rPr>
        <w:t xml:space="preserve"> </w:t>
      </w:r>
      <w:r>
        <w:rPr>
          <w:rFonts w:ascii="Arial Unicode MS" w:cs="Arial Unicode MS" w:hAnsi="Arial Unicode MS" w:eastAsia="Arial Unicode MS"/>
          <w:b w:val="0"/>
          <w:bCs w:val="0"/>
          <w:i w:val="0"/>
          <w:iCs w:val="0"/>
          <w:rtl w:val="0"/>
        </w:rPr>
        <w:t>ব্যাংক</w:t>
      </w:r>
      <w:r>
        <w:rPr>
          <w:rFonts w:ascii="Times New Roman" w:hAnsi="Times New Roman"/>
          <w:rtl w:val="0"/>
        </w:rPr>
        <w:t xml:space="preserve"> </w:t>
      </w:r>
      <w:r>
        <w:rPr>
          <w:rFonts w:ascii="Arial Unicode MS" w:cs="Arial Unicode MS" w:hAnsi="Arial Unicode MS" w:eastAsia="Arial Unicode MS"/>
          <w:b w:val="0"/>
          <w:bCs w:val="0"/>
          <w:i w:val="0"/>
          <w:iCs w:val="0"/>
          <w:rtl w:val="0"/>
        </w:rPr>
        <w:t>এমএফএস</w:t>
      </w:r>
      <w:r>
        <w:rPr>
          <w:rFonts w:ascii="Times New Roman" w:hAnsi="Times New Roman"/>
          <w:rtl w:val="0"/>
        </w:rPr>
        <w:t xml:space="preserve"> </w:t>
      </w:r>
      <w:r>
        <w:rPr>
          <w:rFonts w:ascii="Arial Unicode MS" w:cs="Arial Unicode MS" w:hAnsi="Arial Unicode MS" w:eastAsia="Arial Unicode MS"/>
          <w:b w:val="0"/>
          <w:bCs w:val="0"/>
          <w:i w:val="0"/>
          <w:iCs w:val="0"/>
          <w:rtl w:val="0"/>
        </w:rPr>
        <w:t>প্রদানকারীদের</w:t>
      </w:r>
      <w:r>
        <w:rPr>
          <w:rFonts w:ascii="Times New Roman" w:hAnsi="Times New Roman"/>
          <w:rtl w:val="0"/>
        </w:rPr>
        <w:t xml:space="preserve"> </w:t>
      </w:r>
      <w:r>
        <w:rPr>
          <w:rFonts w:ascii="Arial Unicode MS" w:cs="Arial Unicode MS" w:hAnsi="Arial Unicode MS" w:eastAsia="Arial Unicode MS"/>
          <w:b w:val="0"/>
          <w:bCs w:val="0"/>
          <w:i w:val="0"/>
          <w:iCs w:val="0"/>
          <w:rtl w:val="0"/>
        </w:rPr>
        <w:t>ওপর</w:t>
      </w:r>
      <w:r>
        <w:rPr>
          <w:rFonts w:ascii="Times New Roman" w:hAnsi="Times New Roman"/>
          <w:rtl w:val="0"/>
        </w:rPr>
        <w:t xml:space="preserve"> </w:t>
      </w:r>
      <w:r>
        <w:rPr>
          <w:rFonts w:ascii="Arial Unicode MS" w:cs="Arial Unicode MS" w:hAnsi="Arial Unicode MS" w:eastAsia="Arial Unicode MS"/>
          <w:b w:val="0"/>
          <w:bCs w:val="0"/>
          <w:i w:val="0"/>
          <w:iCs w:val="0"/>
          <w:rtl w:val="0"/>
        </w:rPr>
        <w:t>সাইবার</w:t>
      </w:r>
      <w:r>
        <w:rPr>
          <w:rFonts w:ascii="Times New Roman" w:hAnsi="Times New Roman"/>
          <w:rtl w:val="0"/>
        </w:rPr>
        <w:t xml:space="preserve"> </w:t>
      </w:r>
      <w:r>
        <w:rPr>
          <w:rFonts w:ascii="Arial Unicode MS" w:cs="Arial Unicode MS" w:hAnsi="Arial Unicode MS" w:eastAsia="Arial Unicode MS"/>
          <w:b w:val="0"/>
          <w:bCs w:val="0"/>
          <w:i w:val="0"/>
          <w:iCs w:val="0"/>
          <w:rtl w:val="0"/>
        </w:rPr>
        <w:t>নিরাপত্তা</w:t>
      </w:r>
      <w:r>
        <w:rPr>
          <w:rFonts w:ascii="Times New Roman" w:hAnsi="Times New Roman"/>
          <w:rtl w:val="0"/>
        </w:rPr>
        <w:t xml:space="preserve"> </w:t>
      </w:r>
      <w:r>
        <w:rPr>
          <w:rFonts w:ascii="Arial Unicode MS" w:cs="Arial Unicode MS" w:hAnsi="Arial Unicode MS" w:eastAsia="Arial Unicode MS"/>
          <w:b w:val="0"/>
          <w:bCs w:val="0"/>
          <w:i w:val="0"/>
          <w:iCs w:val="0"/>
          <w:rtl w:val="0"/>
        </w:rPr>
        <w:t>নিয়ম</w:t>
      </w:r>
      <w:r>
        <w:rPr>
          <w:rFonts w:ascii="Times New Roman" w:hAnsi="Times New Roman"/>
          <w:rtl w:val="0"/>
        </w:rPr>
        <w:t xml:space="preserve"> </w:t>
      </w:r>
      <w:r>
        <w:rPr>
          <w:rFonts w:ascii="Arial Unicode MS" w:cs="Arial Unicode MS" w:hAnsi="Arial Unicode MS" w:eastAsia="Arial Unicode MS"/>
          <w:b w:val="0"/>
          <w:bCs w:val="0"/>
          <w:i w:val="0"/>
          <w:iCs w:val="0"/>
          <w:rtl w:val="0"/>
        </w:rPr>
        <w:t>কঠোরভাবে</w:t>
      </w:r>
      <w:r>
        <w:rPr>
          <w:rFonts w:ascii="Times New Roman" w:hAnsi="Times New Roman"/>
          <w:rtl w:val="0"/>
        </w:rPr>
        <w:t xml:space="preserve"> </w:t>
      </w:r>
      <w:r>
        <w:rPr>
          <w:rFonts w:ascii="Arial Unicode MS" w:cs="Arial Unicode MS" w:hAnsi="Arial Unicode MS" w:eastAsia="Arial Unicode MS"/>
          <w:b w:val="0"/>
          <w:bCs w:val="0"/>
          <w:i w:val="0"/>
          <w:iCs w:val="0"/>
          <w:rtl w:val="0"/>
        </w:rPr>
        <w:t>প্রয়োগ</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w:t>
      </w:r>
      <w:r>
        <w:rPr>
          <w:rFonts w:ascii="Times New Roman" w:hAnsi="Times New Roman"/>
          <w:rtl w:val="0"/>
        </w:rPr>
        <w:t>)</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 xml:space="preserve">Post-Fraud Risk Perception (PFR) - </w:t>
      </w:r>
      <w:r>
        <w:rPr>
          <w:rFonts w:ascii="Times New Roman" w:hAnsi="Times New Roman"/>
          <w:b w:val="1"/>
          <w:bCs w:val="1"/>
          <w:i w:val="1"/>
          <w:iCs w:val="1"/>
          <w:rtl w:val="0"/>
          <w:lang w:val="da-DK"/>
        </w:rPr>
        <w:t>Bangladesh Specific</w:t>
      </w:r>
    </w:p>
    <w:p>
      <w:pPr>
        <w:pStyle w:val="Default"/>
        <w:numPr>
          <w:ilvl w:val="0"/>
          <w:numId w:val="3"/>
        </w:numPr>
        <w:suppressAutoHyphens w:val="1"/>
        <w:spacing w:before="0" w:after="240" w:line="240" w:lineRule="auto"/>
        <w:jc w:val="both"/>
        <w:rPr>
          <w:rFonts w:ascii="Times New Roman" w:hAnsi="Times New Roman"/>
          <w:lang w:val="de-DE"/>
        </w:rPr>
      </w:pPr>
      <w:r>
        <w:rPr>
          <w:rFonts w:ascii="Times New Roman" w:hAnsi="Times New Roman"/>
          <w:b w:val="1"/>
          <w:bCs w:val="1"/>
          <w:rtl w:val="0"/>
          <w:lang w:val="de-DE"/>
        </w:rPr>
        <w:t>PFR1:</w:t>
      </w:r>
      <w:r>
        <w:rPr>
          <w:rFonts w:ascii="Times New Roman" w:hAnsi="Times New Roman"/>
          <w:rtl w:val="0"/>
          <w:lang w:val="en-US"/>
        </w:rPr>
        <w:t xml:space="preserve"> Recent news of SIM-swap or phishing frauds makes me hesitate to keep large amounts in my mobile wallet. (</w:t>
      </w:r>
      <w:r>
        <w:rPr>
          <w:rFonts w:ascii="Arial Unicode MS" w:cs="Arial Unicode MS" w:hAnsi="Arial Unicode MS" w:eastAsia="Arial Unicode MS"/>
          <w:b w:val="0"/>
          <w:bCs w:val="0"/>
          <w:i w:val="0"/>
          <w:iCs w:val="0"/>
          <w:rtl w:val="0"/>
        </w:rPr>
        <w:t>সাম্প্রতিক</w:t>
      </w:r>
      <w:r>
        <w:rPr>
          <w:rFonts w:ascii="Times New Roman" w:hAnsi="Times New Roman"/>
          <w:rtl w:val="0"/>
        </w:rPr>
        <w:t xml:space="preserve"> </w:t>
      </w:r>
      <w:r>
        <w:rPr>
          <w:rFonts w:ascii="Arial Unicode MS" w:cs="Arial Unicode MS" w:hAnsi="Arial Unicode MS" w:eastAsia="Arial Unicode MS"/>
          <w:b w:val="0"/>
          <w:bCs w:val="0"/>
          <w:i w:val="0"/>
          <w:iCs w:val="0"/>
          <w:rtl w:val="0"/>
        </w:rPr>
        <w:t>সিম</w:t>
      </w:r>
      <w:r>
        <w:rPr>
          <w:rFonts w:ascii="Times New Roman" w:hAnsi="Times New Roman"/>
          <w:rtl w:val="0"/>
        </w:rPr>
        <w:t>-</w:t>
      </w:r>
      <w:r>
        <w:rPr>
          <w:rFonts w:ascii="Arial Unicode MS" w:cs="Arial Unicode MS" w:hAnsi="Arial Unicode MS" w:eastAsia="Arial Unicode MS"/>
          <w:b w:val="0"/>
          <w:bCs w:val="0"/>
          <w:i w:val="0"/>
          <w:iCs w:val="0"/>
          <w:rtl w:val="0"/>
        </w:rPr>
        <w:t>সোয়াপ</w:t>
      </w:r>
      <w:r>
        <w:rPr>
          <w:rFonts w:ascii="Times New Roman" w:hAnsi="Times New Roman"/>
          <w:rtl w:val="0"/>
        </w:rPr>
        <w:t xml:space="preserve"> </w:t>
      </w:r>
      <w:r>
        <w:rPr>
          <w:rFonts w:ascii="Arial Unicode MS" w:cs="Arial Unicode MS" w:hAnsi="Arial Unicode MS" w:eastAsia="Arial Unicode MS"/>
          <w:b w:val="0"/>
          <w:bCs w:val="0"/>
          <w:i w:val="0"/>
          <w:iCs w:val="0"/>
          <w:rtl w:val="0"/>
        </w:rPr>
        <w:t>বা</w:t>
      </w:r>
      <w:r>
        <w:rPr>
          <w:rFonts w:ascii="Times New Roman" w:hAnsi="Times New Roman"/>
          <w:rtl w:val="0"/>
        </w:rPr>
        <w:t xml:space="preserve"> </w:t>
      </w:r>
      <w:r>
        <w:rPr>
          <w:rFonts w:ascii="Arial Unicode MS" w:cs="Arial Unicode MS" w:hAnsi="Arial Unicode MS" w:eastAsia="Arial Unicode MS"/>
          <w:b w:val="0"/>
          <w:bCs w:val="0"/>
          <w:i w:val="0"/>
          <w:iCs w:val="0"/>
          <w:rtl w:val="0"/>
        </w:rPr>
        <w:t>ফিশিং</w:t>
      </w:r>
      <w:r>
        <w:rPr>
          <w:rFonts w:ascii="Times New Roman" w:hAnsi="Times New Roman"/>
          <w:rtl w:val="0"/>
        </w:rPr>
        <w:t xml:space="preserve"> </w:t>
      </w:r>
      <w:r>
        <w:rPr>
          <w:rFonts w:ascii="Arial Unicode MS" w:cs="Arial Unicode MS" w:hAnsi="Arial Unicode MS" w:eastAsia="Arial Unicode MS"/>
          <w:b w:val="0"/>
          <w:bCs w:val="0"/>
          <w:i w:val="0"/>
          <w:iCs w:val="0"/>
          <w:rtl w:val="0"/>
        </w:rPr>
        <w:t>জালিয়াতির</w:t>
      </w:r>
      <w:r>
        <w:rPr>
          <w:rFonts w:ascii="Times New Roman" w:hAnsi="Times New Roman"/>
          <w:rtl w:val="0"/>
        </w:rPr>
        <w:t xml:space="preserve"> </w:t>
      </w:r>
      <w:r>
        <w:rPr>
          <w:rFonts w:ascii="Arial Unicode MS" w:cs="Arial Unicode MS" w:hAnsi="Arial Unicode MS" w:eastAsia="Arial Unicode MS"/>
          <w:b w:val="0"/>
          <w:bCs w:val="0"/>
          <w:i w:val="0"/>
          <w:iCs w:val="0"/>
          <w:rtl w:val="0"/>
        </w:rPr>
        <w:t>খবর</w:t>
      </w:r>
      <w:r>
        <w:rPr>
          <w:rFonts w:ascii="Times New Roman" w:hAnsi="Times New Roman"/>
          <w:rtl w:val="0"/>
        </w:rPr>
        <w:t xml:space="preserve"> </w:t>
      </w:r>
      <w:r>
        <w:rPr>
          <w:rFonts w:ascii="Arial Unicode MS" w:cs="Arial Unicode MS" w:hAnsi="Arial Unicode MS" w:eastAsia="Arial Unicode MS"/>
          <w:b w:val="0"/>
          <w:bCs w:val="0"/>
          <w:i w:val="0"/>
          <w:iCs w:val="0"/>
          <w:rtl w:val="0"/>
        </w:rPr>
        <w:t>আমাকে</w:t>
      </w:r>
      <w:r>
        <w:rPr>
          <w:rFonts w:ascii="Times New Roman" w:hAnsi="Times New Roman"/>
          <w:rtl w:val="0"/>
        </w:rPr>
        <w:t xml:space="preserve"> </w:t>
      </w:r>
      <w:r>
        <w:rPr>
          <w:rFonts w:ascii="Arial Unicode MS" w:cs="Arial Unicode MS" w:hAnsi="Arial Unicode MS" w:eastAsia="Arial Unicode MS"/>
          <w:b w:val="0"/>
          <w:bCs w:val="0"/>
          <w:i w:val="0"/>
          <w:iCs w:val="0"/>
          <w:rtl w:val="0"/>
        </w:rPr>
        <w:t>আমার</w:t>
      </w:r>
      <w:r>
        <w:rPr>
          <w:rFonts w:ascii="Times New Roman" w:hAnsi="Times New Roman"/>
          <w:rtl w:val="0"/>
        </w:rPr>
        <w:t xml:space="preserve"> </w:t>
      </w:r>
      <w:r>
        <w:rPr>
          <w:rFonts w:ascii="Arial Unicode MS" w:cs="Arial Unicode MS" w:hAnsi="Arial Unicode MS" w:eastAsia="Arial Unicode MS"/>
          <w:b w:val="0"/>
          <w:bCs w:val="0"/>
          <w:i w:val="0"/>
          <w:iCs w:val="0"/>
          <w:rtl w:val="0"/>
        </w:rPr>
        <w:t>মোবাইল</w:t>
      </w:r>
      <w:r>
        <w:rPr>
          <w:rFonts w:ascii="Times New Roman" w:hAnsi="Times New Roman"/>
          <w:rtl w:val="0"/>
        </w:rPr>
        <w:t xml:space="preserve"> </w:t>
      </w:r>
      <w:r>
        <w:rPr>
          <w:rFonts w:ascii="Arial Unicode MS" w:cs="Arial Unicode MS" w:hAnsi="Arial Unicode MS" w:eastAsia="Arial Unicode MS"/>
          <w:b w:val="0"/>
          <w:bCs w:val="0"/>
          <w:i w:val="0"/>
          <w:iCs w:val="0"/>
          <w:rtl w:val="0"/>
        </w:rPr>
        <w:t>ওয়ালেটে</w:t>
      </w:r>
      <w:r>
        <w:rPr>
          <w:rFonts w:ascii="Times New Roman" w:hAnsi="Times New Roman"/>
          <w:rtl w:val="0"/>
        </w:rPr>
        <w:t xml:space="preserve"> </w:t>
      </w:r>
      <w:r>
        <w:rPr>
          <w:rFonts w:ascii="Arial Unicode MS" w:cs="Arial Unicode MS" w:hAnsi="Arial Unicode MS" w:eastAsia="Arial Unicode MS"/>
          <w:b w:val="0"/>
          <w:bCs w:val="0"/>
          <w:i w:val="0"/>
          <w:iCs w:val="0"/>
          <w:rtl w:val="0"/>
        </w:rPr>
        <w:t>বড়</w:t>
      </w:r>
      <w:r>
        <w:rPr>
          <w:rFonts w:ascii="Times New Roman" w:hAnsi="Times New Roman"/>
          <w:rtl w:val="0"/>
        </w:rPr>
        <w:t xml:space="preserve"> </w:t>
      </w:r>
      <w:r>
        <w:rPr>
          <w:rFonts w:ascii="Arial Unicode MS" w:cs="Arial Unicode MS" w:hAnsi="Arial Unicode MS" w:eastAsia="Arial Unicode MS"/>
          <w:b w:val="0"/>
          <w:bCs w:val="0"/>
          <w:i w:val="0"/>
          <w:iCs w:val="0"/>
          <w:rtl w:val="0"/>
        </w:rPr>
        <w:t>অংকের</w:t>
      </w:r>
      <w:r>
        <w:rPr>
          <w:rFonts w:ascii="Times New Roman" w:hAnsi="Times New Roman"/>
          <w:rtl w:val="0"/>
        </w:rPr>
        <w:t xml:space="preserve"> </w:t>
      </w:r>
      <w:r>
        <w:rPr>
          <w:rFonts w:ascii="Arial Unicode MS" w:cs="Arial Unicode MS" w:hAnsi="Arial Unicode MS" w:eastAsia="Arial Unicode MS"/>
          <w:b w:val="0"/>
          <w:bCs w:val="0"/>
          <w:i w:val="0"/>
          <w:iCs w:val="0"/>
          <w:rtl w:val="0"/>
        </w:rPr>
        <w:t>টাকা</w:t>
      </w:r>
      <w:r>
        <w:rPr>
          <w:rFonts w:ascii="Times New Roman" w:hAnsi="Times New Roman"/>
          <w:rtl w:val="0"/>
        </w:rPr>
        <w:t xml:space="preserve"> </w:t>
      </w:r>
      <w:r>
        <w:rPr>
          <w:rFonts w:ascii="Arial Unicode MS" w:cs="Arial Unicode MS" w:hAnsi="Arial Unicode MS" w:eastAsia="Arial Unicode MS"/>
          <w:b w:val="0"/>
          <w:bCs w:val="0"/>
          <w:i w:val="0"/>
          <w:iCs w:val="0"/>
          <w:rtl w:val="0"/>
        </w:rPr>
        <w:t>রাখতে</w:t>
      </w:r>
      <w:r>
        <w:rPr>
          <w:rFonts w:ascii="Times New Roman" w:hAnsi="Times New Roman"/>
          <w:rtl w:val="0"/>
        </w:rPr>
        <w:t xml:space="preserve"> </w:t>
      </w:r>
      <w:r>
        <w:rPr>
          <w:rFonts w:ascii="Arial Unicode MS" w:cs="Arial Unicode MS" w:hAnsi="Arial Unicode MS" w:eastAsia="Arial Unicode MS"/>
          <w:b w:val="0"/>
          <w:bCs w:val="0"/>
          <w:i w:val="0"/>
          <w:iCs w:val="0"/>
          <w:rtl w:val="0"/>
        </w:rPr>
        <w:t>দ্বিধাগ্রস্ত</w:t>
      </w:r>
      <w:r>
        <w:rPr>
          <w:rFonts w:ascii="Times New Roman" w:hAnsi="Times New Roman"/>
          <w:rtl w:val="0"/>
        </w:rPr>
        <w:t xml:space="preserve"> </w:t>
      </w:r>
      <w:r>
        <w:rPr>
          <w:rFonts w:ascii="Arial Unicode MS" w:cs="Arial Unicode MS" w:hAnsi="Arial Unicode MS" w:eastAsia="Arial Unicode MS"/>
          <w:b w:val="0"/>
          <w:bCs w:val="0"/>
          <w:i w:val="0"/>
          <w:iCs w:val="0"/>
          <w:rtl w:val="0"/>
        </w:rPr>
        <w:t>করে।</w:t>
      </w:r>
      <w:r>
        <w:rPr>
          <w:rFonts w:ascii="Times New Roman" w:hAnsi="Times New Roman"/>
          <w:rtl w:val="0"/>
        </w:rPr>
        <w:t>)</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 xml:space="preserve">Agent Network Quality (AQ) - </w:t>
      </w:r>
      <w:r>
        <w:rPr>
          <w:rFonts w:ascii="Times New Roman" w:hAnsi="Times New Roman"/>
          <w:b w:val="1"/>
          <w:bCs w:val="1"/>
          <w:i w:val="1"/>
          <w:iCs w:val="1"/>
          <w:rtl w:val="0"/>
          <w:lang w:val="da-DK"/>
        </w:rPr>
        <w:t>Bangladesh Specific</w:t>
      </w:r>
    </w:p>
    <w:p>
      <w:pPr>
        <w:pStyle w:val="Default"/>
        <w:numPr>
          <w:ilvl w:val="0"/>
          <w:numId w:val="3"/>
        </w:numPr>
        <w:suppressAutoHyphens w:val="1"/>
        <w:spacing w:before="0" w:after="240" w:line="240" w:lineRule="auto"/>
        <w:jc w:val="both"/>
        <w:rPr>
          <w:rFonts w:ascii="Times New Roman" w:hAnsi="Times New Roman"/>
          <w:lang w:val="it-IT"/>
        </w:rPr>
      </w:pPr>
      <w:r>
        <w:rPr>
          <w:rFonts w:ascii="Times New Roman" w:hAnsi="Times New Roman"/>
          <w:b w:val="1"/>
          <w:bCs w:val="1"/>
          <w:rtl w:val="0"/>
          <w:lang w:val="it-IT"/>
        </w:rPr>
        <w:t>AQ1:</w:t>
      </w:r>
      <w:r>
        <w:rPr>
          <w:rFonts w:ascii="Times New Roman" w:hAnsi="Times New Roman"/>
          <w:rtl w:val="0"/>
          <w:lang w:val="en-US"/>
        </w:rPr>
        <w:t xml:space="preserve"> Agents in my area are knowledgeable, trustworthy, and usually have enough cash liquidity. (</w:t>
      </w:r>
      <w:r>
        <w:rPr>
          <w:rFonts w:ascii="Arial Unicode MS" w:cs="Arial Unicode MS" w:hAnsi="Arial Unicode MS" w:eastAsia="Arial Unicode MS"/>
          <w:b w:val="0"/>
          <w:bCs w:val="0"/>
          <w:i w:val="0"/>
          <w:iCs w:val="0"/>
          <w:rtl w:val="0"/>
        </w:rPr>
        <w:t>আমার</w:t>
      </w:r>
      <w:r>
        <w:rPr>
          <w:rFonts w:ascii="Times New Roman" w:hAnsi="Times New Roman"/>
          <w:rtl w:val="0"/>
        </w:rPr>
        <w:t xml:space="preserve"> </w:t>
      </w:r>
      <w:r>
        <w:rPr>
          <w:rFonts w:ascii="Arial Unicode MS" w:cs="Arial Unicode MS" w:hAnsi="Arial Unicode MS" w:eastAsia="Arial Unicode MS"/>
          <w:b w:val="0"/>
          <w:bCs w:val="0"/>
          <w:i w:val="0"/>
          <w:iCs w:val="0"/>
          <w:rtl w:val="0"/>
        </w:rPr>
        <w:t>এলাকার</w:t>
      </w:r>
      <w:r>
        <w:rPr>
          <w:rFonts w:ascii="Times New Roman" w:hAnsi="Times New Roman"/>
          <w:rtl w:val="0"/>
        </w:rPr>
        <w:t xml:space="preserve"> </w:t>
      </w:r>
      <w:r>
        <w:rPr>
          <w:rFonts w:ascii="Arial Unicode MS" w:cs="Arial Unicode MS" w:hAnsi="Arial Unicode MS" w:eastAsia="Arial Unicode MS"/>
          <w:b w:val="0"/>
          <w:bCs w:val="0"/>
          <w:i w:val="0"/>
          <w:iCs w:val="0"/>
          <w:rtl w:val="0"/>
        </w:rPr>
        <w:t>এজেন্টরা</w:t>
      </w:r>
      <w:r>
        <w:rPr>
          <w:rFonts w:ascii="Times New Roman" w:hAnsi="Times New Roman"/>
          <w:rtl w:val="0"/>
        </w:rPr>
        <w:t xml:space="preserve"> </w:t>
      </w:r>
      <w:r>
        <w:rPr>
          <w:rFonts w:ascii="Arial Unicode MS" w:cs="Arial Unicode MS" w:hAnsi="Arial Unicode MS" w:eastAsia="Arial Unicode MS"/>
          <w:b w:val="0"/>
          <w:bCs w:val="0"/>
          <w:i w:val="0"/>
          <w:iCs w:val="0"/>
          <w:rtl w:val="0"/>
        </w:rPr>
        <w:t>জ্ঞানী</w:t>
      </w:r>
      <w:r>
        <w:rPr>
          <w:rFonts w:ascii="Times New Roman" w:hAnsi="Times New Roman"/>
          <w:rtl w:val="0"/>
        </w:rPr>
        <w:t xml:space="preserve">, </w:t>
      </w:r>
      <w:r>
        <w:rPr>
          <w:rFonts w:ascii="Arial Unicode MS" w:cs="Arial Unicode MS" w:hAnsi="Arial Unicode MS" w:eastAsia="Arial Unicode MS"/>
          <w:b w:val="0"/>
          <w:bCs w:val="0"/>
          <w:i w:val="0"/>
          <w:iCs w:val="0"/>
          <w:rtl w:val="0"/>
        </w:rPr>
        <w:t>বিশ্বস্ত</w:t>
      </w:r>
      <w:r>
        <w:rPr>
          <w:rFonts w:ascii="Times New Roman" w:hAnsi="Times New Roman"/>
          <w:rtl w:val="0"/>
        </w:rPr>
        <w:t xml:space="preserve"> </w:t>
      </w:r>
      <w:r>
        <w:rPr>
          <w:rFonts w:ascii="Arial Unicode MS" w:cs="Arial Unicode MS" w:hAnsi="Arial Unicode MS" w:eastAsia="Arial Unicode MS"/>
          <w:b w:val="0"/>
          <w:bCs w:val="0"/>
          <w:i w:val="0"/>
          <w:iCs w:val="0"/>
          <w:rtl w:val="0"/>
        </w:rPr>
        <w:t>এবং</w:t>
      </w:r>
      <w:r>
        <w:rPr>
          <w:rFonts w:ascii="Times New Roman" w:hAnsi="Times New Roman"/>
          <w:rtl w:val="0"/>
        </w:rPr>
        <w:t xml:space="preserve"> </w:t>
      </w:r>
      <w:r>
        <w:rPr>
          <w:rFonts w:ascii="Arial Unicode MS" w:cs="Arial Unicode MS" w:hAnsi="Arial Unicode MS" w:eastAsia="Arial Unicode MS"/>
          <w:b w:val="0"/>
          <w:bCs w:val="0"/>
          <w:i w:val="0"/>
          <w:iCs w:val="0"/>
          <w:rtl w:val="0"/>
        </w:rPr>
        <w:t>সাধারণত</w:t>
      </w:r>
      <w:r>
        <w:rPr>
          <w:rFonts w:ascii="Times New Roman" w:hAnsi="Times New Roman"/>
          <w:rtl w:val="0"/>
        </w:rPr>
        <w:t xml:space="preserve"> </w:t>
      </w:r>
      <w:r>
        <w:rPr>
          <w:rFonts w:ascii="Arial Unicode MS" w:cs="Arial Unicode MS" w:hAnsi="Arial Unicode MS" w:eastAsia="Arial Unicode MS"/>
          <w:b w:val="0"/>
          <w:bCs w:val="0"/>
          <w:i w:val="0"/>
          <w:iCs w:val="0"/>
          <w:rtl w:val="0"/>
        </w:rPr>
        <w:t>তাদের</w:t>
      </w:r>
      <w:r>
        <w:rPr>
          <w:rFonts w:ascii="Times New Roman" w:hAnsi="Times New Roman"/>
          <w:rtl w:val="0"/>
        </w:rPr>
        <w:t xml:space="preserve"> </w:t>
      </w:r>
      <w:r>
        <w:rPr>
          <w:rFonts w:ascii="Arial Unicode MS" w:cs="Arial Unicode MS" w:hAnsi="Arial Unicode MS" w:eastAsia="Arial Unicode MS"/>
          <w:b w:val="0"/>
          <w:bCs w:val="0"/>
          <w:i w:val="0"/>
          <w:iCs w:val="0"/>
          <w:rtl w:val="0"/>
        </w:rPr>
        <w:t>কাছে</w:t>
      </w:r>
      <w:r>
        <w:rPr>
          <w:rFonts w:ascii="Times New Roman" w:hAnsi="Times New Roman"/>
          <w:rtl w:val="0"/>
        </w:rPr>
        <w:t xml:space="preserve"> </w:t>
      </w:r>
      <w:r>
        <w:rPr>
          <w:rFonts w:ascii="Arial Unicode MS" w:cs="Arial Unicode MS" w:hAnsi="Arial Unicode MS" w:eastAsia="Arial Unicode MS"/>
          <w:b w:val="0"/>
          <w:bCs w:val="0"/>
          <w:i w:val="0"/>
          <w:iCs w:val="0"/>
          <w:rtl w:val="0"/>
        </w:rPr>
        <w:t>পর্যাপ্ত</w:t>
      </w:r>
      <w:r>
        <w:rPr>
          <w:rFonts w:ascii="Times New Roman" w:hAnsi="Times New Roman"/>
          <w:rtl w:val="0"/>
        </w:rPr>
        <w:t xml:space="preserve"> </w:t>
      </w:r>
      <w:r>
        <w:rPr>
          <w:rFonts w:ascii="Arial Unicode MS" w:cs="Arial Unicode MS" w:hAnsi="Arial Unicode MS" w:eastAsia="Arial Unicode MS"/>
          <w:b w:val="0"/>
          <w:bCs w:val="0"/>
          <w:i w:val="0"/>
          <w:iCs w:val="0"/>
          <w:rtl w:val="0"/>
        </w:rPr>
        <w:t>নগদ</w:t>
      </w:r>
      <w:r>
        <w:rPr>
          <w:rFonts w:ascii="Times New Roman" w:hAnsi="Times New Roman"/>
          <w:rtl w:val="0"/>
        </w:rPr>
        <w:t xml:space="preserve"> </w:t>
      </w:r>
      <w:r>
        <w:rPr>
          <w:rFonts w:ascii="Arial Unicode MS" w:cs="Arial Unicode MS" w:hAnsi="Arial Unicode MS" w:eastAsia="Arial Unicode MS"/>
          <w:b w:val="0"/>
          <w:bCs w:val="0"/>
          <w:i w:val="0"/>
          <w:iCs w:val="0"/>
          <w:rtl w:val="0"/>
        </w:rPr>
        <w:t>অর্থ</w:t>
      </w:r>
      <w:r>
        <w:rPr>
          <w:rFonts w:ascii="Times New Roman" w:hAnsi="Times New Roman"/>
          <w:rtl w:val="0"/>
        </w:rPr>
        <w:t xml:space="preserve"> </w:t>
      </w:r>
      <w:r>
        <w:rPr>
          <w:rFonts w:ascii="Arial Unicode MS" w:cs="Arial Unicode MS" w:hAnsi="Arial Unicode MS" w:eastAsia="Arial Unicode MS"/>
          <w:b w:val="0"/>
          <w:bCs w:val="0"/>
          <w:i w:val="0"/>
          <w:iCs w:val="0"/>
          <w:rtl w:val="0"/>
        </w:rPr>
        <w:t>থাকে।</w:t>
      </w:r>
      <w:r>
        <w:rPr>
          <w:rFonts w:ascii="Times New Roman" w:hAnsi="Times New Roman"/>
          <w:rtl w:val="0"/>
        </w:rPr>
        <w:t>)</w:t>
      </w:r>
    </w:p>
    <w:p>
      <w:pPr>
        <w:pStyle w:val="Default"/>
        <w:suppressAutoHyphens w:val="1"/>
        <w:spacing w:before="0" w:line="240" w:lineRule="auto"/>
        <w:jc w:val="both"/>
        <w:rPr>
          <w:rFonts w:ascii="Times New Roman" w:cs="Times New Roman" w:hAnsi="Times New Roman" w:eastAsia="Times New Roman"/>
          <w:outline w:val="0"/>
          <w:color w:val="808080"/>
          <w14:textFill>
            <w14:solidFill>
              <w14:srgbClr w14:val="808080"/>
            </w14:solidFill>
          </w14:textFill>
        </w:rPr>
      </w:pPr>
    </w:p>
    <w:p>
      <w:pPr>
        <w:pStyle w:val="Default"/>
        <w:suppressAutoHyphens w:val="1"/>
        <w:spacing w:before="0" w:after="299" w:line="240"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de-DE"/>
        </w:rPr>
        <w:t>Appendix B: Semi-Structured Interview Guide &amp; Protocol</w:t>
      </w:r>
    </w:p>
    <w:p>
      <w:pPr>
        <w:pStyle w:val="Default"/>
        <w:suppressAutoHyphens w:val="1"/>
        <w:spacing w:before="0" w:after="281" w:line="240" w:lineRule="auto"/>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Target Audience: Key Informants (Regulators, MFS Executives, Rural Agents)</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it-IT"/>
        </w:rPr>
        <w:t>Protocol:</w:t>
      </w:r>
      <w:r>
        <w:rPr>
          <w:rFonts w:ascii="Times New Roman" w:hAnsi="Times New Roman"/>
          <w:rtl w:val="0"/>
          <w:lang w:val="en-US"/>
        </w:rPr>
        <w:t xml:space="preserve"> Audio-recorded with signed consent. Duration: 45</w:t>
      </w:r>
      <w:r>
        <w:rPr>
          <w:rFonts w:ascii="Times New Roman" w:hAnsi="Times New Roman" w:hint="default"/>
          <w:rtl w:val="0"/>
        </w:rPr>
        <w:t>–</w:t>
      </w:r>
      <w:r>
        <w:rPr>
          <w:rFonts w:ascii="Times New Roman" w:hAnsi="Times New Roman"/>
          <w:rtl w:val="0"/>
          <w:lang w:val="pt-PT"/>
        </w:rPr>
        <w:t>60 minutes.</w:t>
      </w:r>
    </w:p>
    <w:p>
      <w:pPr>
        <w:pStyle w:val="Default"/>
        <w:suppressAutoHyphens w:val="1"/>
        <w:spacing w:before="0" w:after="240" w:line="240" w:lineRule="auto"/>
        <w:jc w:val="both"/>
        <w:rPr>
          <w:rFonts w:ascii="Times New Roman" w:cs="Times New Roman" w:hAnsi="Times New Roman" w:eastAsia="Times New Roman"/>
          <w:b w:val="0"/>
          <w:bCs w:val="0"/>
        </w:rPr>
      </w:pPr>
      <w:r>
        <w:rPr>
          <w:rFonts w:ascii="Times New Roman" w:hAnsi="Times New Roman"/>
          <w:b w:val="1"/>
          <w:bCs w:val="1"/>
          <w:rtl w:val="0"/>
          <w:lang w:val="en-US"/>
        </w:rPr>
        <w:t>Theme 1: Governance Capacity and Institutional Pillars</w:t>
      </w:r>
    </w:p>
    <w:p>
      <w:pPr>
        <w:pStyle w:val="Default"/>
        <w:numPr>
          <w:ilvl w:val="0"/>
          <w:numId w:val="14"/>
        </w:numPr>
        <w:suppressAutoHyphens w:val="1"/>
        <w:spacing w:before="0" w:after="240" w:line="240" w:lineRule="auto"/>
        <w:jc w:val="both"/>
        <w:rPr>
          <w:rFonts w:ascii="Times New Roman" w:hAnsi="Times New Roman"/>
          <w:lang w:val="en-US"/>
        </w:rPr>
      </w:pPr>
      <w:r>
        <w:rPr>
          <w:rFonts w:ascii="Times New Roman" w:hAnsi="Times New Roman"/>
          <w:rtl w:val="0"/>
          <w:lang w:val="en-US"/>
        </w:rPr>
        <w:t>How has Bangladesh Bank</w:t>
      </w:r>
      <w:r>
        <w:rPr>
          <w:rFonts w:ascii="Times New Roman" w:hAnsi="Times New Roman" w:hint="default"/>
          <w:rtl w:val="1"/>
        </w:rPr>
        <w:t>’</w:t>
      </w:r>
      <w:r>
        <w:rPr>
          <w:rFonts w:ascii="Times New Roman" w:hAnsi="Times New Roman"/>
          <w:rtl w:val="0"/>
          <w:lang w:val="en-US"/>
        </w:rPr>
        <w:t>s transition to Risk-Based Supervision (RBS) in 2026 impacted your organization</w:t>
      </w:r>
      <w:r>
        <w:rPr>
          <w:rFonts w:ascii="Times New Roman" w:hAnsi="Times New Roman" w:hint="default"/>
          <w:rtl w:val="1"/>
        </w:rPr>
        <w:t>’</w:t>
      </w:r>
      <w:r>
        <w:rPr>
          <w:rFonts w:ascii="Times New Roman" w:hAnsi="Times New Roman"/>
          <w:rtl w:val="0"/>
          <w:lang w:val="en-US"/>
        </w:rPr>
        <w:t>s approach to digital compliance?</w:t>
      </w:r>
    </w:p>
    <w:p>
      <w:pPr>
        <w:pStyle w:val="Default"/>
        <w:numPr>
          <w:ilvl w:val="0"/>
          <w:numId w:val="14"/>
        </w:numPr>
        <w:suppressAutoHyphens w:val="1"/>
        <w:spacing w:before="0" w:after="240" w:line="240" w:lineRule="auto"/>
        <w:jc w:val="both"/>
        <w:rPr>
          <w:rFonts w:ascii="Times New Roman" w:hAnsi="Times New Roman"/>
          <w:lang w:val="en-US"/>
        </w:rPr>
      </w:pPr>
      <w:r>
        <w:rPr>
          <w:rFonts w:ascii="Times New Roman" w:hAnsi="Times New Roman"/>
          <w:rtl w:val="0"/>
          <w:lang w:val="en-US"/>
        </w:rPr>
        <w:t>In your view, how effectively are the MFS Regulations (2022) enforced on the ground versus on paper?</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en-US"/>
        </w:rPr>
        <w:t>Theme 2: Regulatory Enforcement Challenges</w:t>
      </w:r>
      <w:r>
        <w:rPr>
          <w:rFonts w:ascii="Times New Roman" w:hAnsi="Times New Roman"/>
          <w:rtl w:val="0"/>
          <w:lang w:val="en-US"/>
        </w:rPr>
        <w:t xml:space="preserve"> 3. What are the primary bottlenecks preventing BFIU and commercial banks from stopping SIM-swap and social engineering frauds in real-time? 4. How does the current market concentration (HHI &gt; 2800) impact innovation and compliance among smaller players?</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de-DE"/>
        </w:rPr>
        <w:t>Theme 3: Future Scenarios 2030</w:t>
      </w:r>
      <w:r>
        <w:rPr>
          <w:rFonts w:ascii="Times New Roman" w:hAnsi="Times New Roman" w:hint="default"/>
          <w:b w:val="1"/>
          <w:bCs w:val="1"/>
          <w:rtl w:val="0"/>
        </w:rPr>
        <w:t>–</w:t>
      </w:r>
      <w:r>
        <w:rPr>
          <w:rFonts w:ascii="Times New Roman" w:hAnsi="Times New Roman"/>
          <w:b w:val="1"/>
          <w:bCs w:val="1"/>
          <w:rtl w:val="0"/>
        </w:rPr>
        <w:t>2041</w:t>
      </w:r>
      <w:r>
        <w:rPr>
          <w:rFonts w:ascii="Times New Roman" w:hAnsi="Times New Roman"/>
          <w:rtl w:val="0"/>
          <w:lang w:val="en-US"/>
        </w:rPr>
        <w:t xml:space="preserve"> 5. Looking toward Smart Bangladesh 2041, what are the most critical infrastructural or policy leaps required to move from 40% active usage to near-universal cashless adoption? 6. How ready is the ecosystem for a Central Bank Digital Currency (CBDC) pilot?</w:t>
      </w:r>
    </w:p>
    <w:p>
      <w:pPr>
        <w:pStyle w:val="Default"/>
        <w:suppressAutoHyphens w:val="1"/>
        <w:spacing w:before="0" w:after="240" w:line="240" w:lineRule="auto"/>
        <w:jc w:val="both"/>
        <w:rPr>
          <w:rFonts w:ascii="Times New Roman" w:cs="Times New Roman" w:hAnsi="Times New Roman" w:eastAsia="Times New Roman"/>
        </w:rPr>
      </w:pPr>
      <w:r>
        <w:rPr>
          <w:rFonts w:ascii="Times New Roman" w:hAnsi="Times New Roman"/>
          <w:b w:val="1"/>
          <w:bCs w:val="1"/>
          <w:rtl w:val="0"/>
          <w:lang w:val="en-US"/>
        </w:rPr>
        <w:t>Theme 4: Trust-Building Interventions</w:t>
      </w:r>
      <w:r>
        <w:rPr>
          <w:rFonts w:ascii="Times New Roman" w:hAnsi="Times New Roman"/>
          <w:rtl w:val="0"/>
          <w:lang w:val="en-US"/>
        </w:rPr>
        <w:t xml:space="preserve"> 7. Which specific interventions (e.g., biometric rollout, localized digital literacy campaigns) have proven most effective in rebuilding user trust following the 2024-2025 cyber incidents?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Appendix C: List of Sampled Participants (Template)</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Note: All identities have been anonymized using alphanumeric codes to comply with IRB guidelines.</w:t>
      </w:r>
    </w:p>
    <w:tbl>
      <w:tblPr>
        <w:tblW w:w="9571"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803"/>
        <w:gridCol w:w="2979"/>
        <w:gridCol w:w="1810"/>
        <w:gridCol w:w="1735"/>
        <w:gridCol w:w="1244"/>
      </w:tblGrid>
      <w:tr>
        <w:tblPrEx>
          <w:shd w:val="clear" w:color="auto" w:fill="auto"/>
        </w:tblPrEx>
        <w:trPr>
          <w:trHeight w:val="1042" w:hRule="atLeast"/>
        </w:trPr>
        <w:tc>
          <w:tcPr>
            <w:tcW w:type="dxa" w:w="18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24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Participant Code</w:t>
            </w:r>
          </w:p>
        </w:tc>
        <w:tc>
          <w:tcPr>
            <w:tcW w:type="dxa" w:w="297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24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Stakeholder Category</w:t>
            </w:r>
          </w:p>
        </w:tc>
        <w:tc>
          <w:tcPr>
            <w:tcW w:type="dxa" w:w="180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24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Location/Division</w:t>
            </w:r>
          </w:p>
        </w:tc>
        <w:tc>
          <w:tcPr>
            <w:tcW w:type="dxa" w:w="173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24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Interview Date</w:t>
            </w:r>
          </w:p>
        </w:tc>
        <w:tc>
          <w:tcPr>
            <w:tcW w:type="dxa" w:w="12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0"/>
            </w:tcMar>
            <w:vAlign w:val="center"/>
          </w:tcPr>
          <w:p>
            <w:pPr>
              <w:pStyle w:val="Table Style 2"/>
              <w:suppressAutoHyphens w:val="1"/>
              <w:jc w:val="center"/>
            </w:pPr>
            <w:r>
              <w:rPr>
                <w:rFonts w:ascii="Times New Roman" w:hAnsi="Times New Roman"/>
                <w:b w:val="1"/>
                <w:bCs w:val="1"/>
                <w:outline w:val="0"/>
                <w:color w:val="feffff"/>
                <w:sz w:val="28"/>
                <w:szCs w:val="28"/>
                <w:rtl w:val="0"/>
                <w14:textFill>
                  <w14:solidFill>
                    <w14:srgbClr w14:val="FFFFFF"/>
                  </w14:solidFill>
                </w14:textFill>
              </w:rPr>
              <w:t>Duration</w:t>
            </w:r>
          </w:p>
        </w:tc>
      </w:tr>
      <w:tr>
        <w:tblPrEx>
          <w:shd w:val="clear" w:color="auto" w:fill="auto"/>
        </w:tblPrEx>
        <w:trPr>
          <w:trHeight w:val="1042" w:hRule="atLeast"/>
        </w:trPr>
        <w:tc>
          <w:tcPr>
            <w:tcW w:type="dxa" w:w="18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REG-01</w:t>
            </w:r>
          </w:p>
        </w:tc>
        <w:tc>
          <w:tcPr>
            <w:tcW w:type="dxa" w:w="297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Central Bank Official (BB/BFIU)</w:t>
            </w:r>
          </w:p>
        </w:tc>
        <w:tc>
          <w:tcPr>
            <w:tcW w:type="dxa" w:w="180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Dhaka</w:t>
            </w:r>
          </w:p>
        </w:tc>
        <w:tc>
          <w:tcPr>
            <w:tcW w:type="dxa" w:w="173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12-Sep-2026</w:t>
            </w:r>
          </w:p>
        </w:tc>
        <w:tc>
          <w:tcPr>
            <w:tcW w:type="dxa" w:w="12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55 mins</w:t>
            </w:r>
          </w:p>
        </w:tc>
      </w:tr>
      <w:tr>
        <w:tblPrEx>
          <w:shd w:val="clear" w:color="auto" w:fill="auto"/>
        </w:tblPrEx>
        <w:trPr>
          <w:trHeight w:val="1042" w:hRule="atLeast"/>
        </w:trPr>
        <w:tc>
          <w:tcPr>
            <w:tcW w:type="dxa" w:w="18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MFS-02</w:t>
            </w:r>
          </w:p>
        </w:tc>
        <w:tc>
          <w:tcPr>
            <w:tcW w:type="dxa" w:w="297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Executive, Top-tier MFS Provider</w:t>
            </w:r>
          </w:p>
        </w:tc>
        <w:tc>
          <w:tcPr>
            <w:tcW w:type="dxa" w:w="180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Dhaka</w:t>
            </w:r>
          </w:p>
        </w:tc>
        <w:tc>
          <w:tcPr>
            <w:tcW w:type="dxa" w:w="173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15-Sep-2026</w:t>
            </w:r>
          </w:p>
        </w:tc>
        <w:tc>
          <w:tcPr>
            <w:tcW w:type="dxa" w:w="12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48 mins</w:t>
            </w:r>
          </w:p>
        </w:tc>
      </w:tr>
      <w:tr>
        <w:tblPrEx>
          <w:shd w:val="clear" w:color="auto" w:fill="auto"/>
        </w:tblPrEx>
        <w:trPr>
          <w:trHeight w:val="1042" w:hRule="atLeast"/>
        </w:trPr>
        <w:tc>
          <w:tcPr>
            <w:tcW w:type="dxa" w:w="18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AGT-05</w:t>
            </w:r>
          </w:p>
        </w:tc>
        <w:tc>
          <w:tcPr>
            <w:tcW w:type="dxa" w:w="297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Rural MFS Agent</w:t>
            </w:r>
          </w:p>
        </w:tc>
        <w:tc>
          <w:tcPr>
            <w:tcW w:type="dxa" w:w="180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Rajshahi</w:t>
            </w:r>
          </w:p>
        </w:tc>
        <w:tc>
          <w:tcPr>
            <w:tcW w:type="dxa" w:w="173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22-Sep-2026</w:t>
            </w:r>
          </w:p>
        </w:tc>
        <w:tc>
          <w:tcPr>
            <w:tcW w:type="dxa" w:w="12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35 mins</w:t>
            </w:r>
          </w:p>
        </w:tc>
      </w:tr>
      <w:tr>
        <w:tblPrEx>
          <w:shd w:val="clear" w:color="auto" w:fill="auto"/>
        </w:tblPrEx>
        <w:trPr>
          <w:trHeight w:val="1042" w:hRule="atLeast"/>
        </w:trPr>
        <w:tc>
          <w:tcPr>
            <w:tcW w:type="dxa" w:w="1803"/>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BNK-03</w:t>
            </w:r>
          </w:p>
        </w:tc>
        <w:tc>
          <w:tcPr>
            <w:tcW w:type="dxa" w:w="297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Compliance Head, Commercial Bank</w:t>
            </w:r>
          </w:p>
        </w:tc>
        <w:tc>
          <w:tcPr>
            <w:tcW w:type="dxa" w:w="1809"/>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Chattogram</w:t>
            </w:r>
          </w:p>
        </w:tc>
        <w:tc>
          <w:tcPr>
            <w:tcW w:type="dxa" w:w="173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05-Oct-2026</w:t>
            </w:r>
          </w:p>
        </w:tc>
        <w:tc>
          <w:tcPr>
            <w:tcW w:type="dxa" w:w="1244"/>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0"/>
            </w:tcMar>
            <w:vAlign w:val="center"/>
          </w:tcPr>
          <w:p>
            <w:pPr>
              <w:pStyle w:val="Table Style 2"/>
              <w:suppressAutoHyphens w:val="1"/>
              <w:jc w:val="center"/>
            </w:pPr>
            <w:r>
              <w:rPr>
                <w:rFonts w:ascii="Times New Roman" w:hAnsi="Times New Roman"/>
                <w:outline w:val="0"/>
                <w:color w:val="1f1f1f"/>
                <w:sz w:val="28"/>
                <w:szCs w:val="28"/>
                <w:rtl w:val="0"/>
                <w14:textFill>
                  <w14:solidFill>
                    <w14:srgbClr w14:val="1F1F1F"/>
                  </w14:solidFill>
                </w14:textFill>
              </w:rPr>
              <w:t>60 mins</w:t>
            </w:r>
          </w:p>
        </w:tc>
      </w:tr>
    </w:tbl>
    <w:p>
      <w:pPr>
        <w:pStyle w:val="Default"/>
        <w:suppressAutoHyphens w:val="1"/>
        <w:spacing w:before="0" w:line="240" w:lineRule="auto"/>
        <w:rPr>
          <w:rFonts w:ascii="Helvetica" w:cs="Helvetica" w:hAnsi="Helvetica" w:eastAsia="Helvetica"/>
          <w:outline w:val="0"/>
          <w:color w:val="1f1f1f"/>
          <w14:textFill>
            <w14:solidFill>
              <w14:srgbClr w14:val="1F1F1F"/>
            </w14:solidFill>
          </w14:textFill>
        </w:rPr>
      </w:pPr>
    </w:p>
    <w:p>
      <w:pPr>
        <w:pStyle w:val="Default"/>
        <w:suppressAutoHyphens w:val="1"/>
        <w:spacing w:before="0" w:line="240" w:lineRule="auto"/>
        <w:rPr>
          <w:rFonts w:ascii="Helvetica" w:cs="Helvetica" w:hAnsi="Helvetica" w:eastAsia="Helvetica"/>
          <w:outline w:val="0"/>
          <w:color w:val="1f1f1f"/>
          <w14:textFill>
            <w14:solidFill>
              <w14:srgbClr w14:val="1F1F1F"/>
            </w14:solidFill>
          </w14:textFill>
        </w:rPr>
      </w:pPr>
    </w:p>
    <w:p>
      <w:pPr>
        <w:pStyle w:val="Default"/>
        <w:suppressAutoHyphens w:val="1"/>
        <w:spacing w:before="0" w:line="240" w:lineRule="auto"/>
        <w:rPr>
          <w:rFonts w:ascii="Helvetica" w:cs="Helvetica" w:hAnsi="Helvetica" w:eastAsia="Helvetica"/>
          <w:outline w:val="0"/>
          <w:color w:val="1f1f1f"/>
          <w14:textFill>
            <w14:solidFill>
              <w14:srgbClr w14:val="1F1F1F"/>
            </w14:solidFill>
          </w14:textFill>
        </w:rPr>
      </w:pPr>
    </w:p>
    <w:p>
      <w:pPr>
        <w:pStyle w:val="Default"/>
        <w:suppressAutoHyphens w:val="1"/>
        <w:spacing w:before="0" w:line="240" w:lineRule="auto"/>
        <w:rPr>
          <w:rFonts w:ascii="Helvetica" w:cs="Helvetica" w:hAnsi="Helvetica" w:eastAsia="Helvetica"/>
          <w:outline w:val="0"/>
          <w:color w:val="1f1f1f"/>
          <w14:textFill>
            <w14:solidFill>
              <w14:srgbClr w14:val="1F1F1F"/>
            </w14:solidFill>
          </w14:textFill>
        </w:rPr>
      </w:pPr>
    </w:p>
    <w:p>
      <w:pPr>
        <w:pStyle w:val="Default"/>
        <w:suppressAutoHyphens w:val="1"/>
        <w:spacing w:before="0" w:line="240" w:lineRule="auto"/>
        <w:rPr>
          <w:rFonts w:ascii="Helvetica" w:cs="Helvetica" w:hAnsi="Helvetica" w:eastAsia="Helvetica"/>
          <w:outline w:val="0"/>
          <w:color w:val="1f1f1f"/>
          <w14:textFill>
            <w14:solidFill>
              <w14:srgbClr w14:val="1F1F1F"/>
            </w14:solidFill>
          </w14:textFill>
        </w:rPr>
      </w:pPr>
    </w:p>
    <w:p>
      <w:pPr>
        <w:pStyle w:val="Default"/>
        <w:suppressAutoHyphens w:val="1"/>
        <w:spacing w:before="0" w:line="240" w:lineRule="auto"/>
      </w:pPr>
      <w:r>
        <w:rPr>
          <w:rFonts w:ascii="Arial Unicode MS" w:cs="Arial Unicode MS" w:hAnsi="Arial Unicode MS" w:eastAsia="Arial Unicode MS"/>
          <w:b w:val="0"/>
          <w:bCs w:val="0"/>
          <w:i w:val="0"/>
          <w:iCs w:val="0"/>
          <w:outline w:val="0"/>
          <w:color w:val="1f1f1f"/>
          <w14:textFill>
            <w14:solidFill>
              <w14:srgbClr w14:val="1F1F1F"/>
            </w14:solidFill>
          </w14:textFill>
        </w:rPr>
        <w:br w:type="page"/>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Appendix D: Detailed Statistical Outputs (Template for SmartPLS/SPSS)</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(In your final thesis, paste the screenshots and raw output tables from SmartPLS 4.x here)</w:t>
      </w:r>
    </w:p>
    <w:p>
      <w:pPr>
        <w:pStyle w:val="Default"/>
        <w:numPr>
          <w:ilvl w:val="0"/>
          <w:numId w:val="3"/>
        </w:numPr>
        <w:suppressAutoHyphens w:val="1"/>
        <w:spacing w:before="0" w:after="240" w:line="240" w:lineRule="auto"/>
        <w:jc w:val="left"/>
        <w:rPr>
          <w:rFonts w:ascii="Times Roman" w:hAnsi="Times Roman"/>
          <w:lang w:val="nl-NL"/>
        </w:rPr>
      </w:pPr>
      <w:r>
        <w:rPr>
          <w:rFonts w:ascii="Times Roman" w:hAnsi="Times Roman"/>
          <w:b w:val="1"/>
          <w:bCs w:val="1"/>
          <w:rtl w:val="0"/>
          <w:lang w:val="nl-NL"/>
        </w:rPr>
        <w:t>D.1 Data Screening:</w:t>
      </w:r>
      <w:r>
        <w:rPr>
          <w:rFonts w:ascii="Times Roman" w:hAnsi="Times Roman"/>
          <w:rtl w:val="0"/>
          <w:lang w:val="en-US"/>
        </w:rPr>
        <w:t xml:space="preserve"> SPSS output showing missing value analysis (Little's MCAR test) and Mardia's multivariate skewness/kurtosis.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D.2 Measurement Model Validation:</w:t>
      </w:r>
      <w:r>
        <w:rPr>
          <w:rFonts w:ascii="Times Roman" w:hAnsi="Times Roman"/>
          <w:rtl w:val="0"/>
          <w:lang w:val="en-US"/>
        </w:rPr>
        <w:t xml:space="preserve"> Table showing Cronbach</w:t>
      </w:r>
      <w:r>
        <w:rPr>
          <w:rFonts w:ascii="Times Roman" w:hAnsi="Times Roman" w:hint="default"/>
          <w:rtl w:val="1"/>
        </w:rPr>
        <w:t>’</w:t>
      </w:r>
      <w:r>
        <w:rPr>
          <w:rFonts w:ascii="Times Roman" w:hAnsi="Times Roman"/>
          <w:rtl w:val="0"/>
        </w:rPr>
        <w:t xml:space="preserve">s </w:t>
      </w:r>
      <w:r>
        <w:rPr>
          <w:rFonts w:ascii="Times Roman" w:hAnsi="Times Roman" w:hint="default"/>
          <w:rtl w:val="0"/>
        </w:rPr>
        <w:t>α</w:t>
      </w:r>
      <w:r>
        <w:rPr>
          <w:rFonts w:ascii="Times Roman" w:hAnsi="Times Roman"/>
          <w:rtl w:val="0"/>
          <w:lang w:val="en-US"/>
        </w:rPr>
        <w:t>, Composite Reliability (CR), and Average Variance Extracted (AVE) &gt; 0.50.</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D.3 Discriminant Validity (HTMT):</w:t>
      </w:r>
      <w:r>
        <w:rPr>
          <w:rFonts w:ascii="Times Roman" w:hAnsi="Times Roman"/>
          <w:rtl w:val="0"/>
          <w:lang w:val="en-US"/>
        </w:rPr>
        <w:t xml:space="preserve"> Matrix showing all Heterotrait-Monotrait ratios &lt; 0.85.</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D.4 Structural Model Path Coefficients:</w:t>
      </w:r>
      <w:r>
        <w:rPr>
          <w:rFonts w:ascii="Times Roman" w:hAnsi="Times Roman"/>
          <w:rtl w:val="0"/>
          <w:lang w:val="en-US"/>
        </w:rPr>
        <w:t xml:space="preserve"> SmartPLS bootstrapping output (</w:t>
      </w:r>
      <w:r>
        <w:rPr>
          <w:rFonts w:ascii="Times Roman" w:hAnsi="Times Roman" w:hint="default"/>
          <w:rtl w:val="0"/>
        </w:rPr>
        <w:t>β</w:t>
      </w:r>
      <w:r>
        <w:rPr>
          <w:rFonts w:ascii="Times Roman" w:hAnsi="Times Roman"/>
          <w:rtl w:val="0"/>
          <w:lang w:val="en-US"/>
        </w:rPr>
        <w:t>, t-values, p-values).</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D.5 Multi-Group Analysis (MGA):</w:t>
      </w:r>
      <w:r>
        <w:rPr>
          <w:rFonts w:ascii="Times Roman" w:hAnsi="Times Roman"/>
          <w:rtl w:val="0"/>
          <w:lang w:val="en-US"/>
        </w:rPr>
        <w:t xml:space="preserve"> Table comparing path coefficients between Urban vs. Rural and Male vs. Female respondents.</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Appendix E: Secondary Data Compilation (Template)</w:t>
      </w:r>
    </w:p>
    <w:p>
      <w:pPr>
        <w:pStyle w:val="Default"/>
        <w:suppressAutoHyphens w:val="1"/>
        <w:spacing w:before="0" w:after="240" w:line="240" w:lineRule="auto"/>
        <w:rPr>
          <w:rFonts w:ascii="Times Roman" w:cs="Times Roman" w:hAnsi="Times Roman" w:eastAsia="Times Roman"/>
          <w:i w:val="0"/>
          <w:iCs w:val="0"/>
        </w:rPr>
      </w:pPr>
      <w:r>
        <w:rPr>
          <w:rFonts w:ascii="Times Roman" w:hAnsi="Times Roman"/>
          <w:i w:val="1"/>
          <w:iCs w:val="1"/>
          <w:rtl w:val="0"/>
          <w:lang w:val="en-US"/>
        </w:rPr>
        <w:t>(Include graphical charts and data tables sourced from Bangladesh Bank and World Bank)</w:t>
      </w:r>
    </w:p>
    <w:p>
      <w:pPr>
        <w:pStyle w:val="Default"/>
        <w:numPr>
          <w:ilvl w:val="0"/>
          <w:numId w:val="3"/>
        </w:numPr>
        <w:suppressAutoHyphens w:val="1"/>
        <w:spacing w:before="0" w:after="240" w:line="240" w:lineRule="auto"/>
        <w:jc w:val="left"/>
        <w:rPr>
          <w:rFonts w:ascii="Times Roman" w:hAnsi="Times Roman"/>
          <w:lang w:val="fr-FR"/>
        </w:rPr>
      </w:pPr>
      <w:r>
        <w:rPr>
          <w:rFonts w:ascii="Times Roman" w:hAnsi="Times Roman"/>
          <w:b w:val="1"/>
          <w:bCs w:val="1"/>
          <w:rtl w:val="0"/>
          <w:lang w:val="fr-FR"/>
        </w:rPr>
        <w:t>Table E.1:</w:t>
      </w:r>
      <w:r>
        <w:rPr>
          <w:rFonts w:ascii="Times Roman" w:hAnsi="Times Roman"/>
          <w:rtl w:val="0"/>
          <w:lang w:val="en-US"/>
        </w:rPr>
        <w:t xml:space="preserve"> Bangladesh Bank MFS Transaction Statistics (2018</w:t>
      </w:r>
      <w:r>
        <w:rPr>
          <w:rFonts w:ascii="Times Roman" w:hAnsi="Times Roman" w:hint="default"/>
          <w:rtl w:val="0"/>
        </w:rPr>
        <w:t>–</w:t>
      </w:r>
      <w:r>
        <w:rPr>
          <w:rFonts w:ascii="Times Roman" w:hAnsi="Times Roman"/>
          <w:rtl w:val="0"/>
          <w:lang w:val="en-US"/>
        </w:rPr>
        <w:t>2026) showing Year-on-Year growth and transaction volume in BDT Crore.</w:t>
      </w:r>
    </w:p>
    <w:p>
      <w:pPr>
        <w:pStyle w:val="Default"/>
        <w:numPr>
          <w:ilvl w:val="0"/>
          <w:numId w:val="3"/>
        </w:numPr>
        <w:suppressAutoHyphens w:val="1"/>
        <w:spacing w:before="0" w:after="240" w:line="240" w:lineRule="auto"/>
        <w:jc w:val="left"/>
        <w:rPr>
          <w:rFonts w:ascii="Times Roman" w:hAnsi="Times Roman"/>
          <w:lang w:val="it-IT"/>
        </w:rPr>
      </w:pPr>
      <w:r>
        <w:rPr>
          <w:rFonts w:ascii="Times Roman" w:hAnsi="Times Roman"/>
          <w:b w:val="1"/>
          <w:bCs w:val="1"/>
          <w:rtl w:val="0"/>
          <w:lang w:val="it-IT"/>
        </w:rPr>
        <w:t>Figure E.1:</w:t>
      </w:r>
      <w:r>
        <w:rPr>
          <w:rFonts w:ascii="Times Roman" w:hAnsi="Times Roman"/>
          <w:rtl w:val="0"/>
          <w:lang w:val="en-US"/>
        </w:rPr>
        <w:t xml:space="preserve"> Heat map of Bangladesh showing MFS agent density by division (highest in Dhaka/Chattogram, lowest in remote areas).</w:t>
      </w:r>
    </w:p>
    <w:p>
      <w:pPr>
        <w:pStyle w:val="Default"/>
        <w:numPr>
          <w:ilvl w:val="0"/>
          <w:numId w:val="3"/>
        </w:numPr>
        <w:suppressAutoHyphens w:val="1"/>
        <w:spacing w:before="0" w:after="240" w:line="240" w:lineRule="auto"/>
        <w:jc w:val="left"/>
        <w:rPr>
          <w:rFonts w:ascii="Times Roman" w:hAnsi="Times Roman"/>
          <w:lang w:val="fr-FR"/>
        </w:rPr>
      </w:pPr>
      <w:r>
        <w:rPr>
          <w:rFonts w:ascii="Times Roman" w:hAnsi="Times Roman"/>
          <w:b w:val="1"/>
          <w:bCs w:val="1"/>
          <w:rtl w:val="0"/>
          <w:lang w:val="fr-FR"/>
        </w:rPr>
        <w:t>Table E.2:</w:t>
      </w:r>
      <w:r>
        <w:rPr>
          <w:rFonts w:ascii="Times Roman" w:hAnsi="Times Roman"/>
          <w:rtl w:val="0"/>
          <w:lang w:val="en-US"/>
        </w:rPr>
        <w:t xml:space="preserve"> Extracts from World Bank Global Findex 2025 highlighting the 11.8% gender gap and 23.6% rural-urban divide in active digital account usage.</w:t>
      </w:r>
    </w:p>
    <w:p>
      <w:pPr>
        <w:pStyle w:val="Default"/>
        <w:suppressAutoHyphens w:val="1"/>
        <w:spacing w:before="0" w:after="299" w:line="240" w:lineRule="auto"/>
        <w:rPr>
          <w:rFonts w:ascii="Times Roman" w:cs="Times Roman" w:hAnsi="Times Roman" w:eastAsia="Times Roman"/>
          <w:b w:val="1"/>
          <w:bCs w:val="1"/>
          <w:sz w:val="36"/>
          <w:szCs w:val="36"/>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Appendix F: Policy Documents and Guidelines Excerpts</w:t>
      </w:r>
    </w:p>
    <w:p>
      <w:pPr>
        <w:pStyle w:val="Default"/>
        <w:numPr>
          <w:ilvl w:val="0"/>
          <w:numId w:val="3"/>
        </w:numPr>
        <w:suppressAutoHyphens w:val="1"/>
        <w:spacing w:before="0" w:after="240" w:line="240" w:lineRule="auto"/>
        <w:jc w:val="left"/>
        <w:rPr>
          <w:rFonts w:ascii="Times Roman" w:hAnsi="Times Roman"/>
          <w:lang w:val="de-DE"/>
        </w:rPr>
      </w:pPr>
      <w:r>
        <w:rPr>
          <w:rFonts w:ascii="Times Roman" w:hAnsi="Times Roman"/>
          <w:b w:val="1"/>
          <w:bCs w:val="1"/>
          <w:rtl w:val="0"/>
          <w:lang w:val="de-DE"/>
        </w:rPr>
        <w:t>F.1 Digital Bank Guidelines Version 2 (2025):</w:t>
      </w:r>
      <w:r>
        <w:rPr>
          <w:rFonts w:ascii="Times Roman" w:hAnsi="Times Roman"/>
          <w:rtl w:val="0"/>
          <w:lang w:val="en-US"/>
        </w:rPr>
        <w:t xml:space="preserve"> Excerpt from Section 4 regarding branchless operations and minimum paid-up capital requirement of BDT 400-500 crore.</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F.2 MFS Regulations (2022):</w:t>
      </w:r>
      <w:r>
        <w:rPr>
          <w:rFonts w:ascii="Times Roman" w:hAnsi="Times Roman"/>
          <w:rtl w:val="0"/>
          <w:lang w:val="en-US"/>
        </w:rPr>
        <w:t xml:space="preserve"> Excerpt detailing the mandate for trust account segregation and interoperability via the Binimoy platform.</w:t>
      </w:r>
    </w:p>
    <w:p>
      <w:pPr>
        <w:pStyle w:val="Default"/>
        <w:numPr>
          <w:ilvl w:val="0"/>
          <w:numId w:val="3"/>
        </w:numPr>
        <w:suppressAutoHyphens w:val="1"/>
        <w:spacing w:before="0" w:after="240" w:line="240" w:lineRule="auto"/>
        <w:jc w:val="left"/>
        <w:rPr>
          <w:rFonts w:ascii="Times Roman" w:hAnsi="Times Roman"/>
          <w:lang w:val="en-US"/>
        </w:rPr>
      </w:pPr>
      <w:r>
        <w:rPr>
          <w:rFonts w:ascii="Times Roman" w:hAnsi="Times Roman"/>
          <w:b w:val="1"/>
          <w:bCs w:val="1"/>
          <w:rtl w:val="0"/>
          <w:lang w:val="en-US"/>
        </w:rPr>
        <w:t>F.3 BFIU e-KYC Circular:</w:t>
      </w:r>
      <w:r>
        <w:rPr>
          <w:rFonts w:ascii="Times Roman" w:hAnsi="Times Roman"/>
          <w:rtl w:val="0"/>
          <w:lang w:val="en-US"/>
        </w:rPr>
        <w:t xml:space="preserve"> Key clauses mandating biometric verification for all new MFS onboarding by December 2026.</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a-DK"/>
        </w:rPr>
        <w:t>Appendix K: Scenario Planning Matrices (2030</w:t>
      </w:r>
      <w:r>
        <w:rPr>
          <w:rFonts w:ascii="Times Roman" w:hAnsi="Times Roman" w:hint="default"/>
          <w:b w:val="1"/>
          <w:bCs w:val="1"/>
          <w:sz w:val="36"/>
          <w:szCs w:val="36"/>
          <w:rtl w:val="0"/>
        </w:rPr>
        <w:t>–</w:t>
      </w:r>
      <w:r>
        <w:rPr>
          <w:rFonts w:ascii="Times Roman" w:hAnsi="Times Roman"/>
          <w:b w:val="1"/>
          <w:bCs w:val="1"/>
          <w:sz w:val="36"/>
          <w:szCs w:val="36"/>
          <w:rtl w:val="0"/>
          <w:lang w:val="en-US"/>
        </w:rPr>
        <w:t>2041 Prospects)</w:t>
      </w:r>
    </w:p>
    <w:tbl>
      <w:tblPr>
        <w:tblW w:w="957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38"/>
        <w:gridCol w:w="2562"/>
        <w:gridCol w:w="2816"/>
        <w:gridCol w:w="2761"/>
      </w:tblGrid>
      <w:tr>
        <w:tblPrEx>
          <w:shd w:val="clear" w:color="auto" w:fill="auto"/>
        </w:tblPrEx>
        <w:trPr>
          <w:trHeight w:val="1427" w:hRule="atLeast"/>
        </w:trPr>
        <w:tc>
          <w:tcPr>
            <w:tcW w:type="dxa" w:w="143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Key Uncertainty / Driver</w:t>
            </w:r>
          </w:p>
        </w:tc>
        <w:tc>
          <w:tcPr>
            <w:tcW w:type="dxa" w:w="25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Optimistic Scenario (High-Trust Ecosystem)</w:t>
            </w:r>
          </w:p>
        </w:tc>
        <w:tc>
          <w:tcPr>
            <w:tcW w:type="dxa" w:w="281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Base Scenario (Moderate Progress)</w:t>
            </w:r>
          </w:p>
        </w:tc>
        <w:tc>
          <w:tcPr>
            <w:tcW w:type="dxa" w:w="27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212121"/>
            <w:tcMar>
              <w:top w:type="dxa" w:w="320"/>
              <w:left w:type="dxa" w:w="0"/>
              <w:bottom w:type="dxa" w:w="320"/>
              <w:right w:type="dxa" w:w="0"/>
            </w:tcMar>
            <w:vAlign w:val="center"/>
          </w:tcPr>
          <w:p>
            <w:pPr>
              <w:pStyle w:val="Table Style 2"/>
              <w:suppressAutoHyphens w:val="1"/>
              <w:jc w:val="center"/>
            </w:pPr>
            <w:r>
              <w:rPr>
                <w:rFonts w:ascii="Helvetica" w:hAnsi="Helvetica"/>
                <w:b w:val="1"/>
                <w:bCs w:val="1"/>
                <w:outline w:val="0"/>
                <w:color w:val="feffff"/>
                <w:sz w:val="28"/>
                <w:szCs w:val="28"/>
                <w:rtl w:val="0"/>
                <w14:textFill>
                  <w14:solidFill>
                    <w14:srgbClr w14:val="FFFFFF"/>
                  </w14:solidFill>
                </w14:textFill>
              </w:rPr>
              <w:t>Pessimistic Scenario (Fragmented Trap)</w:t>
            </w:r>
          </w:p>
        </w:tc>
      </w:tr>
      <w:tr>
        <w:tblPrEx>
          <w:shd w:val="clear" w:color="auto" w:fill="auto"/>
        </w:tblPrEx>
        <w:trPr>
          <w:trHeight w:val="1427" w:hRule="atLeast"/>
        </w:trPr>
        <w:tc>
          <w:tcPr>
            <w:tcW w:type="dxa" w:w="143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Regulatory Enforcement</w:t>
            </w:r>
          </w:p>
        </w:tc>
        <w:tc>
          <w:tcPr>
            <w:tcW w:type="dxa" w:w="25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Strict, real-time AI supervision; swift fraud redressal.</w:t>
            </w:r>
          </w:p>
        </w:tc>
        <w:tc>
          <w:tcPr>
            <w:tcW w:type="dxa" w:w="281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Inconsistent; guidelines exist but ground enforcement lags.</w:t>
            </w:r>
          </w:p>
        </w:tc>
        <w:tc>
          <w:tcPr>
            <w:tcW w:type="dxa" w:w="27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Weak; regulatory capture; repeated e-money violations.</w:t>
            </w:r>
          </w:p>
        </w:tc>
      </w:tr>
      <w:tr>
        <w:tblPrEx>
          <w:shd w:val="clear" w:color="auto" w:fill="auto"/>
        </w:tblPrEx>
        <w:trPr>
          <w:trHeight w:val="1768" w:hRule="atLeast"/>
        </w:trPr>
        <w:tc>
          <w:tcPr>
            <w:tcW w:type="dxa" w:w="143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Digital Literacy &amp; Inclusion</w:t>
            </w:r>
          </w:p>
        </w:tc>
        <w:tc>
          <w:tcPr>
            <w:tcW w:type="dxa" w:w="25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Massive G2P-linked literacy drives; gender gap &lt; 5%.</w:t>
            </w:r>
          </w:p>
        </w:tc>
        <w:tc>
          <w:tcPr>
            <w:tcW w:type="dxa" w:w="281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Slow, organic growth; persistent 10-15% gender/rural gaps.</w:t>
            </w:r>
          </w:p>
        </w:tc>
        <w:tc>
          <w:tcPr>
            <w:tcW w:type="dxa" w:w="27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Stagnant; marginalized groups revert to cash out of fear.</w:t>
            </w:r>
          </w:p>
        </w:tc>
      </w:tr>
      <w:tr>
        <w:tblPrEx>
          <w:shd w:val="clear" w:color="auto" w:fill="auto"/>
        </w:tblPrEx>
        <w:trPr>
          <w:trHeight w:val="1427" w:hRule="atLeast"/>
        </w:trPr>
        <w:tc>
          <w:tcPr>
            <w:tcW w:type="dxa" w:w="143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Market Structure</w:t>
            </w:r>
          </w:p>
        </w:tc>
        <w:tc>
          <w:tcPr>
            <w:tcW w:type="dxa" w:w="25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Competitive; 8+ digital banks; HHI drops &lt; 2000.</w:t>
            </w:r>
          </w:p>
        </w:tc>
        <w:tc>
          <w:tcPr>
            <w:tcW w:type="dxa" w:w="281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Oligopoly remains; incumbents maintain data lock-in.</w:t>
            </w:r>
          </w:p>
        </w:tc>
        <w:tc>
          <w:tcPr>
            <w:tcW w:type="dxa" w:w="27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Monopolistic; single-point failure risks high.</w:t>
            </w:r>
          </w:p>
        </w:tc>
      </w:tr>
      <w:tr>
        <w:tblPrEx>
          <w:shd w:val="clear" w:color="auto" w:fill="auto"/>
        </w:tblPrEx>
        <w:trPr>
          <w:trHeight w:val="1427" w:hRule="atLeast"/>
        </w:trPr>
        <w:tc>
          <w:tcPr>
            <w:tcW w:type="dxa" w:w="143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Interoperability (IDTP)</w:t>
            </w:r>
          </w:p>
        </w:tc>
        <w:tc>
          <w:tcPr>
            <w:tcW w:type="dxa" w:w="25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Seamless bank-to-wallet-to-merchant flow.</w:t>
            </w:r>
          </w:p>
        </w:tc>
        <w:tc>
          <w:tcPr>
            <w:tcW w:type="dxa" w:w="281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24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Partial success; high fees deter cross-platform usage.</w:t>
            </w:r>
          </w:p>
        </w:tc>
        <w:tc>
          <w:tcPr>
            <w:tcW w:type="dxa" w:w="27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auto"/>
            <w:tcMar>
              <w:top w:type="dxa" w:w="320"/>
              <w:left w:type="dxa" w:w="0"/>
              <w:bottom w:type="dxa" w:w="320"/>
              <w:right w:type="dxa" w:w="0"/>
            </w:tcMar>
            <w:vAlign w:val="center"/>
          </w:tcPr>
          <w:p>
            <w:pPr>
              <w:pStyle w:val="Table Style 2"/>
              <w:suppressAutoHyphens w:val="1"/>
              <w:jc w:val="center"/>
            </w:pPr>
            <w:r>
              <w:rPr>
                <w:rFonts w:ascii="Helvetica" w:hAnsi="Helvetica"/>
                <w:outline w:val="0"/>
                <w:color w:val="1f1f1f"/>
                <w:sz w:val="28"/>
                <w:szCs w:val="28"/>
                <w:rtl w:val="0"/>
                <w14:textFill>
                  <w14:solidFill>
                    <w14:srgbClr w14:val="1F1F1F"/>
                  </w14:solidFill>
                </w14:textFill>
              </w:rPr>
              <w:t>Siloed ecosystems; interoperability fails to scale.</w:t>
            </w:r>
          </w:p>
        </w:tc>
      </w:tr>
      <w:tr>
        <w:tblPrEx>
          <w:shd w:val="clear" w:color="auto" w:fill="auto"/>
        </w:tblPrEx>
        <w:trPr>
          <w:trHeight w:val="1427" w:hRule="atLeast"/>
        </w:trPr>
        <w:tc>
          <w:tcPr>
            <w:tcW w:type="dxa" w:w="1438"/>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2041 Outcome</w:t>
            </w:r>
          </w:p>
        </w:tc>
        <w:tc>
          <w:tcPr>
            <w:tcW w:type="dxa" w:w="25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92%+ active usage; Cash &lt; 20% of economy.</w:t>
            </w:r>
          </w:p>
        </w:tc>
        <w:tc>
          <w:tcPr>
            <w:tcW w:type="dxa" w:w="2815"/>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24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60% active usage; Cash remains ~40% of economy.</w:t>
            </w:r>
          </w:p>
        </w:tc>
        <w:tc>
          <w:tcPr>
            <w:tcW w:type="dxa" w:w="2761"/>
            <w:tcBorders>
              <w:top w:val="single" w:color="941651" w:sz="24" w:space="0" w:shadow="0" w:frame="0"/>
              <w:left w:val="single" w:color="941651" w:sz="24" w:space="0" w:shadow="0" w:frame="0"/>
              <w:bottom w:val="single" w:color="941651" w:sz="24" w:space="0" w:shadow="0" w:frame="0"/>
              <w:right w:val="single" w:color="941651" w:sz="24" w:space="0" w:shadow="0" w:frame="0"/>
            </w:tcBorders>
            <w:shd w:val="clear" w:color="auto" w:fill="d5d5d5"/>
            <w:tcMar>
              <w:top w:type="dxa" w:w="320"/>
              <w:left w:type="dxa" w:w="0"/>
              <w:bottom w:type="dxa" w:w="320"/>
              <w:right w:type="dxa" w:w="0"/>
            </w:tcMar>
            <w:vAlign w:val="center"/>
          </w:tcPr>
          <w:p>
            <w:pPr>
              <w:pStyle w:val="Table Style 2"/>
              <w:suppressAutoHyphens w:val="1"/>
              <w:jc w:val="center"/>
            </w:pPr>
            <w:r>
              <w:rPr>
                <w:rFonts w:ascii="Helvetica" w:hAnsi="Helvetica"/>
                <w:b w:val="1"/>
                <w:bCs w:val="1"/>
                <w:outline w:val="0"/>
                <w:color w:val="1f1f1f"/>
                <w:sz w:val="28"/>
                <w:szCs w:val="28"/>
                <w:rtl w:val="0"/>
                <w14:textFill>
                  <w14:solidFill>
                    <w14:srgbClr w14:val="1F1F1F"/>
                  </w14:solidFill>
                </w14:textFill>
              </w:rPr>
              <w:t>Stagnation; Digital divide deepens; Vision 2041 delayed.</w:t>
            </w:r>
          </w:p>
        </w:tc>
      </w:tr>
    </w:tbl>
    <w:p>
      <w:pPr>
        <w:pStyle w:val="Default"/>
        <w:suppressAutoHyphens w:val="1"/>
        <w:spacing w:before="0" w:line="240" w:lineRule="auto"/>
      </w:pPr>
      <w:r>
        <w:rPr>
          <w:rFonts w:ascii="Arial Unicode MS" w:cs="Arial Unicode MS" w:hAnsi="Arial Unicode MS" w:eastAsia="Arial Unicode MS"/>
          <w:b w:val="0"/>
          <w:bCs w:val="0"/>
          <w:i w:val="0"/>
          <w:iCs w:val="0"/>
          <w:outline w:val="0"/>
          <w:color w:val="1f1f1f"/>
          <w14:textFill>
            <w14:solidFill>
              <w14:srgbClr w14:val="1F1F1F"/>
            </w14:solidFill>
          </w14:textFill>
        </w:rPr>
        <w:br w:type="page"/>
      </w:r>
    </w:p>
    <w:p>
      <w:pPr>
        <w:pStyle w:val="Default"/>
        <w:suppressAutoHyphens w:val="1"/>
        <w:spacing w:before="0" w:after="240" w:line="240" w:lineRule="auto"/>
        <w:jc w:val="center"/>
        <w:rPr>
          <w:rFonts w:ascii="Times Roman" w:cs="Times Roman" w:hAnsi="Times Roman" w:eastAsia="Times Roman"/>
          <w:b w:val="1"/>
          <w:bCs w:val="1"/>
          <w:sz w:val="40"/>
          <w:szCs w:val="40"/>
        </w:rPr>
      </w:pPr>
      <w:r>
        <w:rPr>
          <w:rFonts w:ascii="Times Roman" w:hAnsi="Times Roman"/>
          <w:b w:val="1"/>
          <w:bCs w:val="1"/>
          <w:sz w:val="40"/>
          <w:szCs w:val="40"/>
          <w:rtl w:val="0"/>
          <w:lang w:val="en-US"/>
        </w:rPr>
        <w:t>References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Abdullah-Al-Kafe, M. (2021). Operationalizing digital banking adoption for global and local contexts. </w:t>
      </w:r>
      <w:r>
        <w:rPr>
          <w:rFonts w:ascii="Times Roman" w:hAnsi="Times Roman"/>
          <w:i w:val="1"/>
          <w:iCs w:val="1"/>
          <w:rtl w:val="0"/>
          <w:lang w:val="en-US"/>
        </w:rPr>
        <w:t>Research Square</w:t>
      </w:r>
      <w:r>
        <w:rPr>
          <w:rFonts w:ascii="Times Roman" w:hAnsi="Times Roman"/>
          <w:rtl w:val="0"/>
        </w:rPr>
        <w:t xml:space="preserve">. </w:t>
      </w:r>
      <w:r>
        <w:rPr>
          <w:rFonts w:ascii="Times Roman" w:hAnsi="Times Roman"/>
          <w:outline w:val="0"/>
          <w:color w:val="551a8b"/>
          <w:u w:val="single"/>
          <w:rtl w:val="0"/>
          <w:lang w:val="en-US"/>
          <w14:textFill>
            <w14:solidFill>
              <w14:srgbClr w14:val="551A8B"/>
            </w14:solidFill>
          </w14:textFill>
        </w:rPr>
        <w:t>https://doi.org/10.21203/rs.3.rs-912166/v1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Abid, M. A. (2023). Electronic banking services adoption in Pakistan: Application of UTAUT2 model among Pakistani consumers. </w:t>
      </w:r>
      <w:r>
        <w:rPr>
          <w:rFonts w:ascii="Times Roman" w:hAnsi="Times Roman"/>
          <w:i w:val="1"/>
          <w:iCs w:val="1"/>
          <w:rtl w:val="0"/>
          <w:lang w:val="en-US"/>
        </w:rPr>
        <w:t>Pakistan Journal of Humanities and Social Sciences</w:t>
      </w:r>
      <w:r>
        <w:rPr>
          <w:rFonts w:ascii="Times Roman" w:hAnsi="Times Roman"/>
          <w:rtl w:val="0"/>
        </w:rPr>
        <w:t xml:space="preserve">, </w:t>
      </w:r>
      <w:r>
        <w:rPr>
          <w:rFonts w:ascii="Times Roman" w:hAnsi="Times Roman"/>
          <w:i w:val="1"/>
          <w:iCs w:val="1"/>
          <w:rtl w:val="0"/>
        </w:rPr>
        <w:t>11</w:t>
      </w:r>
      <w:r>
        <w:rPr>
          <w:rFonts w:ascii="Times Roman" w:hAnsi="Times Roman"/>
          <w:rtl w:val="0"/>
        </w:rPr>
        <w:t>(2), 1816</w:t>
      </w:r>
      <w:r>
        <w:rPr>
          <w:rFonts w:ascii="Times Roman" w:hAnsi="Times Roman" w:hint="default"/>
          <w:rtl w:val="0"/>
        </w:rPr>
        <w:t>–</w:t>
      </w:r>
      <w:r>
        <w:rPr>
          <w:rFonts w:ascii="Times Roman" w:hAnsi="Times Roman"/>
          <w:rtl w:val="0"/>
        </w:rPr>
        <w:t>1830.</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Abikari, M. (2024). Emotions, perceived risk and intentions to adopt emerging e-banking technology amongst educated young consumers. </w:t>
      </w:r>
      <w:r>
        <w:rPr>
          <w:rFonts w:ascii="Times Roman" w:hAnsi="Times Roman"/>
          <w:i w:val="1"/>
          <w:iCs w:val="1"/>
          <w:rtl w:val="0"/>
          <w:lang w:val="en-US"/>
        </w:rPr>
        <w:t>Journal of Financial Services Marketing</w:t>
      </w:r>
      <w:r>
        <w:rPr>
          <w:rFonts w:ascii="Times Roman" w:hAnsi="Times Roman"/>
          <w:rtl w:val="0"/>
          <w:lang w:val="en-US"/>
        </w:rPr>
        <w:t xml:space="preserve">. Advance online publication. </w:t>
      </w:r>
      <w:r>
        <w:rPr>
          <w:rFonts w:ascii="Times Roman" w:hAnsi="Times Roman"/>
          <w:outline w:val="0"/>
          <w:color w:val="551a8b"/>
          <w:u w:val="single"/>
          <w:rtl w:val="0"/>
          <w:lang w:val="en-US"/>
          <w14:textFill>
            <w14:solidFill>
              <w14:srgbClr w14:val="551A8B"/>
            </w14:solidFill>
          </w14:textFill>
        </w:rPr>
        <w:t>https://doi.org/10.1057/s41264-023-00271-1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Acosta-Prado, J. C., et al. (2024). Trends in the literature about the adoption of digital financial services. </w:t>
      </w:r>
      <w:r>
        <w:rPr>
          <w:rFonts w:ascii="Times Roman" w:hAnsi="Times Roman"/>
          <w:i w:val="1"/>
          <w:iCs w:val="1"/>
          <w:rtl w:val="0"/>
          <w:lang w:val="en-US"/>
        </w:rPr>
        <w:t>Journal of Risk and Financial Management</w:t>
      </w:r>
      <w:r>
        <w:rPr>
          <w:rFonts w:ascii="Times Roman" w:hAnsi="Times Roman"/>
          <w:rtl w:val="0"/>
        </w:rPr>
        <w:t xml:space="preserve">, </w:t>
      </w:r>
      <w:r>
        <w:rPr>
          <w:rFonts w:ascii="Times Roman" w:hAnsi="Times Roman"/>
          <w:i w:val="1"/>
          <w:iCs w:val="1"/>
          <w:rtl w:val="0"/>
        </w:rPr>
        <w:t>17</w:t>
      </w:r>
      <w:r>
        <w:rPr>
          <w:rFonts w:ascii="Times Roman" w:hAnsi="Times Roman"/>
          <w:rtl w:val="0"/>
        </w:rPr>
        <w:t>(1), 45.</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Ahmed, S., Rayhan, S. J., Islam, M. A., &amp; Mahjabin, S. (2016). Problems and prospects of mobile banking in Bangladesh. </w:t>
      </w:r>
      <w:r>
        <w:rPr>
          <w:rFonts w:ascii="Times Roman" w:hAnsi="Times Roman"/>
          <w:i w:val="1"/>
          <w:iCs w:val="1"/>
          <w:rtl w:val="0"/>
          <w:lang w:val="en-US"/>
        </w:rPr>
        <w:t>Journal of Information Engineering and Applications</w:t>
      </w:r>
      <w:r>
        <w:rPr>
          <w:rFonts w:ascii="Times Roman" w:hAnsi="Times Roman"/>
          <w:rtl w:val="0"/>
        </w:rPr>
        <w:t xml:space="preserve">, </w:t>
      </w:r>
      <w:r>
        <w:rPr>
          <w:rFonts w:ascii="Times Roman" w:hAnsi="Times Roman"/>
          <w:i w:val="1"/>
          <w:iCs w:val="1"/>
          <w:rtl w:val="0"/>
        </w:rPr>
        <w:t>1</w:t>
      </w:r>
      <w:r>
        <w:rPr>
          <w:rFonts w:ascii="Times Roman" w:hAnsi="Times Roman"/>
          <w:rtl w:val="0"/>
        </w:rPr>
        <w:t>(6), 16</w:t>
      </w:r>
      <w:r>
        <w:rPr>
          <w:rFonts w:ascii="Times Roman" w:hAnsi="Times Roman" w:hint="default"/>
          <w:rtl w:val="0"/>
        </w:rPr>
        <w:t>–</w:t>
      </w:r>
      <w:r>
        <w:rPr>
          <w:rFonts w:ascii="Times Roman" w:hAnsi="Times Roman"/>
          <w:rtl w:val="0"/>
        </w:rPr>
        <w:t>35.</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Alliance for Financial Inclusion. (2013). </w:t>
      </w:r>
      <w:r>
        <w:rPr>
          <w:rFonts w:ascii="Times Roman" w:hAnsi="Times Roman"/>
          <w:i w:val="1"/>
          <w:iCs w:val="1"/>
          <w:rtl w:val="0"/>
          <w:lang w:val="en-US"/>
        </w:rPr>
        <w:t>Mobile financial services basic terminology</w:t>
      </w:r>
      <w:r>
        <w:rPr>
          <w:rFonts w:ascii="Times Roman" w:hAnsi="Times Roman"/>
          <w:rtl w:val="0"/>
        </w:rPr>
        <w:t>. AFI.</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Amer, M., Daim, T. U., &amp; Jetter, A. (2013). A review of scenario planning. </w:t>
      </w:r>
      <w:r>
        <w:rPr>
          <w:rFonts w:ascii="Times Roman" w:hAnsi="Times Roman"/>
          <w:i w:val="1"/>
          <w:iCs w:val="1"/>
          <w:rtl w:val="0"/>
        </w:rPr>
        <w:t>Futures</w:t>
      </w:r>
      <w:r>
        <w:rPr>
          <w:rFonts w:ascii="Times Roman" w:hAnsi="Times Roman"/>
          <w:rtl w:val="0"/>
        </w:rPr>
        <w:t xml:space="preserve">, </w:t>
      </w:r>
      <w:r>
        <w:rPr>
          <w:rFonts w:ascii="Times Roman" w:hAnsi="Times Roman"/>
          <w:i w:val="1"/>
          <w:iCs w:val="1"/>
          <w:rtl w:val="0"/>
        </w:rPr>
        <w:t>46</w:t>
      </w:r>
      <w:r>
        <w:rPr>
          <w:rFonts w:ascii="Times Roman" w:hAnsi="Times Roman"/>
          <w:rtl w:val="0"/>
        </w:rPr>
        <w:t>, 23</w:t>
      </w:r>
      <w:r>
        <w:rPr>
          <w:rFonts w:ascii="Times Roman" w:hAnsi="Times Roman" w:hint="default"/>
          <w:rtl w:val="0"/>
        </w:rPr>
        <w:t>–</w:t>
      </w:r>
      <w:r>
        <w:rPr>
          <w:rFonts w:ascii="Times Roman" w:hAnsi="Times Roman"/>
          <w:rtl w:val="0"/>
        </w:rPr>
        <w:t>40.</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Aracil, E. (2025). Trust and financial inclusion: A literature review with implications for digital finance. </w:t>
      </w:r>
      <w:r>
        <w:rPr>
          <w:rFonts w:ascii="Times Roman" w:hAnsi="Times Roman"/>
          <w:i w:val="1"/>
          <w:iCs w:val="1"/>
          <w:rtl w:val="0"/>
        </w:rPr>
        <w:t>Heliyon</w:t>
      </w:r>
      <w:r>
        <w:rPr>
          <w:rFonts w:ascii="Times Roman" w:hAnsi="Times Roman"/>
          <w:rtl w:val="0"/>
        </w:rPr>
        <w:t xml:space="preserve">, </w:t>
      </w:r>
      <w:r>
        <w:rPr>
          <w:rFonts w:ascii="Times Roman" w:hAnsi="Times Roman"/>
          <w:i w:val="1"/>
          <w:iCs w:val="1"/>
          <w:rtl w:val="0"/>
        </w:rPr>
        <w:t>11</w:t>
      </w:r>
      <w:r>
        <w:rPr>
          <w:rFonts w:ascii="Times Roman" w:hAnsi="Times Roman"/>
          <w:rtl w:val="0"/>
        </w:rPr>
        <w:t xml:space="preserve">(2), e25319. </w:t>
      </w:r>
      <w:r>
        <w:rPr>
          <w:rFonts w:ascii="Times Roman" w:hAnsi="Times Roman"/>
          <w:outline w:val="0"/>
          <w:color w:val="551a8b"/>
          <w:u w:val="single"/>
          <w:rtl w:val="0"/>
          <w14:textFill>
            <w14:solidFill>
              <w14:srgbClr w14:val="551A8B"/>
            </w14:solidFill>
          </w14:textFill>
        </w:rPr>
        <w:t>https://doi.org/10.1016/j.heliyon.2025.e25319</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Arshad Khan, M., et al. (2022). Performance of E-Banking and the mediating effect of customer satisfaction: A structural equation modeling approach. </w:t>
      </w:r>
      <w:r>
        <w:rPr>
          <w:rFonts w:ascii="Times Roman" w:hAnsi="Times Roman"/>
          <w:i w:val="1"/>
          <w:iCs w:val="1"/>
          <w:rtl w:val="0"/>
        </w:rPr>
        <w:t>Sustainability</w:t>
      </w:r>
      <w:r>
        <w:rPr>
          <w:rFonts w:ascii="Times Roman" w:hAnsi="Times Roman"/>
          <w:rtl w:val="0"/>
        </w:rPr>
        <w:t xml:space="preserve">, </w:t>
      </w:r>
      <w:r>
        <w:rPr>
          <w:rFonts w:ascii="Times Roman" w:hAnsi="Times Roman"/>
          <w:i w:val="1"/>
          <w:iCs w:val="1"/>
          <w:rtl w:val="0"/>
        </w:rPr>
        <w:t>14</w:t>
      </w:r>
      <w:r>
        <w:rPr>
          <w:rFonts w:ascii="Times Roman" w:hAnsi="Times Roman"/>
          <w:rtl w:val="0"/>
        </w:rPr>
        <w:t xml:space="preserve">(12), 7224. </w:t>
      </w:r>
      <w:r>
        <w:rPr>
          <w:rFonts w:ascii="Times Roman" w:hAnsi="Times Roman"/>
          <w:outline w:val="0"/>
          <w:color w:val="551a8b"/>
          <w:u w:val="single"/>
          <w:rtl w:val="0"/>
          <w:lang w:val="en-US"/>
          <w14:textFill>
            <w14:solidFill>
              <w14:srgbClr w14:val="551A8B"/>
            </w14:solidFill>
          </w14:textFill>
        </w:rPr>
        <w:t>https://doi.org/10.3390/su14127224</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Artha, B. (2024). Digital finance and global marketing: A systematic literature review. </w:t>
      </w:r>
      <w:r>
        <w:rPr>
          <w:rFonts w:ascii="Times Roman" w:hAnsi="Times Roman"/>
          <w:i w:val="1"/>
          <w:iCs w:val="1"/>
          <w:rtl w:val="0"/>
          <w:lang w:val="it-IT"/>
        </w:rPr>
        <w:t>Indonesia Economic Journal</w:t>
      </w:r>
      <w:r>
        <w:rPr>
          <w:rFonts w:ascii="Times Roman" w:hAnsi="Times Roman"/>
          <w:rtl w:val="0"/>
          <w:lang w:val="en-US"/>
        </w:rPr>
        <w:t>. Advance online publication.</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Baca, G., Hajdini, A., &amp; Elezaj, S. (2023). Adoption of electronic banking: An extension of technology acceptance model (TAM). </w:t>
      </w:r>
      <w:r>
        <w:rPr>
          <w:rFonts w:ascii="Times Roman" w:hAnsi="Times Roman"/>
          <w:i w:val="1"/>
          <w:iCs w:val="1"/>
          <w:rtl w:val="0"/>
        </w:rPr>
        <w:t>Ekonomski Pregled</w:t>
      </w:r>
      <w:r>
        <w:rPr>
          <w:rFonts w:ascii="Times Roman" w:hAnsi="Times Roman"/>
          <w:rtl w:val="0"/>
        </w:rPr>
        <w:t xml:space="preserve">, </w:t>
      </w:r>
      <w:r>
        <w:rPr>
          <w:rFonts w:ascii="Times Roman" w:hAnsi="Times Roman"/>
          <w:i w:val="1"/>
          <w:iCs w:val="1"/>
          <w:rtl w:val="0"/>
          <w:lang w:val="ru-RU"/>
        </w:rPr>
        <w:t>74</w:t>
      </w:r>
      <w:r>
        <w:rPr>
          <w:rFonts w:ascii="Times Roman" w:hAnsi="Times Roman"/>
          <w:rtl w:val="0"/>
        </w:rPr>
        <w:t>(6), 818</w:t>
      </w:r>
      <w:r>
        <w:rPr>
          <w:rFonts w:ascii="Times Roman" w:hAnsi="Times Roman" w:hint="default"/>
          <w:rtl w:val="0"/>
        </w:rPr>
        <w:t>–</w:t>
      </w:r>
      <w:r>
        <w:rPr>
          <w:rFonts w:ascii="Times Roman" w:hAnsi="Times Roman"/>
          <w:rtl w:val="0"/>
        </w:rPr>
        <w:t xml:space="preserve">839. </w:t>
      </w:r>
      <w:r>
        <w:rPr>
          <w:rFonts w:ascii="Times Roman" w:hAnsi="Times Roman"/>
          <w:outline w:val="0"/>
          <w:color w:val="551a8b"/>
          <w:u w:val="single"/>
          <w:rtl w:val="0"/>
          <w:lang w:val="pt-PT"/>
          <w14:textFill>
            <w14:solidFill>
              <w14:srgbClr w14:val="551A8B"/>
            </w14:solidFill>
          </w14:textFill>
        </w:rPr>
        <w:t>https://doi.org/10.32910/ep.74.6.4</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Bangladesh Bank. (2022). </w:t>
      </w:r>
      <w:r>
        <w:rPr>
          <w:rFonts w:ascii="Times Roman" w:hAnsi="Times Roman"/>
          <w:i w:val="1"/>
          <w:iCs w:val="1"/>
          <w:rtl w:val="0"/>
          <w:lang w:val="en-US"/>
        </w:rPr>
        <w:t>Bangladesh Mobile Financial Services (MFS) Regulations, 2022</w:t>
      </w:r>
      <w:r>
        <w:rPr>
          <w:rFonts w:ascii="Times Roman" w:hAnsi="Times Roman"/>
          <w:i w:val="0"/>
          <w:iCs w:val="0"/>
          <w:rtl w:val="0"/>
          <w:lang w:val="en-US"/>
        </w:rPr>
        <w:t>. Payment Systems Department.</w:t>
      </w:r>
    </w:p>
    <w:p>
      <w:pPr>
        <w:pStyle w:val="Default"/>
        <w:numPr>
          <w:ilvl w:val="0"/>
          <w:numId w:val="9"/>
        </w:numPr>
        <w:suppressAutoHyphens w:val="1"/>
        <w:spacing w:before="0" w:after="240" w:line="240" w:lineRule="auto"/>
        <w:jc w:val="left"/>
        <w:rPr>
          <w:rFonts w:ascii="Times Roman" w:hAnsi="Times Roman"/>
        </w:rPr>
      </w:pPr>
      <w:r>
        <w:rPr>
          <w:rFonts w:ascii="Times Roman" w:hAnsi="Times Roman"/>
          <w:rtl w:val="0"/>
        </w:rPr>
        <w:t xml:space="preserve">Bangladesh Bank. (2024). </w:t>
      </w:r>
      <w:r>
        <w:rPr>
          <w:rFonts w:ascii="Times Roman" w:hAnsi="Times Roman"/>
          <w:i w:val="1"/>
          <w:iCs w:val="1"/>
          <w:rtl w:val="0"/>
          <w:lang w:val="en-US"/>
        </w:rPr>
        <w:t>Payment systems report 2024</w:t>
      </w:r>
      <w:r>
        <w:rPr>
          <w:rFonts w:ascii="Times Roman" w:hAnsi="Times Roman"/>
          <w:rtl w:val="0"/>
          <w:lang w:val="en-US"/>
        </w:rPr>
        <w:t>. Payment Systems Department.</w:t>
      </w:r>
    </w:p>
    <w:p>
      <w:pPr>
        <w:pStyle w:val="Default"/>
        <w:numPr>
          <w:ilvl w:val="0"/>
          <w:numId w:val="9"/>
        </w:numPr>
        <w:suppressAutoHyphens w:val="1"/>
        <w:spacing w:before="0" w:after="240" w:line="240" w:lineRule="auto"/>
        <w:jc w:val="left"/>
        <w:rPr>
          <w:rFonts w:ascii="Times Roman" w:hAnsi="Times Roman"/>
        </w:rPr>
      </w:pPr>
      <w:r>
        <w:rPr>
          <w:rFonts w:ascii="Times Roman" w:hAnsi="Times Roman"/>
          <w:rtl w:val="0"/>
        </w:rPr>
        <w:t xml:space="preserve">Bangladesh Bank. (2025). </w:t>
      </w:r>
      <w:r>
        <w:rPr>
          <w:rFonts w:ascii="Times Roman" w:hAnsi="Times Roman"/>
          <w:i w:val="1"/>
          <w:iCs w:val="1"/>
          <w:rtl w:val="0"/>
          <w:lang w:val="en-US"/>
        </w:rPr>
        <w:t>Annual report 2024</w:t>
      </w:r>
      <w:r>
        <w:rPr>
          <w:rFonts w:ascii="Times Roman" w:hAnsi="Times Roman" w:hint="default"/>
          <w:i w:val="1"/>
          <w:iCs w:val="1"/>
          <w:rtl w:val="0"/>
        </w:rPr>
        <w:t>–</w:t>
      </w:r>
      <w:r>
        <w:rPr>
          <w:rFonts w:ascii="Times Roman" w:hAnsi="Times Roman"/>
          <w:i w:val="1"/>
          <w:iCs w:val="1"/>
          <w:rtl w:val="0"/>
        </w:rPr>
        <w:t>2025</w:t>
      </w:r>
      <w:r>
        <w:rPr>
          <w:rFonts w:ascii="Times Roman" w:hAnsi="Times Roman"/>
          <w:rtl w:val="0"/>
        </w:rPr>
        <w:t xml:space="preserve">. </w:t>
      </w:r>
      <w:r>
        <w:rPr>
          <w:rFonts w:ascii="Times Roman" w:hAnsi="Times Roman"/>
          <w:outline w:val="0"/>
          <w:color w:val="551a8b"/>
          <w:u w:val="single"/>
          <w:rtl w:val="0"/>
          <w14:textFill>
            <w14:solidFill>
              <w14:srgbClr w14:val="551A8B"/>
            </w14:solidFill>
          </w14:textFill>
        </w:rPr>
        <w:t>https://www.bb.org.bd</w:t>
      </w:r>
    </w:p>
    <w:p>
      <w:pPr>
        <w:pStyle w:val="Default"/>
        <w:numPr>
          <w:ilvl w:val="0"/>
          <w:numId w:val="9"/>
        </w:numPr>
        <w:suppressAutoHyphens w:val="1"/>
        <w:spacing w:before="0" w:after="240" w:line="240" w:lineRule="auto"/>
        <w:jc w:val="left"/>
        <w:rPr>
          <w:rFonts w:ascii="Times Roman" w:hAnsi="Times Roman"/>
        </w:rPr>
      </w:pPr>
      <w:r>
        <w:rPr>
          <w:rFonts w:ascii="Times Roman" w:hAnsi="Times Roman"/>
          <w:rtl w:val="0"/>
        </w:rPr>
        <w:t xml:space="preserve">Bangladesh Bank. (2025). </w:t>
      </w:r>
      <w:r>
        <w:rPr>
          <w:rFonts w:ascii="Times Roman" w:hAnsi="Times Roman"/>
          <w:i w:val="1"/>
          <w:iCs w:val="1"/>
          <w:rtl w:val="0"/>
          <w:lang w:val="de-DE"/>
        </w:rPr>
        <w:t>Digital Bank Guidelines Version 2</w:t>
      </w:r>
      <w:r>
        <w:rPr>
          <w:rFonts w:ascii="Times Roman" w:hAnsi="Times Roman"/>
          <w:rtl w:val="0"/>
          <w:lang w:val="en-US"/>
        </w:rPr>
        <w:t>. Banking Regulation and Policy Department.</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Bangladesh Bank. (2026). </w:t>
      </w:r>
      <w:r>
        <w:rPr>
          <w:rFonts w:ascii="Times Roman" w:hAnsi="Times Roman"/>
          <w:i w:val="1"/>
          <w:iCs w:val="1"/>
          <w:rtl w:val="0"/>
          <w:lang w:val="en-US"/>
        </w:rPr>
        <w:t>Guidelines on partner network, Version 1.0</w:t>
      </w:r>
      <w:r>
        <w:rPr>
          <w:rFonts w:ascii="Times Roman" w:hAnsi="Times Roman"/>
          <w:i w:val="0"/>
          <w:iCs w:val="0"/>
          <w:rtl w:val="0"/>
          <w:lang w:val="en-US"/>
        </w:rPr>
        <w:t>. Payment Systems Department.</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Bangladesh Financial Intelligence Unit (BFIU). (2024). </w:t>
      </w:r>
      <w:r>
        <w:rPr>
          <w:rFonts w:ascii="Times Roman" w:hAnsi="Times Roman"/>
          <w:i w:val="1"/>
          <w:iCs w:val="1"/>
          <w:rtl w:val="0"/>
          <w:lang w:val="en-US"/>
        </w:rPr>
        <w:t>Guidelines on electronic know your customer (e-KYC)</w:t>
      </w:r>
      <w:r>
        <w:rPr>
          <w:rFonts w:ascii="Times Roman" w:hAnsi="Times Roman"/>
          <w:rtl w:val="0"/>
        </w:rPr>
        <w:t>. Bangladesh Bank.</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Bank for International Settlements. (2018). </w:t>
      </w:r>
      <w:r>
        <w:rPr>
          <w:rFonts w:ascii="Times Roman" w:hAnsi="Times Roman"/>
          <w:i w:val="1"/>
          <w:iCs w:val="1"/>
          <w:rtl w:val="0"/>
          <w:lang w:val="en-US"/>
        </w:rPr>
        <w:t>Central bank digital currencies</w:t>
      </w:r>
      <w:r>
        <w:rPr>
          <w:rFonts w:ascii="Times Roman" w:hAnsi="Times Roman"/>
          <w:rtl w:val="0"/>
          <w:lang w:val="pt-PT"/>
        </w:rPr>
        <w:t xml:space="preserve"> (CPMI Papers No. 174). </w:t>
      </w:r>
      <w:r>
        <w:rPr>
          <w:rFonts w:ascii="Times Roman" w:hAnsi="Times Roman"/>
          <w:outline w:val="0"/>
          <w:color w:val="551a8b"/>
          <w:u w:val="single"/>
          <w:rtl w:val="0"/>
          <w:lang w:val="en-US"/>
          <w14:textFill>
            <w14:solidFill>
              <w14:srgbClr w14:val="551A8B"/>
            </w14:solidFill>
          </w14:textFill>
        </w:rPr>
        <w:t>https://www.bis.org/cpmi/publ/d174.pdf</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Bank for International Settlements. (2024). </w:t>
      </w:r>
      <w:r>
        <w:rPr>
          <w:rFonts w:ascii="Times Roman" w:hAnsi="Times Roman"/>
          <w:i w:val="1"/>
          <w:iCs w:val="1"/>
          <w:rtl w:val="0"/>
          <w:lang w:val="en-US"/>
        </w:rPr>
        <w:t>Lessons from the Unified Payments Interface (UPI)</w:t>
      </w:r>
      <w:r>
        <w:rPr>
          <w:rFonts w:ascii="Times Roman" w:hAnsi="Times Roman"/>
          <w:rtl w:val="0"/>
          <w:lang w:val="en-US"/>
        </w:rPr>
        <w:t xml:space="preserve"> (BIS Papers). </w:t>
      </w:r>
      <w:r>
        <w:rPr>
          <w:rFonts w:ascii="Times Roman" w:hAnsi="Times Roman"/>
          <w:outline w:val="0"/>
          <w:color w:val="551a8b"/>
          <w:u w:val="single"/>
          <w:rtl w:val="0"/>
          <w:lang w:val="en-US"/>
          <w14:textFill>
            <w14:solidFill>
              <w14:srgbClr w14:val="551A8B"/>
            </w14:solidFill>
          </w14:textFill>
        </w:rPr>
        <w:t>https://www.bis.org/publ/bppdf/bispap152_e_rh.pdf</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Bank for International Settlements. (2025). </w:t>
      </w:r>
      <w:r>
        <w:rPr>
          <w:rFonts w:ascii="Times Roman" w:hAnsi="Times Roman"/>
          <w:i w:val="1"/>
          <w:iCs w:val="1"/>
          <w:rtl w:val="0"/>
          <w:lang w:val="en-US"/>
        </w:rPr>
        <w:t>Key considerations for open finance</w:t>
      </w:r>
      <w:r>
        <w:rPr>
          <w:rFonts w:ascii="Times Roman" w:hAnsi="Times Roman"/>
          <w:rtl w:val="0"/>
          <w:lang w:val="en-US"/>
        </w:rPr>
        <w:t xml:space="preserve"> (FSI Executive Summaries).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Bank for International Settlements, &amp; World Bank. (2023). </w:t>
      </w:r>
      <w:r>
        <w:rPr>
          <w:rFonts w:ascii="Times Roman" w:hAnsi="Times Roman"/>
          <w:i w:val="1"/>
          <w:iCs w:val="1"/>
          <w:rtl w:val="0"/>
          <w:lang w:val="en-US"/>
        </w:rPr>
        <w:t>Fintech and the digital transformation of financial services</w:t>
      </w:r>
      <w:r>
        <w:rPr>
          <w:rFonts w:ascii="Times Roman" w:hAnsi="Times Roman"/>
          <w:rtl w:val="0"/>
          <w:lang w:val="en-US"/>
        </w:rPr>
        <w:t>. World Bank Group.</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Bashir, M. A., et al. (2023). Systematic review of studies using UTAUT and UTAUT2 to examine technology adoption. </w:t>
      </w:r>
      <w:r>
        <w:rPr>
          <w:rFonts w:ascii="Times Roman" w:hAnsi="Times Roman"/>
          <w:i w:val="1"/>
          <w:iCs w:val="1"/>
          <w:rtl w:val="0"/>
          <w:lang w:val="en-US"/>
        </w:rPr>
        <w:t>Semantic Scholar</w:t>
      </w:r>
      <w:r>
        <w:rPr>
          <w:rFonts w:ascii="Times Roman" w:hAnsi="Times Roman"/>
          <w:rtl w:val="0"/>
        </w:rPr>
        <w:t>.</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Braun, V., &amp; Clarke, V. (2022). </w:t>
      </w:r>
      <w:r>
        <w:rPr>
          <w:rFonts w:ascii="Times Roman" w:hAnsi="Times Roman"/>
          <w:i w:val="1"/>
          <w:iCs w:val="1"/>
          <w:rtl w:val="0"/>
          <w:lang w:val="en-US"/>
        </w:rPr>
        <w:t>Thematic analysis: A practical guide</w:t>
      </w:r>
      <w:r>
        <w:rPr>
          <w:rFonts w:ascii="Times Roman" w:hAnsi="Times Roman"/>
          <w:i w:val="0"/>
          <w:iCs w:val="0"/>
          <w:rtl w:val="0"/>
          <w:lang w:val="en-US"/>
        </w:rPr>
        <w:t>. SAGE Publications.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Brislin, R. W. (1970). Back-translation for cross-cultural research. </w:t>
      </w:r>
      <w:r>
        <w:rPr>
          <w:rFonts w:ascii="Times Roman" w:hAnsi="Times Roman"/>
          <w:i w:val="1"/>
          <w:iCs w:val="1"/>
          <w:rtl w:val="0"/>
          <w:lang w:val="en-US"/>
        </w:rPr>
        <w:t>Journal of Cross-Cultural Psychology</w:t>
      </w:r>
      <w:r>
        <w:rPr>
          <w:rFonts w:ascii="Times Roman" w:hAnsi="Times Roman"/>
          <w:rtl w:val="0"/>
        </w:rPr>
        <w:t xml:space="preserve">, </w:t>
      </w:r>
      <w:r>
        <w:rPr>
          <w:rFonts w:ascii="Times Roman" w:hAnsi="Times Roman"/>
          <w:i w:val="1"/>
          <w:iCs w:val="1"/>
          <w:rtl w:val="0"/>
        </w:rPr>
        <w:t>1</w:t>
      </w:r>
      <w:r>
        <w:rPr>
          <w:rFonts w:ascii="Times Roman" w:hAnsi="Times Roman"/>
          <w:rtl w:val="0"/>
        </w:rPr>
        <w:t>(3), 185</w:t>
      </w:r>
      <w:r>
        <w:rPr>
          <w:rFonts w:ascii="Times Roman" w:hAnsi="Times Roman" w:hint="default"/>
          <w:rtl w:val="0"/>
        </w:rPr>
        <w:t>–</w:t>
      </w:r>
      <w:r>
        <w:rPr>
          <w:rFonts w:ascii="Times Roman" w:hAnsi="Times Roman"/>
          <w:rtl w:val="0"/>
        </w:rPr>
        <w:t>216.</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BSS. (2025, June 2). </w:t>
      </w:r>
      <w:r>
        <w:rPr>
          <w:rFonts w:ascii="Times Roman" w:hAnsi="Times Roman"/>
          <w:i w:val="1"/>
          <w:iCs w:val="1"/>
          <w:rtl w:val="0"/>
          <w:lang w:val="en-US"/>
        </w:rPr>
        <w:t>Number of registered MFS accounts stand at 239.3 million</w:t>
      </w:r>
      <w:r>
        <w:rPr>
          <w:rFonts w:ascii="Times Roman" w:hAnsi="Times Roman"/>
          <w:i w:val="0"/>
          <w:iCs w:val="0"/>
          <w:rtl w:val="0"/>
        </w:rPr>
        <w:t>. Bangladesh Sangbad Sangstha.</w:t>
      </w:r>
    </w:p>
    <w:p>
      <w:pPr>
        <w:pStyle w:val="Default"/>
        <w:numPr>
          <w:ilvl w:val="0"/>
          <w:numId w:val="9"/>
        </w:numPr>
        <w:suppressAutoHyphens w:val="1"/>
        <w:spacing w:before="0" w:after="240" w:line="240" w:lineRule="auto"/>
        <w:jc w:val="left"/>
        <w:rPr>
          <w:rFonts w:ascii="Times Roman" w:hAnsi="Times Roman"/>
        </w:rPr>
      </w:pPr>
      <w:r>
        <w:rPr>
          <w:rFonts w:ascii="Times Roman" w:hAnsi="Times Roman"/>
          <w:rtl w:val="0"/>
        </w:rPr>
        <w:t xml:space="preserve">CGAP. (2024). </w:t>
      </w:r>
      <w:r>
        <w:rPr>
          <w:rFonts w:ascii="Times Roman" w:hAnsi="Times Roman"/>
          <w:i w:val="1"/>
          <w:iCs w:val="1"/>
          <w:rtl w:val="0"/>
          <w:lang w:val="en-US"/>
        </w:rPr>
        <w:t>Key considerations for open finance</w:t>
      </w:r>
      <w:r>
        <w:rPr>
          <w:rFonts w:ascii="Times Roman" w:hAnsi="Times Roman"/>
          <w:rtl w:val="0"/>
          <w:lang w:val="en-US"/>
        </w:rPr>
        <w:t>. Consultative Group to Assist the Poor.</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Chauhan, V., Yadav, R., &amp; Choudhary, V. (2022). Adoption of electronic banking services in India: An extension of UTAUT2 model. </w:t>
      </w:r>
      <w:r>
        <w:rPr>
          <w:rFonts w:ascii="Times Roman" w:hAnsi="Times Roman"/>
          <w:i w:val="1"/>
          <w:iCs w:val="1"/>
          <w:rtl w:val="0"/>
          <w:lang w:val="en-US"/>
        </w:rPr>
        <w:t>Journal of Financial Services Marketing</w:t>
      </w:r>
      <w:r>
        <w:rPr>
          <w:rFonts w:ascii="Times Roman" w:hAnsi="Times Roman"/>
          <w:rtl w:val="0"/>
        </w:rPr>
        <w:t xml:space="preserve">, </w:t>
      </w:r>
      <w:r>
        <w:rPr>
          <w:rFonts w:ascii="Times Roman" w:hAnsi="Times Roman"/>
          <w:i w:val="1"/>
          <w:iCs w:val="1"/>
          <w:rtl w:val="0"/>
        </w:rPr>
        <w:t>27</w:t>
      </w:r>
      <w:r>
        <w:rPr>
          <w:rFonts w:ascii="Times Roman" w:hAnsi="Times Roman"/>
          <w:rtl w:val="0"/>
        </w:rPr>
        <w:t>(1), 1</w:t>
      </w:r>
      <w:r>
        <w:rPr>
          <w:rFonts w:ascii="Times Roman" w:hAnsi="Times Roman" w:hint="default"/>
          <w:rtl w:val="0"/>
        </w:rPr>
        <w:t>–</w:t>
      </w:r>
      <w:r>
        <w:rPr>
          <w:rFonts w:ascii="Times Roman" w:hAnsi="Times Roman"/>
          <w:rtl w:val="0"/>
        </w:rPr>
        <w:t xml:space="preserve">15. </w:t>
      </w:r>
      <w:r>
        <w:rPr>
          <w:rFonts w:ascii="Times Roman" w:hAnsi="Times Roman"/>
          <w:outline w:val="0"/>
          <w:color w:val="551a8b"/>
          <w:u w:val="single"/>
          <w:rtl w:val="0"/>
          <w:lang w:val="en-US"/>
          <w14:textFill>
            <w14:solidFill>
              <w14:srgbClr w14:val="551A8B"/>
            </w14:solidFill>
          </w14:textFill>
        </w:rPr>
        <w:t>https://doi.org/10.1057/s41264-021-00095-z</w:t>
      </w:r>
    </w:p>
    <w:p>
      <w:pPr>
        <w:pStyle w:val="Default"/>
        <w:numPr>
          <w:ilvl w:val="0"/>
          <w:numId w:val="9"/>
        </w:numPr>
        <w:suppressAutoHyphens w:val="1"/>
        <w:spacing w:before="0" w:after="240" w:line="240" w:lineRule="auto"/>
        <w:jc w:val="left"/>
        <w:rPr>
          <w:rFonts w:ascii="Times Roman" w:hAnsi="Times Roman"/>
          <w:lang w:val="it-IT"/>
        </w:rPr>
      </w:pPr>
      <w:r>
        <w:rPr>
          <w:rFonts w:ascii="Times Roman" w:hAnsi="Times Roman"/>
          <w:rtl w:val="0"/>
          <w:lang w:val="it-IT"/>
        </w:rPr>
        <w:t xml:space="preserve">Cornelli, G., Frost, J., Gambacorta, L., &amp; Song, S. (2024). </w:t>
      </w:r>
      <w:r>
        <w:rPr>
          <w:rFonts w:ascii="Times Roman" w:hAnsi="Times Roman"/>
          <w:i w:val="1"/>
          <w:iCs w:val="1"/>
          <w:rtl w:val="0"/>
          <w:lang w:val="en-US"/>
        </w:rPr>
        <w:t>Lessons from the Unified Payments Interface (UPI)</w:t>
      </w:r>
      <w:r>
        <w:rPr>
          <w:rFonts w:ascii="Times Roman" w:hAnsi="Times Roman"/>
          <w:rtl w:val="0"/>
          <w:lang w:val="en-US"/>
        </w:rPr>
        <w:t xml:space="preserve"> (BIS Papers). Bank for International Settlements.</w:t>
      </w:r>
    </w:p>
    <w:p>
      <w:pPr>
        <w:pStyle w:val="Default"/>
        <w:numPr>
          <w:ilvl w:val="0"/>
          <w:numId w:val="9"/>
        </w:numPr>
        <w:suppressAutoHyphens w:val="1"/>
        <w:spacing w:before="0" w:after="240" w:line="240" w:lineRule="auto"/>
        <w:jc w:val="left"/>
        <w:rPr>
          <w:rFonts w:ascii="Times Roman" w:hAnsi="Times Roman"/>
          <w:i w:val="1"/>
          <w:iCs w:val="1"/>
          <w:lang w:val="de-DE"/>
        </w:rPr>
      </w:pPr>
      <w:r>
        <w:rPr>
          <w:rFonts w:ascii="Times Roman" w:hAnsi="Times Roman"/>
          <w:i w:val="0"/>
          <w:iCs w:val="0"/>
          <w:rtl w:val="0"/>
          <w:lang w:val="de-DE"/>
        </w:rPr>
        <w:t xml:space="preserve">Creswell, J. W., &amp; Creswell, J. D. (2018). </w:t>
      </w:r>
      <w:r>
        <w:rPr>
          <w:rFonts w:ascii="Times Roman" w:hAnsi="Times Roman"/>
          <w:i w:val="1"/>
          <w:iCs w:val="1"/>
          <w:rtl w:val="0"/>
          <w:lang w:val="en-US"/>
        </w:rPr>
        <w:t>Research design: Qualitative, quantitative, and mixed methods approaches</w:t>
      </w:r>
      <w:r>
        <w:rPr>
          <w:rFonts w:ascii="Times Roman" w:hAnsi="Times Roman"/>
          <w:i w:val="0"/>
          <w:iCs w:val="0"/>
          <w:rtl w:val="0"/>
          <w:lang w:val="en-US"/>
        </w:rPr>
        <w:t xml:space="preserve"> (5th ed.). SAGE Publications.</w:t>
      </w:r>
    </w:p>
    <w:p>
      <w:pPr>
        <w:pStyle w:val="Default"/>
        <w:numPr>
          <w:ilvl w:val="0"/>
          <w:numId w:val="9"/>
        </w:numPr>
        <w:suppressAutoHyphens w:val="1"/>
        <w:spacing w:before="0" w:after="240" w:line="240" w:lineRule="auto"/>
        <w:jc w:val="left"/>
        <w:rPr>
          <w:rFonts w:ascii="Times Roman" w:hAnsi="Times Roman"/>
          <w:lang w:val="it-IT"/>
        </w:rPr>
      </w:pPr>
      <w:r>
        <w:rPr>
          <w:rFonts w:ascii="Times Roman" w:hAnsi="Times Roman"/>
          <w:rtl w:val="0"/>
          <w:lang w:val="it-IT"/>
        </w:rPr>
        <w:t xml:space="preserve">Creswell, J. W., &amp; Plano Clark, V. L. (2018). </w:t>
      </w:r>
      <w:r>
        <w:rPr>
          <w:rFonts w:ascii="Times Roman" w:hAnsi="Times Roman"/>
          <w:i w:val="1"/>
          <w:iCs w:val="1"/>
          <w:rtl w:val="0"/>
          <w:lang w:val="en-US"/>
        </w:rPr>
        <w:t>Designing and conducting mixed methods research</w:t>
      </w:r>
      <w:r>
        <w:rPr>
          <w:rFonts w:ascii="Times Roman" w:hAnsi="Times Roman"/>
          <w:rtl w:val="0"/>
          <w:lang w:val="en-US"/>
        </w:rPr>
        <w:t xml:space="preserve"> (3rd ed.). SAGE Publications.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Davis, F. D. (1989). Perceived usefulness, perceived ease of use, and user acceptance of information technology. </w:t>
      </w:r>
      <w:r>
        <w:rPr>
          <w:rFonts w:ascii="Times Roman" w:hAnsi="Times Roman"/>
          <w:i w:val="1"/>
          <w:iCs w:val="1"/>
          <w:rtl w:val="0"/>
          <w:lang w:val="en-US"/>
        </w:rPr>
        <w:t>MIS Quarterly</w:t>
      </w:r>
      <w:r>
        <w:rPr>
          <w:rFonts w:ascii="Times Roman" w:hAnsi="Times Roman"/>
          <w:rtl w:val="0"/>
        </w:rPr>
        <w:t xml:space="preserve">, </w:t>
      </w:r>
      <w:r>
        <w:rPr>
          <w:rFonts w:ascii="Times Roman" w:hAnsi="Times Roman"/>
          <w:i w:val="1"/>
          <w:iCs w:val="1"/>
          <w:rtl w:val="0"/>
        </w:rPr>
        <w:t>13</w:t>
      </w:r>
      <w:r>
        <w:rPr>
          <w:rFonts w:ascii="Times Roman" w:hAnsi="Times Roman"/>
          <w:rtl w:val="0"/>
        </w:rPr>
        <w:t>(3), 319</w:t>
      </w:r>
      <w:r>
        <w:rPr>
          <w:rFonts w:ascii="Times Roman" w:hAnsi="Times Roman" w:hint="default"/>
          <w:rtl w:val="0"/>
        </w:rPr>
        <w:t>–</w:t>
      </w:r>
      <w:r>
        <w:rPr>
          <w:rFonts w:ascii="Times Roman" w:hAnsi="Times Roman"/>
          <w:rtl w:val="0"/>
        </w:rPr>
        <w:t xml:space="preserve">340. </w:t>
      </w:r>
      <w:r>
        <w:rPr>
          <w:rFonts w:ascii="Times Roman" w:hAnsi="Times Roman"/>
          <w:outline w:val="0"/>
          <w:color w:val="551a8b"/>
          <w:u w:val="single"/>
          <w:rtl w:val="0"/>
          <w:lang w:val="en-US"/>
          <w14:textFill>
            <w14:solidFill>
              <w14:srgbClr w14:val="551A8B"/>
            </w14:solidFill>
          </w14:textFill>
        </w:rPr>
        <w:t>https://doi.org/10.2307/249008</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Del Sarto, N., &amp; Ozili, P. K. (2023). Digital financial inclusion in emerging markets: Challenges and opportunities. </w:t>
      </w:r>
      <w:r>
        <w:rPr>
          <w:rFonts w:ascii="Times Roman" w:hAnsi="Times Roman"/>
          <w:i w:val="1"/>
          <w:iCs w:val="1"/>
          <w:rtl w:val="0"/>
          <w:lang w:val="en-US"/>
        </w:rPr>
        <w:t>Journal of Financial Regulation and Compliance</w:t>
      </w:r>
      <w:r>
        <w:rPr>
          <w:rFonts w:ascii="Times Roman" w:hAnsi="Times Roman"/>
          <w:rtl w:val="0"/>
        </w:rPr>
        <w:t xml:space="preserve">, </w:t>
      </w:r>
      <w:r>
        <w:rPr>
          <w:rFonts w:ascii="Times Roman" w:hAnsi="Times Roman"/>
          <w:i w:val="1"/>
          <w:iCs w:val="1"/>
          <w:rtl w:val="0"/>
        </w:rPr>
        <w:t>31</w:t>
      </w:r>
      <w:r>
        <w:rPr>
          <w:rFonts w:ascii="Times Roman" w:hAnsi="Times Roman"/>
          <w:rtl w:val="0"/>
        </w:rPr>
        <w:t>(3), 321</w:t>
      </w:r>
      <w:r>
        <w:rPr>
          <w:rFonts w:ascii="Times Roman" w:hAnsi="Times Roman" w:hint="default"/>
          <w:rtl w:val="0"/>
        </w:rPr>
        <w:t>–</w:t>
      </w:r>
      <w:r>
        <w:rPr>
          <w:rFonts w:ascii="Times Roman" w:hAnsi="Times Roman"/>
          <w:rtl w:val="0"/>
        </w:rPr>
        <w:t>335.</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Dendrinos, K. (2024). An investigation of selected UTAUT constructs and consumption values on mobile banking adoption. </w:t>
      </w:r>
      <w:r>
        <w:rPr>
          <w:rFonts w:ascii="Times Roman" w:hAnsi="Times Roman"/>
          <w:i w:val="1"/>
          <w:iCs w:val="1"/>
          <w:rtl w:val="0"/>
          <w:lang w:val="en-US"/>
        </w:rPr>
        <w:t>Journal of Financial Services Marketing</w:t>
      </w:r>
      <w:r>
        <w:rPr>
          <w:rFonts w:ascii="Times Roman" w:hAnsi="Times Roman"/>
          <w:rtl w:val="0"/>
          <w:lang w:val="en-US"/>
        </w:rPr>
        <w:t xml:space="preserve">. Advance online publication. </w:t>
      </w:r>
      <w:r>
        <w:rPr>
          <w:rFonts w:ascii="Times Roman" w:hAnsi="Times Roman"/>
          <w:outline w:val="0"/>
          <w:color w:val="551a8b"/>
          <w:u w:val="single"/>
          <w:rtl w:val="0"/>
          <w:lang w:val="en-US"/>
          <w14:textFill>
            <w14:solidFill>
              <w14:srgbClr w14:val="551A8B"/>
            </w14:solidFill>
          </w14:textFill>
        </w:rPr>
        <w:t>https://doi.org/10.1057/s41270-023-00271-1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DiMaggio, P. J., &amp; Powell, W. W. (1983). The iron cage revisited: Institutional isomorphism and collective rationality in organizational fields. </w:t>
      </w:r>
      <w:r>
        <w:rPr>
          <w:rFonts w:ascii="Times Roman" w:hAnsi="Times Roman"/>
          <w:i w:val="1"/>
          <w:iCs w:val="1"/>
          <w:rtl w:val="0"/>
          <w:lang w:val="en-US"/>
        </w:rPr>
        <w:t>American Sociological Review</w:t>
      </w:r>
      <w:r>
        <w:rPr>
          <w:rFonts w:ascii="Times Roman" w:hAnsi="Times Roman"/>
          <w:rtl w:val="0"/>
        </w:rPr>
        <w:t xml:space="preserve">, </w:t>
      </w:r>
      <w:r>
        <w:rPr>
          <w:rFonts w:ascii="Times Roman" w:hAnsi="Times Roman"/>
          <w:i w:val="1"/>
          <w:iCs w:val="1"/>
          <w:rtl w:val="0"/>
        </w:rPr>
        <w:t>48</w:t>
      </w:r>
      <w:r>
        <w:rPr>
          <w:rFonts w:ascii="Times Roman" w:hAnsi="Times Roman"/>
          <w:rtl w:val="0"/>
        </w:rPr>
        <w:t>(2), 147</w:t>
      </w:r>
      <w:r>
        <w:rPr>
          <w:rFonts w:ascii="Times Roman" w:hAnsi="Times Roman" w:hint="default"/>
          <w:rtl w:val="0"/>
        </w:rPr>
        <w:t>–</w:t>
      </w:r>
      <w:r>
        <w:rPr>
          <w:rFonts w:ascii="Times Roman" w:hAnsi="Times Roman"/>
          <w:rtl w:val="0"/>
        </w:rPr>
        <w:t xml:space="preserve">160. </w:t>
      </w:r>
      <w:r>
        <w:rPr>
          <w:rFonts w:ascii="Times Roman" w:hAnsi="Times Roman"/>
          <w:outline w:val="0"/>
          <w:color w:val="551a8b"/>
          <w:u w:val="single"/>
          <w:rtl w:val="0"/>
          <w:lang w:val="en-US"/>
          <w14:textFill>
            <w14:solidFill>
              <w14:srgbClr w14:val="551A8B"/>
            </w14:solidFill>
          </w14:textFill>
        </w:rPr>
        <w:t>https://doi.org/10.2307/2095101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Ehsan, S. M. A., et al. (2019). Security and trust issues in mobile financial services in Bangladesh. </w:t>
      </w:r>
      <w:r>
        <w:rPr>
          <w:rFonts w:ascii="Times Roman" w:hAnsi="Times Roman"/>
          <w:i w:val="1"/>
          <w:iCs w:val="1"/>
          <w:rtl w:val="0"/>
          <w:lang w:val="en-US"/>
        </w:rPr>
        <w:t>Journal of Banking and Finance</w:t>
      </w:r>
      <w:r>
        <w:rPr>
          <w:rFonts w:ascii="Times Roman" w:hAnsi="Times Roman"/>
          <w:rtl w:val="0"/>
        </w:rPr>
        <w:t xml:space="preserve">, </w:t>
      </w:r>
      <w:r>
        <w:rPr>
          <w:rFonts w:ascii="Times Roman" w:hAnsi="Times Roman"/>
          <w:i w:val="1"/>
          <w:iCs w:val="1"/>
          <w:rtl w:val="0"/>
        </w:rPr>
        <w:t>4</w:t>
      </w:r>
      <w:r>
        <w:rPr>
          <w:rFonts w:ascii="Times Roman" w:hAnsi="Times Roman"/>
          <w:rtl w:val="0"/>
        </w:rPr>
        <w:t>(2), 15-28.</w:t>
      </w:r>
    </w:p>
    <w:p>
      <w:pPr>
        <w:pStyle w:val="Default"/>
        <w:numPr>
          <w:ilvl w:val="0"/>
          <w:numId w:val="9"/>
        </w:numPr>
        <w:suppressAutoHyphens w:val="1"/>
        <w:spacing w:before="0" w:after="240" w:line="240" w:lineRule="auto"/>
        <w:jc w:val="left"/>
        <w:rPr>
          <w:rFonts w:ascii="Times Roman" w:hAnsi="Times Roman"/>
          <w:outline w:val="0"/>
          <w:color w:val="551a8b"/>
          <w:u w:val="single"/>
          <w14:textFill>
            <w14:solidFill>
              <w14:srgbClr w14:val="551A8B"/>
            </w14:solidFill>
          </w14:textFill>
        </w:rPr>
      </w:pPr>
      <w:r>
        <w:rPr>
          <w:rFonts w:ascii="Times Roman" w:hAnsi="Times Roman"/>
          <w:outline w:val="0"/>
          <w:color w:val="000000"/>
          <w:u w:val="none"/>
          <w:rtl w:val="0"/>
          <w14:textFill>
            <w14:solidFill>
              <w14:srgbClr w14:val="000000"/>
            </w14:solidFill>
          </w14:textFill>
        </w:rPr>
        <w:t xml:space="preserve">Encyclopedia.com. (n.d.). </w:t>
      </w:r>
      <w:r>
        <w:rPr>
          <w:rFonts w:ascii="Times Roman" w:hAnsi="Times Roman"/>
          <w:i w:val="1"/>
          <w:iCs w:val="1"/>
          <w:outline w:val="0"/>
          <w:color w:val="000000"/>
          <w:u w:val="none"/>
          <w:rtl w:val="0"/>
          <w14:textFill>
            <w14:solidFill>
              <w14:srgbClr w14:val="000000"/>
            </w14:solidFill>
          </w14:textFill>
        </w:rPr>
        <w:t>E-banking</w:t>
      </w:r>
      <w:r>
        <w:rPr>
          <w:rFonts w:ascii="Times Roman" w:hAnsi="Times Roman"/>
          <w:outline w:val="0"/>
          <w:color w:val="000000"/>
          <w:u w:val="none"/>
          <w:rtl w:val="0"/>
          <w14:textFill>
            <w14:solidFill>
              <w14:srgbClr w14:val="000000"/>
            </w14:solidFill>
          </w14:textFill>
        </w:rPr>
        <w:t xml:space="preserve">. </w:t>
      </w:r>
      <w:r>
        <w:rPr>
          <w:rFonts w:ascii="Times Roman" w:hAnsi="Times Roman"/>
          <w:outline w:val="0"/>
          <w:color w:val="551a8b"/>
          <w:u w:val="single"/>
          <w:rtl w:val="0"/>
          <w:lang w:val="en-US"/>
          <w14:textFill>
            <w14:solidFill>
              <w14:srgbClr w14:val="551A8B"/>
            </w14:solidFill>
          </w14:textFill>
        </w:rPr>
        <w:t>https://www.encyclopedia.com/computing/news-wires-white-papers-and-books/e-banking</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Farah, A. A., et al. (2026). Financial inclusion and green economic growth: A systematic review. </w:t>
      </w:r>
      <w:r>
        <w:rPr>
          <w:rFonts w:ascii="Times Roman" w:hAnsi="Times Roman"/>
          <w:i w:val="1"/>
          <w:iCs w:val="1"/>
          <w:rtl w:val="0"/>
          <w:lang w:val="en-US"/>
        </w:rPr>
        <w:t>Discover Sustainability</w:t>
      </w:r>
      <w:r>
        <w:rPr>
          <w:rFonts w:ascii="Times Roman" w:hAnsi="Times Roman"/>
          <w:rtl w:val="0"/>
        </w:rPr>
        <w:t xml:space="preserve">. </w:t>
      </w:r>
      <w:r>
        <w:rPr>
          <w:rFonts w:ascii="Times Roman" w:hAnsi="Times Roman"/>
          <w:outline w:val="0"/>
          <w:color w:val="551a8b"/>
          <w:u w:val="single"/>
          <w:rtl w:val="0"/>
          <w:lang w:val="en-US"/>
          <w14:textFill>
            <w14:solidFill>
              <w14:srgbClr w14:val="551A8B"/>
            </w14:solidFill>
          </w14:textFill>
        </w:rPr>
        <w:t>https://doi.org/10.1007/s44274-026-00550-5</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Farzin, M., Sadeghi, M., &amp; Yahyayi, F. (2021). Extending UTAUT2 in M-banking adoption and actual use behavior: Does WOM communication matter? </w:t>
      </w:r>
      <w:r>
        <w:rPr>
          <w:rFonts w:ascii="Times Roman" w:hAnsi="Times Roman"/>
          <w:i w:val="1"/>
          <w:iCs w:val="1"/>
          <w:rtl w:val="0"/>
          <w:lang w:val="en-US"/>
        </w:rPr>
        <w:t>Asia-Pacific Journal of Business Administration</w:t>
      </w:r>
      <w:r>
        <w:rPr>
          <w:rFonts w:ascii="Times Roman" w:hAnsi="Times Roman"/>
          <w:rtl w:val="0"/>
        </w:rPr>
        <w:t xml:space="preserve">, </w:t>
      </w:r>
      <w:r>
        <w:rPr>
          <w:rFonts w:ascii="Times Roman" w:hAnsi="Times Roman"/>
          <w:i w:val="1"/>
          <w:iCs w:val="1"/>
          <w:rtl w:val="0"/>
        </w:rPr>
        <w:t>13</w:t>
      </w:r>
      <w:r>
        <w:rPr>
          <w:rFonts w:ascii="Times Roman" w:hAnsi="Times Roman"/>
          <w:rtl w:val="0"/>
        </w:rPr>
        <w:t>(2), 136</w:t>
      </w:r>
      <w:r>
        <w:rPr>
          <w:rFonts w:ascii="Times Roman" w:hAnsi="Times Roman" w:hint="default"/>
          <w:rtl w:val="0"/>
        </w:rPr>
        <w:t>–</w:t>
      </w:r>
      <w:r>
        <w:rPr>
          <w:rFonts w:ascii="Times Roman" w:hAnsi="Times Roman"/>
          <w:rtl w:val="0"/>
        </w:rPr>
        <w:t xml:space="preserve">155. </w:t>
      </w:r>
      <w:r>
        <w:rPr>
          <w:rFonts w:ascii="Times Roman" w:hAnsi="Times Roman"/>
          <w:outline w:val="0"/>
          <w:color w:val="551a8b"/>
          <w:u w:val="single"/>
          <w:rtl w:val="0"/>
          <w:lang w:val="en-US"/>
          <w14:textFill>
            <w14:solidFill>
              <w14:srgbClr w14:val="551A8B"/>
            </w14:solidFill>
          </w14:textFill>
        </w:rPr>
        <w:t>https://doi.org/10.1108/APJBA-03-2020-0085</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Financial Express. (2025, July 8). </w:t>
      </w:r>
      <w:r>
        <w:rPr>
          <w:rFonts w:ascii="Times Roman" w:hAnsi="Times Roman"/>
          <w:i w:val="1"/>
          <w:iCs w:val="1"/>
          <w:rtl w:val="0"/>
          <w:lang w:val="fr-FR"/>
        </w:rPr>
        <w:t>MFS fraud</w:t>
      </w:r>
      <w:r>
        <w:rPr>
          <w:rFonts w:ascii="Times Roman" w:hAnsi="Times Roman" w:hint="default"/>
          <w:i w:val="1"/>
          <w:iCs w:val="1"/>
          <w:rtl w:val="0"/>
          <w:lang w:val="en-US"/>
        </w:rPr>
        <w:t>—</w:t>
      </w:r>
      <w:r>
        <w:rPr>
          <w:rFonts w:ascii="Times Roman" w:hAnsi="Times Roman"/>
          <w:i w:val="1"/>
          <w:iCs w:val="1"/>
          <w:rtl w:val="0"/>
          <w:lang w:val="en-US"/>
        </w:rPr>
        <w:t>a growing threat</w:t>
      </w:r>
      <w:r>
        <w:rPr>
          <w:rFonts w:ascii="Times Roman" w:hAnsi="Times Roman"/>
          <w:rtl w:val="0"/>
          <w:lang w:val="en-US"/>
        </w:rPr>
        <w:t>. The Financial Express Bangladesh.</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Fornell, C., &amp; Larcker, D. F. (1981). Evaluating structural equation models with unobservable variables and measurement error. </w:t>
      </w:r>
      <w:r>
        <w:rPr>
          <w:rFonts w:ascii="Times Roman" w:hAnsi="Times Roman"/>
          <w:i w:val="1"/>
          <w:iCs w:val="1"/>
          <w:rtl w:val="0"/>
          <w:lang w:val="en-US"/>
        </w:rPr>
        <w:t>Journal of Marketing Research</w:t>
      </w:r>
      <w:r>
        <w:rPr>
          <w:rFonts w:ascii="Times Roman" w:hAnsi="Times Roman"/>
          <w:rtl w:val="0"/>
        </w:rPr>
        <w:t xml:space="preserve">, </w:t>
      </w:r>
      <w:r>
        <w:rPr>
          <w:rFonts w:ascii="Times Roman" w:hAnsi="Times Roman"/>
          <w:i w:val="1"/>
          <w:iCs w:val="1"/>
          <w:rtl w:val="0"/>
        </w:rPr>
        <w:t>18</w:t>
      </w:r>
      <w:r>
        <w:rPr>
          <w:rFonts w:ascii="Times Roman" w:hAnsi="Times Roman"/>
          <w:rtl w:val="0"/>
        </w:rPr>
        <w:t>(1), 39</w:t>
      </w:r>
      <w:r>
        <w:rPr>
          <w:rFonts w:ascii="Times Roman" w:hAnsi="Times Roman" w:hint="default"/>
          <w:rtl w:val="0"/>
        </w:rPr>
        <w:t>–</w:t>
      </w:r>
      <w:r>
        <w:rPr>
          <w:rFonts w:ascii="Times Roman" w:hAnsi="Times Roman"/>
          <w:rtl w:val="0"/>
        </w:rPr>
        <w:t>50.</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Ghosh, M. (2024). Financial inclusion studies bibliometric analysis. </w:t>
      </w:r>
      <w:r>
        <w:rPr>
          <w:rFonts w:ascii="Times Roman" w:hAnsi="Times Roman"/>
          <w:i w:val="1"/>
          <w:iCs w:val="1"/>
          <w:rtl w:val="0"/>
          <w:lang w:val="en-US"/>
        </w:rPr>
        <w:t>Sustainable Futures</w:t>
      </w:r>
      <w:r>
        <w:rPr>
          <w:rFonts w:ascii="Times Roman" w:hAnsi="Times Roman"/>
          <w:rtl w:val="0"/>
        </w:rPr>
        <w:t xml:space="preserve">, </w:t>
      </w:r>
      <w:r>
        <w:rPr>
          <w:rFonts w:ascii="Times Roman" w:hAnsi="Times Roman"/>
          <w:i w:val="1"/>
          <w:iCs w:val="1"/>
          <w:rtl w:val="0"/>
        </w:rPr>
        <w:t>7</w:t>
      </w:r>
      <w:r>
        <w:rPr>
          <w:rFonts w:ascii="Times Roman" w:hAnsi="Times Roman"/>
          <w:rtl w:val="0"/>
        </w:rPr>
        <w:t>, 100150.</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Government of the People</w:t>
      </w:r>
      <w:r>
        <w:rPr>
          <w:rFonts w:ascii="Times Roman" w:hAnsi="Times Roman" w:hint="default"/>
          <w:i w:val="0"/>
          <w:iCs w:val="0"/>
          <w:rtl w:val="1"/>
        </w:rPr>
        <w:t>’</w:t>
      </w:r>
      <w:r>
        <w:rPr>
          <w:rFonts w:ascii="Times Roman" w:hAnsi="Times Roman"/>
          <w:i w:val="0"/>
          <w:iCs w:val="0"/>
          <w:rtl w:val="0"/>
          <w:lang w:val="en-US"/>
        </w:rPr>
        <w:t xml:space="preserve">s Republic of Bangladesh. (2021). </w:t>
      </w:r>
      <w:r>
        <w:rPr>
          <w:rFonts w:ascii="Times Roman" w:hAnsi="Times Roman"/>
          <w:i w:val="1"/>
          <w:iCs w:val="1"/>
          <w:rtl w:val="0"/>
          <w:lang w:val="en-US"/>
        </w:rPr>
        <w:t>Perspective plan of Bangladesh 2021</w:t>
      </w:r>
      <w:r>
        <w:rPr>
          <w:rFonts w:ascii="Times Roman" w:hAnsi="Times Roman" w:hint="default"/>
          <w:i w:val="1"/>
          <w:iCs w:val="1"/>
          <w:rtl w:val="0"/>
        </w:rPr>
        <w:t>–</w:t>
      </w:r>
      <w:r>
        <w:rPr>
          <w:rFonts w:ascii="Times Roman" w:hAnsi="Times Roman"/>
          <w:i w:val="1"/>
          <w:iCs w:val="1"/>
          <w:rtl w:val="0"/>
          <w:lang w:val="en-US"/>
        </w:rPr>
        <w:t>2041: Making Vision 2041 a reality</w:t>
      </w:r>
      <w:r>
        <w:rPr>
          <w:rFonts w:ascii="Times Roman" w:hAnsi="Times Roman"/>
          <w:i w:val="0"/>
          <w:iCs w:val="0"/>
          <w:rtl w:val="0"/>
          <w:lang w:val="en-US"/>
        </w:rPr>
        <w:t>. General Economics Division, Planning Commission.</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GSMA. (2025). </w:t>
      </w:r>
      <w:r>
        <w:rPr>
          <w:rFonts w:ascii="Times Roman" w:hAnsi="Times Roman"/>
          <w:i w:val="1"/>
          <w:iCs w:val="1"/>
          <w:rtl w:val="0"/>
          <w:lang w:val="en-US"/>
        </w:rPr>
        <w:t>The state of mobile money in Bangladesh 2025</w:t>
      </w:r>
      <w:r>
        <w:rPr>
          <w:rFonts w:ascii="Times Roman" w:hAnsi="Times Roman"/>
          <w:i w:val="0"/>
          <w:iCs w:val="0"/>
          <w:rtl w:val="0"/>
          <w:lang w:val="it-IT"/>
        </w:rPr>
        <w:t>. GSM Association.</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GSMA. (2025). </w:t>
      </w:r>
      <w:r>
        <w:rPr>
          <w:rFonts w:ascii="Times Roman" w:hAnsi="Times Roman"/>
          <w:i w:val="1"/>
          <w:iCs w:val="1"/>
          <w:rtl w:val="0"/>
          <w:lang w:val="en-US"/>
        </w:rPr>
        <w:t>State of the industry report on mobile money</w:t>
      </w:r>
      <w:r>
        <w:rPr>
          <w:rFonts w:ascii="Times Roman" w:hAnsi="Times Roman"/>
          <w:i w:val="0"/>
          <w:iCs w:val="0"/>
          <w:rtl w:val="0"/>
          <w:lang w:val="it-IT"/>
        </w:rPr>
        <w:t>. GSM Association.</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Hair, J. F., Hult, G. T. M., Ringle, C. M., &amp; Sarstedt, M. (2022). </w:t>
      </w:r>
      <w:r>
        <w:rPr>
          <w:rFonts w:ascii="Times Roman" w:hAnsi="Times Roman"/>
          <w:i w:val="1"/>
          <w:iCs w:val="1"/>
          <w:rtl w:val="0"/>
          <w:lang w:val="en-US"/>
        </w:rPr>
        <w:t>A primer on partial least squares structural equation modeling (PLS-SEM)</w:t>
      </w:r>
      <w:r>
        <w:rPr>
          <w:rFonts w:ascii="Times Roman" w:hAnsi="Times Roman"/>
          <w:i w:val="0"/>
          <w:iCs w:val="0"/>
          <w:rtl w:val="0"/>
          <w:lang w:val="en-US"/>
        </w:rPr>
        <w:t xml:space="preserve"> (3rd ed.). SAGE Publications.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Hedau, A. (2025). Socio-economic challenges of digital banking adoption. </w:t>
      </w:r>
      <w:r>
        <w:rPr>
          <w:rFonts w:ascii="Times Roman" w:hAnsi="Times Roman"/>
          <w:i w:val="1"/>
          <w:iCs w:val="1"/>
          <w:rtl w:val="0"/>
          <w:lang w:val="en-US"/>
        </w:rPr>
        <w:t>SocioEconomic Challenges</w:t>
      </w:r>
      <w:r>
        <w:rPr>
          <w:rFonts w:ascii="Times Roman" w:hAnsi="Times Roman"/>
          <w:rtl w:val="0"/>
        </w:rPr>
        <w:t xml:space="preserve">, </w:t>
      </w:r>
      <w:r>
        <w:rPr>
          <w:rFonts w:ascii="Times Roman" w:hAnsi="Times Roman"/>
          <w:i w:val="1"/>
          <w:iCs w:val="1"/>
          <w:rtl w:val="0"/>
        </w:rPr>
        <w:t>9</w:t>
      </w:r>
      <w:r>
        <w:rPr>
          <w:rFonts w:ascii="Times Roman" w:hAnsi="Times Roman"/>
          <w:rtl w:val="0"/>
        </w:rPr>
        <w:t>(3), 90-105.</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Henseler, J., Ringle, C. M., &amp; Sarstedt, M. (2015). Testing measurement invariance of composites using partial least squares. </w:t>
      </w:r>
      <w:r>
        <w:rPr>
          <w:rFonts w:ascii="Times Roman" w:hAnsi="Times Roman"/>
          <w:i w:val="1"/>
          <w:iCs w:val="1"/>
          <w:rtl w:val="0"/>
          <w:lang w:val="en-US"/>
        </w:rPr>
        <w:t>International Journal of Research in Marketing</w:t>
      </w:r>
      <w:r>
        <w:rPr>
          <w:rFonts w:ascii="Times Roman" w:hAnsi="Times Roman"/>
          <w:rtl w:val="0"/>
        </w:rPr>
        <w:t xml:space="preserve">, </w:t>
      </w:r>
      <w:r>
        <w:rPr>
          <w:rFonts w:ascii="Times Roman" w:hAnsi="Times Roman"/>
          <w:i w:val="1"/>
          <w:iCs w:val="1"/>
          <w:rtl w:val="0"/>
        </w:rPr>
        <w:t>32</w:t>
      </w:r>
      <w:r>
        <w:rPr>
          <w:rFonts w:ascii="Times Roman" w:hAnsi="Times Roman"/>
          <w:rtl w:val="0"/>
        </w:rPr>
        <w:t>(4), 405</w:t>
      </w:r>
      <w:r>
        <w:rPr>
          <w:rFonts w:ascii="Times Roman" w:hAnsi="Times Roman" w:hint="default"/>
          <w:rtl w:val="0"/>
        </w:rPr>
        <w:t>–</w:t>
      </w:r>
      <w:r>
        <w:rPr>
          <w:rFonts w:ascii="Times Roman" w:hAnsi="Times Roman"/>
          <w:rtl w:val="0"/>
        </w:rPr>
        <w:t>424.</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International Monetary Fund. (2024). </w:t>
      </w:r>
      <w:r>
        <w:rPr>
          <w:rFonts w:ascii="Times Roman" w:hAnsi="Times Roman"/>
          <w:i w:val="1"/>
          <w:iCs w:val="1"/>
          <w:rtl w:val="0"/>
          <w:lang w:val="en-US"/>
        </w:rPr>
        <w:t>Bangladesh: 2024 Article IV Consultation</w:t>
      </w:r>
      <w:r>
        <w:rPr>
          <w:rFonts w:ascii="Times Roman" w:hAnsi="Times Roman"/>
          <w:rtl w:val="0"/>
          <w:lang w:val="en-US"/>
        </w:rPr>
        <w:t xml:space="preserve"> (IMF Country Report).</w:t>
      </w:r>
    </w:p>
    <w:p>
      <w:pPr>
        <w:pStyle w:val="Default"/>
        <w:numPr>
          <w:ilvl w:val="0"/>
          <w:numId w:val="9"/>
        </w:numPr>
        <w:suppressAutoHyphens w:val="1"/>
        <w:spacing w:before="0" w:after="240" w:line="240" w:lineRule="auto"/>
        <w:jc w:val="left"/>
        <w:rPr>
          <w:rFonts w:ascii="Times Roman" w:hAnsi="Times Roman"/>
          <w:outline w:val="0"/>
          <w:color w:val="551a8b"/>
          <w:u w:val="single"/>
          <w:lang w:val="en-US"/>
          <w14:textFill>
            <w14:solidFill>
              <w14:srgbClr w14:val="551A8B"/>
            </w14:solidFill>
          </w14:textFill>
        </w:rPr>
      </w:pPr>
      <w:r>
        <w:rPr>
          <w:rFonts w:ascii="Times Roman" w:hAnsi="Times Roman"/>
          <w:outline w:val="0"/>
          <w:color w:val="000000"/>
          <w:u w:val="none"/>
          <w:rtl w:val="0"/>
          <w:lang w:val="en-US"/>
          <w14:textFill>
            <w14:solidFill>
              <w14:srgbClr w14:val="000000"/>
            </w14:solidFill>
          </w14:textFill>
        </w:rPr>
        <w:t xml:space="preserve">International Monetary Fund. (2025). </w:t>
      </w:r>
      <w:r>
        <w:rPr>
          <w:rFonts w:ascii="Times Roman" w:hAnsi="Times Roman"/>
          <w:i w:val="1"/>
          <w:iCs w:val="1"/>
          <w:outline w:val="0"/>
          <w:color w:val="000000"/>
          <w:u w:val="none"/>
          <w:rtl w:val="0"/>
          <w:lang w:val="en-US"/>
          <w14:textFill>
            <w14:solidFill>
              <w14:srgbClr w14:val="000000"/>
            </w14:solidFill>
          </w14:textFill>
        </w:rPr>
        <w:t>Central bank digital currency (CBDC) virtual handbook</w:t>
      </w:r>
      <w:r>
        <w:rPr>
          <w:rFonts w:ascii="Times Roman" w:hAnsi="Times Roman"/>
          <w:outline w:val="0"/>
          <w:color w:val="000000"/>
          <w:u w:val="none"/>
          <w:rtl w:val="0"/>
          <w14:textFill>
            <w14:solidFill>
              <w14:srgbClr w14:val="000000"/>
            </w14:solidFill>
          </w14:textFill>
        </w:rPr>
        <w:t xml:space="preserve">. </w:t>
      </w:r>
      <w:r>
        <w:rPr>
          <w:rFonts w:ascii="Times Roman" w:hAnsi="Times Roman"/>
          <w:outline w:val="0"/>
          <w:color w:val="551a8b"/>
          <w:u w:val="single"/>
          <w:rtl w:val="0"/>
          <w:lang w:val="en-US"/>
          <w14:textFill>
            <w14:solidFill>
              <w14:srgbClr w14:val="551A8B"/>
            </w14:solidFill>
          </w14:textFill>
        </w:rPr>
        <w:t>https://www.imf.org/en/topics/digital-payments-and-finance/central-bank-digital-currency/virtual-handbook</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International Telecommunication Union. (2024). </w:t>
      </w:r>
      <w:r>
        <w:rPr>
          <w:rFonts w:ascii="Times Roman" w:hAnsi="Times Roman"/>
          <w:i w:val="1"/>
          <w:iCs w:val="1"/>
          <w:rtl w:val="0"/>
          <w:lang w:val="en-US"/>
        </w:rPr>
        <w:t>Global cybersecurity index 2024</w:t>
      </w:r>
      <w:r>
        <w:rPr>
          <w:rFonts w:ascii="Times Roman" w:hAnsi="Times Roman"/>
          <w:rtl w:val="0"/>
        </w:rPr>
        <w:t>. ITU.</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Islam, M. M. (2015). Challenges and prospects of internet banking in Bangladesh: Banker</w:t>
      </w:r>
      <w:r>
        <w:rPr>
          <w:rFonts w:ascii="Times Roman" w:hAnsi="Times Roman" w:hint="default"/>
          <w:rtl w:val="1"/>
        </w:rPr>
        <w:t>’</w:t>
      </w:r>
      <w:r>
        <w:rPr>
          <w:rFonts w:ascii="Times Roman" w:hAnsi="Times Roman"/>
          <w:rtl w:val="0"/>
          <w:lang w:val="en-US"/>
        </w:rPr>
        <w:t xml:space="preserve">s (service providers) point of view. </w:t>
      </w:r>
      <w:r>
        <w:rPr>
          <w:rFonts w:ascii="Times Roman" w:hAnsi="Times Roman"/>
          <w:i w:val="1"/>
          <w:iCs w:val="1"/>
          <w:rtl w:val="0"/>
          <w:lang w:val="en-US"/>
        </w:rPr>
        <w:t>International Journal of Computer Science and Technology (IJCST)</w:t>
      </w:r>
      <w:r>
        <w:rPr>
          <w:rFonts w:ascii="Times Roman" w:hAnsi="Times Roman"/>
          <w:rtl w:val="0"/>
        </w:rPr>
        <w:t xml:space="preserve">, </w:t>
      </w:r>
      <w:r>
        <w:rPr>
          <w:rFonts w:ascii="Times Roman" w:hAnsi="Times Roman"/>
          <w:i w:val="1"/>
          <w:iCs w:val="1"/>
          <w:rtl w:val="0"/>
        </w:rPr>
        <w:t>6</w:t>
      </w:r>
      <w:r>
        <w:rPr>
          <w:rFonts w:ascii="Times Roman" w:hAnsi="Times Roman"/>
          <w:rtl w:val="0"/>
        </w:rPr>
        <w:t>(2), 73</w:t>
      </w:r>
      <w:r>
        <w:rPr>
          <w:rFonts w:ascii="Times Roman" w:hAnsi="Times Roman" w:hint="default"/>
          <w:rtl w:val="0"/>
        </w:rPr>
        <w:t>–</w:t>
      </w:r>
      <w:r>
        <w:rPr>
          <w:rFonts w:ascii="Times Roman" w:hAnsi="Times Roman"/>
          <w:rtl w:val="0"/>
        </w:rPr>
        <w:t>82.</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Jadil, Y., Rana, N. P., &amp; Dwivedi, Y. K. (2021). The moderating role of sample size and culture in UTAUT2 studies on mobile banking. </w:t>
      </w:r>
      <w:r>
        <w:rPr>
          <w:rFonts w:ascii="Times Roman" w:hAnsi="Times Roman"/>
          <w:i w:val="1"/>
          <w:iCs w:val="1"/>
          <w:rtl w:val="0"/>
          <w:lang w:val="en-US"/>
        </w:rPr>
        <w:t>Journal of Retailing and Consumer Services</w:t>
      </w:r>
      <w:r>
        <w:rPr>
          <w:rFonts w:ascii="Times Roman" w:hAnsi="Times Roman"/>
          <w:rtl w:val="0"/>
        </w:rPr>
        <w:t xml:space="preserve">, </w:t>
      </w:r>
      <w:r>
        <w:rPr>
          <w:rFonts w:ascii="Times Roman" w:hAnsi="Times Roman"/>
          <w:i w:val="1"/>
          <w:iCs w:val="1"/>
          <w:rtl w:val="0"/>
        </w:rPr>
        <w:t>61</w:t>
      </w:r>
      <w:r>
        <w:rPr>
          <w:rFonts w:ascii="Times Roman" w:hAnsi="Times Roman"/>
          <w:rtl w:val="0"/>
        </w:rPr>
        <w:t>, 102556.</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Khan, M. R., &amp; Rabbani, M. R. (2021). Present and future of digital banking services in Bangladesh. </w:t>
      </w:r>
      <w:r>
        <w:rPr>
          <w:rFonts w:ascii="Times Roman" w:hAnsi="Times Roman"/>
          <w:i w:val="1"/>
          <w:iCs w:val="1"/>
          <w:rtl w:val="0"/>
          <w:lang w:val="en-US"/>
        </w:rPr>
        <w:t>ResearchGate</w:t>
      </w:r>
      <w:r>
        <w:rPr>
          <w:rFonts w:ascii="Times Roman" w:hAnsi="Times Roman"/>
          <w:rtl w:val="0"/>
        </w:rPr>
        <w:t>.</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Khanam, T. (2024). Prospects and challenges of mobile banking in Bangladesh: A case study. </w:t>
      </w:r>
      <w:r>
        <w:rPr>
          <w:rFonts w:ascii="Times Roman" w:hAnsi="Times Roman"/>
          <w:i w:val="1"/>
          <w:iCs w:val="1"/>
          <w:rtl w:val="0"/>
          <w:lang w:val="en-US"/>
        </w:rPr>
        <w:t>World Journal of Advanced Research and Reviews</w:t>
      </w:r>
      <w:r>
        <w:rPr>
          <w:rFonts w:ascii="Times Roman" w:hAnsi="Times Roman"/>
          <w:rtl w:val="0"/>
        </w:rPr>
        <w:t xml:space="preserve">, </w:t>
      </w:r>
      <w:r>
        <w:rPr>
          <w:rFonts w:ascii="Times Roman" w:hAnsi="Times Roman"/>
          <w:i w:val="1"/>
          <w:iCs w:val="1"/>
          <w:rtl w:val="0"/>
        </w:rPr>
        <w:t>23</w:t>
      </w:r>
      <w:r>
        <w:rPr>
          <w:rFonts w:ascii="Times Roman" w:hAnsi="Times Roman"/>
          <w:rtl w:val="0"/>
        </w:rPr>
        <w:t>(2), 3045</w:t>
      </w:r>
      <w:r>
        <w:rPr>
          <w:rFonts w:ascii="Times Roman" w:hAnsi="Times Roman" w:hint="default"/>
          <w:rtl w:val="0"/>
        </w:rPr>
        <w:t>–</w:t>
      </w:r>
      <w:r>
        <w:rPr>
          <w:rFonts w:ascii="Times Roman" w:hAnsi="Times Roman"/>
          <w:rtl w:val="0"/>
        </w:rPr>
        <w:t>3058.</w:t>
      </w:r>
    </w:p>
    <w:p>
      <w:pPr>
        <w:pStyle w:val="Default"/>
        <w:numPr>
          <w:ilvl w:val="0"/>
          <w:numId w:val="9"/>
        </w:numPr>
        <w:suppressAutoHyphens w:val="1"/>
        <w:spacing w:before="0" w:after="240" w:line="240" w:lineRule="auto"/>
        <w:jc w:val="left"/>
        <w:rPr>
          <w:rFonts w:ascii="Times Roman" w:hAnsi="Times Roman"/>
        </w:rPr>
      </w:pPr>
      <w:r>
        <w:rPr>
          <w:rFonts w:ascii="Times Roman" w:hAnsi="Times Roman"/>
          <w:rtl w:val="0"/>
        </w:rPr>
        <w:t xml:space="preserve">Khera, P., Ng, S., Ogawa, S., &amp; Sahay, R. (2021). </w:t>
      </w:r>
      <w:r>
        <w:rPr>
          <w:rFonts w:ascii="Times Roman" w:hAnsi="Times Roman"/>
          <w:i w:val="1"/>
          <w:iCs w:val="1"/>
          <w:rtl w:val="0"/>
          <w:lang w:val="en-US"/>
        </w:rPr>
        <w:t>Is digital financial inclusion unlocking growth?</w:t>
      </w:r>
      <w:r>
        <w:rPr>
          <w:rFonts w:ascii="Times Roman" w:hAnsi="Times Roman"/>
          <w:rtl w:val="0"/>
          <w:lang w:val="en-US"/>
        </w:rPr>
        <w:t xml:space="preserve"> (IMF Working Paper WP/21/167). International Monetary Fund.</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Kock, N. (2015). Common method bias in PLS-SEM: A full collinearity assessment approach. </w:t>
      </w:r>
      <w:r>
        <w:rPr>
          <w:rFonts w:ascii="Times Roman" w:hAnsi="Times Roman"/>
          <w:i w:val="1"/>
          <w:iCs w:val="1"/>
          <w:rtl w:val="0"/>
          <w:lang w:val="en-US"/>
        </w:rPr>
        <w:t>International Journal of e-Collaboration</w:t>
      </w:r>
      <w:r>
        <w:rPr>
          <w:rFonts w:ascii="Times Roman" w:hAnsi="Times Roman"/>
          <w:rtl w:val="0"/>
        </w:rPr>
        <w:t xml:space="preserve">, </w:t>
      </w:r>
      <w:r>
        <w:rPr>
          <w:rFonts w:ascii="Times Roman" w:hAnsi="Times Roman"/>
          <w:i w:val="1"/>
          <w:iCs w:val="1"/>
          <w:rtl w:val="0"/>
        </w:rPr>
        <w:t>11</w:t>
      </w:r>
      <w:r>
        <w:rPr>
          <w:rFonts w:ascii="Times Roman" w:hAnsi="Times Roman"/>
          <w:rtl w:val="0"/>
        </w:rPr>
        <w:t>(4), 1</w:t>
      </w:r>
      <w:r>
        <w:rPr>
          <w:rFonts w:ascii="Times Roman" w:hAnsi="Times Roman" w:hint="default"/>
          <w:rtl w:val="0"/>
        </w:rPr>
        <w:t>–</w:t>
      </w:r>
      <w:r>
        <w:rPr>
          <w:rFonts w:ascii="Times Roman" w:hAnsi="Times Roman"/>
          <w:rtl w:val="0"/>
        </w:rPr>
        <w:t xml:space="preserve">10. </w:t>
      </w:r>
      <w:r>
        <w:rPr>
          <w:rFonts w:ascii="Times Roman" w:hAnsi="Times Roman"/>
          <w:outline w:val="0"/>
          <w:color w:val="551a8b"/>
          <w:u w:val="single"/>
          <w:rtl w:val="0"/>
          <w14:textFill>
            <w14:solidFill>
              <w14:srgbClr w14:val="551A8B"/>
            </w14:solidFill>
          </w14:textFill>
        </w:rPr>
        <w:t>https://doi.org/10.4018/ijec.2015100101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Kumar, R. (2023). How does perceived risk and trust affect mobile banking adoption? Empirical evidence from India. </w:t>
      </w:r>
      <w:r>
        <w:rPr>
          <w:rFonts w:ascii="Times Roman" w:hAnsi="Times Roman"/>
          <w:i w:val="1"/>
          <w:iCs w:val="1"/>
          <w:rtl w:val="0"/>
        </w:rPr>
        <w:t>Sustainability</w:t>
      </w:r>
      <w:r>
        <w:rPr>
          <w:rFonts w:ascii="Times Roman" w:hAnsi="Times Roman"/>
          <w:rtl w:val="0"/>
        </w:rPr>
        <w:t xml:space="preserve">, </w:t>
      </w:r>
      <w:r>
        <w:rPr>
          <w:rFonts w:ascii="Times Roman" w:hAnsi="Times Roman"/>
          <w:i w:val="1"/>
          <w:iCs w:val="1"/>
          <w:rtl w:val="0"/>
        </w:rPr>
        <w:t>15</w:t>
      </w:r>
      <w:r>
        <w:rPr>
          <w:rFonts w:ascii="Times Roman" w:hAnsi="Times Roman"/>
          <w:rtl w:val="0"/>
        </w:rPr>
        <w:t xml:space="preserve">(5), 4053. </w:t>
      </w:r>
      <w:r>
        <w:rPr>
          <w:rFonts w:ascii="Times Roman" w:hAnsi="Times Roman"/>
          <w:outline w:val="0"/>
          <w:color w:val="551a8b"/>
          <w:u w:val="single"/>
          <w:rtl w:val="0"/>
          <w:lang w:val="en-US"/>
          <w14:textFill>
            <w14:solidFill>
              <w14:srgbClr w14:val="551A8B"/>
            </w14:solidFill>
          </w14:textFill>
        </w:rPr>
        <w:t>https://doi.org/10.3390/su15054053</w:t>
      </w:r>
    </w:p>
    <w:p>
      <w:pPr>
        <w:pStyle w:val="Default"/>
        <w:numPr>
          <w:ilvl w:val="0"/>
          <w:numId w:val="9"/>
        </w:numPr>
        <w:suppressAutoHyphens w:val="1"/>
        <w:spacing w:before="0" w:after="240" w:line="240" w:lineRule="auto"/>
        <w:jc w:val="left"/>
        <w:rPr>
          <w:rFonts w:ascii="Times Roman" w:hAnsi="Times Roman"/>
          <w:lang w:val="it-IT"/>
        </w:rPr>
      </w:pPr>
      <w:r>
        <w:rPr>
          <w:rFonts w:ascii="Times Roman" w:hAnsi="Times Roman"/>
          <w:rtl w:val="0"/>
          <w:lang w:val="it-IT"/>
        </w:rPr>
        <w:t xml:space="preserve">Lincoln, Y. S., &amp; Guba, E. G. (1985). </w:t>
      </w:r>
      <w:r>
        <w:rPr>
          <w:rFonts w:ascii="Times Roman" w:hAnsi="Times Roman"/>
          <w:i w:val="1"/>
          <w:iCs w:val="1"/>
          <w:rtl w:val="0"/>
          <w:lang w:val="en-US"/>
        </w:rPr>
        <w:t>Naturalistic inquiry</w:t>
      </w:r>
      <w:r>
        <w:rPr>
          <w:rFonts w:ascii="Times Roman" w:hAnsi="Times Roman"/>
          <w:rtl w:val="0"/>
          <w:lang w:val="en-US"/>
        </w:rPr>
        <w:t>. SAGE Publications.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Mahfuz, M. A. (2016). The influence of website quality on m-banking services adoption in Bangladesh: Applying the UTAUT2 model using PLS. </w:t>
      </w:r>
      <w:r>
        <w:rPr>
          <w:rFonts w:ascii="Times Roman" w:hAnsi="Times Roman"/>
          <w:i w:val="1"/>
          <w:iCs w:val="1"/>
          <w:rtl w:val="0"/>
          <w:lang w:val="en-US"/>
        </w:rPr>
        <w:t>IEEE Conference Proceedings</w:t>
      </w:r>
      <w:r>
        <w:rPr>
          <w:rFonts w:ascii="Times Roman" w:hAnsi="Times Roman"/>
          <w:rtl w:val="0"/>
        </w:rPr>
        <w:t>.</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Mahfuz, M. A. (2017). Mobile banking services adoption: Insight from brand name perspectives based on UTAUT2 model. </w:t>
      </w:r>
      <w:r>
        <w:rPr>
          <w:rFonts w:ascii="Times Roman" w:hAnsi="Times Roman"/>
          <w:i w:val="1"/>
          <w:iCs w:val="1"/>
          <w:rtl w:val="0"/>
          <w:lang w:val="en-US"/>
        </w:rPr>
        <w:t>IUB Business Review</w:t>
      </w:r>
      <w:r>
        <w:rPr>
          <w:rFonts w:ascii="Times Roman" w:hAnsi="Times Roman"/>
          <w:rtl w:val="0"/>
        </w:rPr>
        <w:t>.</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Mamun, M. A. A., et al. (2017). Exploring the factors affecting adoption of mobile banking in Bangladesh. </w:t>
      </w:r>
      <w:r>
        <w:rPr>
          <w:rFonts w:ascii="Times Roman" w:hAnsi="Times Roman"/>
          <w:i w:val="1"/>
          <w:iCs w:val="1"/>
          <w:rtl w:val="0"/>
          <w:lang w:val="en-US"/>
        </w:rPr>
        <w:t>Global Journal of Business Research</w:t>
      </w:r>
      <w:r>
        <w:rPr>
          <w:rFonts w:ascii="Times Roman" w:hAnsi="Times Roman"/>
          <w:rtl w:val="0"/>
        </w:rPr>
        <w:t xml:space="preserve">, </w:t>
      </w:r>
      <w:r>
        <w:rPr>
          <w:rFonts w:ascii="Times Roman" w:hAnsi="Times Roman"/>
          <w:i w:val="1"/>
          <w:iCs w:val="1"/>
          <w:rtl w:val="0"/>
        </w:rPr>
        <w:t>11</w:t>
      </w:r>
      <w:r>
        <w:rPr>
          <w:rFonts w:ascii="Times Roman" w:hAnsi="Times Roman"/>
          <w:rtl w:val="0"/>
        </w:rPr>
        <w:t>(2), 45</w:t>
      </w:r>
      <w:r>
        <w:rPr>
          <w:rFonts w:ascii="Times Roman" w:hAnsi="Times Roman" w:hint="default"/>
          <w:rtl w:val="0"/>
        </w:rPr>
        <w:t>–</w:t>
      </w:r>
      <w:r>
        <w:rPr>
          <w:rFonts w:ascii="Times Roman" w:hAnsi="Times Roman"/>
          <w:rtl w:val="0"/>
        </w:rPr>
        <w:t>58.</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Marikyan, D., &amp; Papagiannidis, S. (2023). Technology acceptance model: A review. In S. Papagiannidis (Ed.), </w:t>
      </w:r>
      <w:r>
        <w:rPr>
          <w:rFonts w:ascii="Times Roman" w:hAnsi="Times Roman"/>
          <w:i w:val="1"/>
          <w:iCs w:val="1"/>
          <w:rtl w:val="0"/>
          <w:lang w:val="en-US"/>
        </w:rPr>
        <w:t>TheoryHub book</w:t>
      </w:r>
      <w:r>
        <w:rPr>
          <w:rFonts w:ascii="Times Roman" w:hAnsi="Times Roman"/>
          <w:rtl w:val="0"/>
        </w:rPr>
        <w:t xml:space="preserve">. Newcastle University. </w:t>
      </w:r>
      <w:r>
        <w:rPr>
          <w:rFonts w:ascii="Times Roman" w:hAnsi="Times Roman"/>
          <w:outline w:val="0"/>
          <w:color w:val="551a8b"/>
          <w:u w:val="single"/>
          <w:rtl w:val="0"/>
          <w:lang w:val="en-US"/>
          <w14:textFill>
            <w14:solidFill>
              <w14:srgbClr w14:val="551A8B"/>
            </w14:solidFill>
          </w14:textFill>
        </w:rPr>
        <w:t>https://open.ncl.ac.uk/theoryhub-book/</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McKinsey &amp; Company. (2022). </w:t>
      </w:r>
      <w:r>
        <w:rPr>
          <w:rFonts w:ascii="Times Roman" w:hAnsi="Times Roman"/>
          <w:i w:val="1"/>
          <w:iCs w:val="1"/>
          <w:rtl w:val="0"/>
          <w:lang w:val="en-US"/>
        </w:rPr>
        <w:t>Driven by purpose: 15 years of M-Pesa</w:t>
      </w:r>
      <w:r>
        <w:rPr>
          <w:rFonts w:ascii="Times Roman" w:hAnsi="Times Roman" w:hint="default"/>
          <w:i w:val="1"/>
          <w:iCs w:val="1"/>
          <w:rtl w:val="1"/>
        </w:rPr>
        <w:t>’</w:t>
      </w:r>
      <w:r>
        <w:rPr>
          <w:rFonts w:ascii="Times Roman" w:hAnsi="Times Roman"/>
          <w:i w:val="1"/>
          <w:iCs w:val="1"/>
          <w:rtl w:val="0"/>
          <w:lang w:val="en-US"/>
        </w:rPr>
        <w:t>s evolution</w:t>
      </w:r>
      <w:r>
        <w:rPr>
          <w:rFonts w:ascii="Times Roman" w:hAnsi="Times Roman"/>
          <w:i w:val="0"/>
          <w:iCs w:val="0"/>
          <w:rtl w:val="0"/>
        </w:rPr>
        <w:t>.</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Merhi, M., Hone, K., &amp; Tarhini, A. (2019). A cross-cultural study of the intention to use mobile banking between Lebanese and British consumers: Extending UTAUT2 with security, privacy and trust. </w:t>
      </w:r>
      <w:r>
        <w:rPr>
          <w:rFonts w:ascii="Times Roman" w:hAnsi="Times Roman"/>
          <w:i w:val="1"/>
          <w:iCs w:val="1"/>
          <w:rtl w:val="0"/>
          <w:lang w:val="en-US"/>
        </w:rPr>
        <w:t>Technology in Society</w:t>
      </w:r>
      <w:r>
        <w:rPr>
          <w:rFonts w:ascii="Times Roman" w:hAnsi="Times Roman"/>
          <w:rtl w:val="0"/>
        </w:rPr>
        <w:t xml:space="preserve">, </w:t>
      </w:r>
      <w:r>
        <w:rPr>
          <w:rFonts w:ascii="Times Roman" w:hAnsi="Times Roman"/>
          <w:i w:val="1"/>
          <w:iCs w:val="1"/>
          <w:rtl w:val="0"/>
        </w:rPr>
        <w:t>59</w:t>
      </w:r>
      <w:r>
        <w:rPr>
          <w:rFonts w:ascii="Times Roman" w:hAnsi="Times Roman"/>
          <w:rtl w:val="0"/>
        </w:rPr>
        <w:t xml:space="preserve">, 101151. </w:t>
      </w:r>
      <w:r>
        <w:rPr>
          <w:rFonts w:ascii="Times Roman" w:hAnsi="Times Roman"/>
          <w:outline w:val="0"/>
          <w:color w:val="551a8b"/>
          <w:u w:val="single"/>
          <w:rtl w:val="0"/>
          <w:lang w:val="de-DE"/>
          <w14:textFill>
            <w14:solidFill>
              <w14:srgbClr w14:val="551A8B"/>
            </w14:solidFill>
          </w14:textFill>
        </w:rPr>
        <w:t>https://doi.org/10.1016/j.techsoc.2019.101151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Montazemi, A. R., &amp; Qahri-Saremi, H. (2015). Factors affecting adoption of online banking: A meta-analytic structural equation modeling study. </w:t>
      </w:r>
      <w:r>
        <w:rPr>
          <w:rFonts w:ascii="Times Roman" w:hAnsi="Times Roman"/>
          <w:i w:val="1"/>
          <w:iCs w:val="1"/>
          <w:rtl w:val="0"/>
          <w:lang w:val="en-US"/>
        </w:rPr>
        <w:t>Information &amp; Management</w:t>
      </w:r>
      <w:r>
        <w:rPr>
          <w:rFonts w:ascii="Times Roman" w:hAnsi="Times Roman"/>
          <w:rtl w:val="0"/>
        </w:rPr>
        <w:t xml:space="preserve">, </w:t>
      </w:r>
      <w:r>
        <w:rPr>
          <w:rFonts w:ascii="Times Roman" w:hAnsi="Times Roman"/>
          <w:i w:val="1"/>
          <w:iCs w:val="1"/>
          <w:rtl w:val="0"/>
        </w:rPr>
        <w:t>52</w:t>
      </w:r>
      <w:r>
        <w:rPr>
          <w:rFonts w:ascii="Times Roman" w:hAnsi="Times Roman"/>
          <w:rtl w:val="0"/>
        </w:rPr>
        <w:t>(2), 210</w:t>
      </w:r>
      <w:r>
        <w:rPr>
          <w:rFonts w:ascii="Times Roman" w:hAnsi="Times Roman" w:hint="default"/>
          <w:rtl w:val="0"/>
        </w:rPr>
        <w:t>–</w:t>
      </w:r>
      <w:r>
        <w:rPr>
          <w:rFonts w:ascii="Times Roman" w:hAnsi="Times Roman"/>
          <w:rtl w:val="0"/>
        </w:rPr>
        <w:t xml:space="preserve">226. </w:t>
      </w:r>
      <w:r>
        <w:rPr>
          <w:rFonts w:ascii="Times Roman" w:hAnsi="Times Roman"/>
          <w:outline w:val="0"/>
          <w:color w:val="551a8b"/>
          <w:u w:val="single"/>
          <w:rtl w:val="0"/>
          <w14:textFill>
            <w14:solidFill>
              <w14:srgbClr w14:val="551A8B"/>
            </w14:solidFill>
          </w14:textFill>
        </w:rPr>
        <w:t>https://doi.org/10.1016/j.im.2014.11.003</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Naeem, M. (2023). Development of online banking services in Pakistan. </w:t>
      </w:r>
      <w:r>
        <w:rPr>
          <w:rFonts w:ascii="Times Roman" w:hAnsi="Times Roman"/>
          <w:i w:val="1"/>
          <w:iCs w:val="1"/>
          <w:rtl w:val="0"/>
          <w:lang w:val="en-US"/>
        </w:rPr>
        <w:t>South Asian Journal of Management Sciences</w:t>
      </w:r>
      <w:r>
        <w:rPr>
          <w:rFonts w:ascii="Times Roman" w:hAnsi="Times Roman"/>
          <w:rtl w:val="0"/>
        </w:rPr>
        <w:t xml:space="preserve">, </w:t>
      </w:r>
      <w:r>
        <w:rPr>
          <w:rFonts w:ascii="Times Roman" w:hAnsi="Times Roman"/>
          <w:i w:val="1"/>
          <w:iCs w:val="1"/>
          <w:rtl w:val="0"/>
        </w:rPr>
        <w:t>17</w:t>
      </w:r>
      <w:r>
        <w:rPr>
          <w:rFonts w:ascii="Times Roman" w:hAnsi="Times Roman"/>
          <w:rtl w:val="0"/>
        </w:rPr>
        <w:t>(1).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New Age. (2025, December 25). </w:t>
      </w:r>
      <w:r>
        <w:rPr>
          <w:rFonts w:ascii="Times Roman" w:hAnsi="Times Roman"/>
          <w:i w:val="1"/>
          <w:iCs w:val="1"/>
          <w:rtl w:val="0"/>
          <w:lang w:val="en-US"/>
        </w:rPr>
        <w:t>MFS growth fails to dethrone cash</w:t>
      </w:r>
      <w:r>
        <w:rPr>
          <w:rFonts w:ascii="Times Roman" w:hAnsi="Times Roman"/>
          <w:rtl w:val="0"/>
        </w:rPr>
        <w:t>. New Age Bangladesh.</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Nguyen, T. D., &amp; Huynh, P. A. (2018). The roles of perceived risk and trust on e-payment adoption. In L. H. Anh et al. (Eds.), </w:t>
      </w:r>
      <w:r>
        <w:rPr>
          <w:rFonts w:ascii="Times Roman" w:hAnsi="Times Roman"/>
          <w:i w:val="1"/>
          <w:iCs w:val="1"/>
          <w:rtl w:val="0"/>
          <w:lang w:val="en-US"/>
        </w:rPr>
        <w:t>Advances in intelligent systems and computing</w:t>
      </w:r>
      <w:r>
        <w:rPr>
          <w:rFonts w:ascii="Times Roman" w:hAnsi="Times Roman"/>
          <w:rtl w:val="0"/>
        </w:rPr>
        <w:t xml:space="preserve"> (Vol. 760). Springer.</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North, D. C. (1990). </w:t>
      </w:r>
      <w:r>
        <w:rPr>
          <w:rFonts w:ascii="Times Roman" w:hAnsi="Times Roman"/>
          <w:i w:val="1"/>
          <w:iCs w:val="1"/>
          <w:rtl w:val="0"/>
          <w:lang w:val="en-US"/>
        </w:rPr>
        <w:t>Institutions, institutional change and economic performance</w:t>
      </w:r>
      <w:r>
        <w:rPr>
          <w:rFonts w:ascii="Times Roman" w:hAnsi="Times Roman"/>
          <w:i w:val="0"/>
          <w:iCs w:val="0"/>
          <w:rtl w:val="0"/>
          <w:lang w:val="en-US"/>
        </w:rPr>
        <w:t>. Cambridge University Press.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North, D. C. (1991). Institutions. </w:t>
      </w:r>
      <w:r>
        <w:rPr>
          <w:rFonts w:ascii="Times Roman" w:hAnsi="Times Roman"/>
          <w:i w:val="1"/>
          <w:iCs w:val="1"/>
          <w:rtl w:val="0"/>
          <w:lang w:val="en-US"/>
        </w:rPr>
        <w:t>Journal of Economic Perspectives</w:t>
      </w:r>
      <w:r>
        <w:rPr>
          <w:rFonts w:ascii="Times Roman" w:hAnsi="Times Roman"/>
          <w:rtl w:val="0"/>
        </w:rPr>
        <w:t xml:space="preserve">, </w:t>
      </w:r>
      <w:r>
        <w:rPr>
          <w:rFonts w:ascii="Times Roman" w:hAnsi="Times Roman"/>
          <w:i w:val="1"/>
          <w:iCs w:val="1"/>
          <w:rtl w:val="0"/>
        </w:rPr>
        <w:t>5</w:t>
      </w:r>
      <w:r>
        <w:rPr>
          <w:rFonts w:ascii="Times Roman" w:hAnsi="Times Roman"/>
          <w:rtl w:val="0"/>
        </w:rPr>
        <w:t>(1), 97</w:t>
      </w:r>
      <w:r>
        <w:rPr>
          <w:rFonts w:ascii="Times Roman" w:hAnsi="Times Roman" w:hint="default"/>
          <w:rtl w:val="0"/>
        </w:rPr>
        <w:t>–</w:t>
      </w:r>
      <w:r>
        <w:rPr>
          <w:rFonts w:ascii="Times Roman" w:hAnsi="Times Roman"/>
          <w:rtl w:val="0"/>
        </w:rPr>
        <w:t xml:space="preserve">112. </w:t>
      </w:r>
      <w:r>
        <w:rPr>
          <w:rFonts w:ascii="Times Roman" w:hAnsi="Times Roman"/>
          <w:outline w:val="0"/>
          <w:color w:val="551a8b"/>
          <w:u w:val="single"/>
          <w:rtl w:val="0"/>
          <w14:textFill>
            <w14:solidFill>
              <w14:srgbClr w14:val="551A8B"/>
            </w14:solidFill>
          </w14:textFill>
        </w:rPr>
        <w:t>https://doi.org/10.1257/jep.5.1.97</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Page, M. J., et al. (2021). The PRISMA 2020 statement: An updated guideline for reporting systematic reviews. </w:t>
      </w:r>
      <w:r>
        <w:rPr>
          <w:rFonts w:ascii="Times Roman" w:hAnsi="Times Roman"/>
          <w:i w:val="1"/>
          <w:iCs w:val="1"/>
          <w:rtl w:val="0"/>
        </w:rPr>
        <w:t>BMJ</w:t>
      </w:r>
      <w:r>
        <w:rPr>
          <w:rFonts w:ascii="Times Roman" w:hAnsi="Times Roman"/>
          <w:rtl w:val="0"/>
        </w:rPr>
        <w:t xml:space="preserve">, </w:t>
      </w:r>
      <w:r>
        <w:rPr>
          <w:rFonts w:ascii="Times Roman" w:hAnsi="Times Roman"/>
          <w:i w:val="1"/>
          <w:iCs w:val="1"/>
          <w:rtl w:val="0"/>
        </w:rPr>
        <w:t>372</w:t>
      </w:r>
      <w:r>
        <w:rPr>
          <w:rFonts w:ascii="Times Roman" w:hAnsi="Times Roman"/>
          <w:rtl w:val="0"/>
        </w:rPr>
        <w:t xml:space="preserve">, n71. </w:t>
      </w:r>
      <w:r>
        <w:rPr>
          <w:rFonts w:ascii="Times Roman" w:hAnsi="Times Roman"/>
          <w:outline w:val="0"/>
          <w:color w:val="551a8b"/>
          <w:u w:val="single"/>
          <w:rtl w:val="0"/>
          <w:lang w:val="en-US"/>
          <w14:textFill>
            <w14:solidFill>
              <w14:srgbClr w14:val="551A8B"/>
            </w14:solidFill>
          </w14:textFill>
        </w:rPr>
        <w:t>https://doi.org/10.1136/bmj.n71</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Podsakoff, P. M., MacKenzie, S. B., Lee, J. Y., &amp; Podsakoff, N. P. (2003). Common method biases in behavioral research: A critical review of the literature and recommended remedies. </w:t>
      </w:r>
      <w:r>
        <w:rPr>
          <w:rFonts w:ascii="Times Roman" w:hAnsi="Times Roman"/>
          <w:i w:val="1"/>
          <w:iCs w:val="1"/>
          <w:rtl w:val="0"/>
          <w:lang w:val="en-US"/>
        </w:rPr>
        <w:t>Journal of Applied Psychology</w:t>
      </w:r>
      <w:r>
        <w:rPr>
          <w:rFonts w:ascii="Times Roman" w:hAnsi="Times Roman"/>
          <w:rtl w:val="0"/>
        </w:rPr>
        <w:t xml:space="preserve">, </w:t>
      </w:r>
      <w:r>
        <w:rPr>
          <w:rFonts w:ascii="Times Roman" w:hAnsi="Times Roman"/>
          <w:i w:val="1"/>
          <w:iCs w:val="1"/>
          <w:rtl w:val="0"/>
        </w:rPr>
        <w:t>88</w:t>
      </w:r>
      <w:r>
        <w:rPr>
          <w:rFonts w:ascii="Times Roman" w:hAnsi="Times Roman"/>
          <w:rtl w:val="0"/>
        </w:rPr>
        <w:t>(5), 879</w:t>
      </w:r>
      <w:r>
        <w:rPr>
          <w:rFonts w:ascii="Times Roman" w:hAnsi="Times Roman" w:hint="default"/>
          <w:rtl w:val="0"/>
        </w:rPr>
        <w:t>–</w:t>
      </w:r>
      <w:r>
        <w:rPr>
          <w:rFonts w:ascii="Times Roman" w:hAnsi="Times Roman"/>
          <w:rtl w:val="0"/>
        </w:rPr>
        <w:t xml:space="preserve">903. </w:t>
      </w:r>
      <w:r>
        <w:rPr>
          <w:rFonts w:ascii="Times Roman" w:hAnsi="Times Roman"/>
          <w:outline w:val="0"/>
          <w:color w:val="551a8b"/>
          <w:u w:val="single"/>
          <w:rtl w:val="0"/>
          <w14:textFill>
            <w14:solidFill>
              <w14:srgbClr w14:val="551A8B"/>
            </w14:solidFill>
          </w14:textFill>
        </w:rPr>
        <w:t>https://doi.org/10.1037/0021-9010.88.5.879</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Rahi, S. (2023). Integration of UTAUT model in internet banking adoption context. </w:t>
      </w:r>
      <w:r>
        <w:rPr>
          <w:rFonts w:ascii="Times Roman" w:hAnsi="Times Roman"/>
          <w:i w:val="1"/>
          <w:iCs w:val="1"/>
          <w:rtl w:val="0"/>
          <w:lang w:val="en-US"/>
        </w:rPr>
        <w:t>Journal of Research in Interactive Marketing</w:t>
      </w:r>
      <w:r>
        <w:rPr>
          <w:rFonts w:ascii="Times Roman" w:hAnsi="Times Roman"/>
          <w:rtl w:val="0"/>
          <w:lang w:val="en-US"/>
        </w:rPr>
        <w:t>. Advance online publication.</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Rahman, M. H. (2024). Legal and regulatory challenges in Bangladesh</w:t>
      </w:r>
      <w:r>
        <w:rPr>
          <w:rFonts w:ascii="Times Roman" w:hAnsi="Times Roman" w:hint="default"/>
          <w:rtl w:val="1"/>
        </w:rPr>
        <w:t>’</w:t>
      </w:r>
      <w:r>
        <w:rPr>
          <w:rFonts w:ascii="Times Roman" w:hAnsi="Times Roman"/>
          <w:rtl w:val="0"/>
          <w:lang w:val="pt-PT"/>
        </w:rPr>
        <w:t xml:space="preserve">s digital finance sector. </w:t>
      </w:r>
      <w:r>
        <w:rPr>
          <w:rFonts w:ascii="Times Roman" w:hAnsi="Times Roman"/>
          <w:i w:val="1"/>
          <w:iCs w:val="1"/>
          <w:rtl w:val="0"/>
          <w:lang w:val="en-US"/>
        </w:rPr>
        <w:t>Asian Journal of Law and Society</w:t>
      </w:r>
      <w:r>
        <w:rPr>
          <w:rFonts w:ascii="Times Roman" w:hAnsi="Times Roman"/>
          <w:rtl w:val="0"/>
        </w:rPr>
        <w:t>, 1-22.</w:t>
      </w:r>
    </w:p>
    <w:p>
      <w:pPr>
        <w:pStyle w:val="Default"/>
        <w:numPr>
          <w:ilvl w:val="0"/>
          <w:numId w:val="9"/>
        </w:numPr>
        <w:suppressAutoHyphens w:val="1"/>
        <w:spacing w:before="0" w:after="240" w:line="240" w:lineRule="auto"/>
        <w:jc w:val="left"/>
        <w:rPr>
          <w:rFonts w:ascii="Times Roman" w:hAnsi="Times Roman"/>
        </w:rPr>
      </w:pPr>
      <w:r>
        <w:rPr>
          <w:rFonts w:ascii="Times Roman" w:hAnsi="Times Roman"/>
          <w:rtl w:val="0"/>
        </w:rPr>
        <w:t xml:space="preserve">Rogers, E. M. (2003). </w:t>
      </w:r>
      <w:r>
        <w:rPr>
          <w:rFonts w:ascii="Times Roman" w:hAnsi="Times Roman"/>
          <w:i w:val="1"/>
          <w:iCs w:val="1"/>
          <w:rtl w:val="0"/>
          <w:lang w:val="en-US"/>
        </w:rPr>
        <w:t>Diffusion of innovations</w:t>
      </w:r>
      <w:r>
        <w:rPr>
          <w:rFonts w:ascii="Times Roman" w:hAnsi="Times Roman"/>
          <w:rtl w:val="0"/>
          <w:lang w:val="en-US"/>
        </w:rPr>
        <w:t xml:space="preserve"> (5th ed.). Free Press.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Saha, S., et al. (2025). Socio-legal dynamics shaping inclusion, trust, and accountability in Bangladesh</w:t>
      </w:r>
      <w:r>
        <w:rPr>
          <w:rFonts w:ascii="Times Roman" w:hAnsi="Times Roman" w:hint="default"/>
          <w:rtl w:val="1"/>
        </w:rPr>
        <w:t>’</w:t>
      </w:r>
      <w:r>
        <w:rPr>
          <w:rFonts w:ascii="Times Roman" w:hAnsi="Times Roman"/>
          <w:rtl w:val="0"/>
          <w:lang w:val="it-IT"/>
        </w:rPr>
        <w:t xml:space="preserve">s MFS ecosystem. </w:t>
      </w:r>
      <w:r>
        <w:rPr>
          <w:rFonts w:ascii="Times Roman" w:hAnsi="Times Roman"/>
          <w:i w:val="1"/>
          <w:iCs w:val="1"/>
          <w:rtl w:val="0"/>
          <w:lang w:val="en-US"/>
        </w:rPr>
        <w:t>International Journal of Law and Management</w:t>
      </w:r>
      <w:r>
        <w:rPr>
          <w:rFonts w:ascii="Times Roman" w:hAnsi="Times Roman"/>
          <w:rtl w:val="0"/>
        </w:rPr>
        <w:t>.</w:t>
      </w:r>
    </w:p>
    <w:p>
      <w:pPr>
        <w:pStyle w:val="Default"/>
        <w:numPr>
          <w:ilvl w:val="0"/>
          <w:numId w:val="9"/>
        </w:numPr>
        <w:suppressAutoHyphens w:val="1"/>
        <w:spacing w:before="0" w:after="240" w:line="240" w:lineRule="auto"/>
        <w:jc w:val="left"/>
        <w:rPr>
          <w:rFonts w:ascii="Times Roman" w:hAnsi="Times Roman"/>
          <w:lang w:val="nl-NL"/>
        </w:rPr>
      </w:pPr>
      <w:r>
        <w:rPr>
          <w:rFonts w:ascii="Times Roman" w:hAnsi="Times Roman"/>
          <w:rtl w:val="0"/>
          <w:lang w:val="nl-NL"/>
        </w:rPr>
        <w:t xml:space="preserve">Schoemaker, P. J. H. (2020). </w:t>
      </w:r>
      <w:r>
        <w:rPr>
          <w:rFonts w:ascii="Times Roman" w:hAnsi="Times Roman"/>
          <w:i w:val="1"/>
          <w:iCs w:val="1"/>
          <w:rtl w:val="0"/>
          <w:lang w:val="en-US"/>
        </w:rPr>
        <w:t>Advanced scenario planning</w:t>
      </w:r>
      <w:r>
        <w:rPr>
          <w:rFonts w:ascii="Times Roman" w:hAnsi="Times Roman"/>
          <w:rtl w:val="0"/>
          <w:lang w:val="en-US"/>
        </w:rPr>
        <w:t>. Oxford University Press.</w:t>
      </w:r>
    </w:p>
    <w:p>
      <w:pPr>
        <w:pStyle w:val="Default"/>
        <w:numPr>
          <w:ilvl w:val="0"/>
          <w:numId w:val="9"/>
        </w:numPr>
        <w:suppressAutoHyphens w:val="1"/>
        <w:spacing w:before="0" w:after="240" w:line="240" w:lineRule="auto"/>
        <w:jc w:val="left"/>
        <w:rPr>
          <w:rFonts w:ascii="Times Roman" w:hAnsi="Times Roman"/>
          <w:i w:val="1"/>
          <w:iCs w:val="1"/>
          <w:lang w:val="de-DE"/>
        </w:rPr>
      </w:pPr>
      <w:r>
        <w:rPr>
          <w:rFonts w:ascii="Times Roman" w:hAnsi="Times Roman"/>
          <w:i w:val="0"/>
          <w:iCs w:val="0"/>
          <w:rtl w:val="0"/>
          <w:lang w:val="de-DE"/>
        </w:rPr>
        <w:t xml:space="preserve">Scott, W. R. (2008). </w:t>
      </w:r>
      <w:r>
        <w:rPr>
          <w:rFonts w:ascii="Times Roman" w:hAnsi="Times Roman"/>
          <w:i w:val="1"/>
          <w:iCs w:val="1"/>
          <w:rtl w:val="0"/>
          <w:lang w:val="en-US"/>
        </w:rPr>
        <w:t>Institutions and organizations: Ideas and interests</w:t>
      </w:r>
      <w:r>
        <w:rPr>
          <w:rFonts w:ascii="Times Roman" w:hAnsi="Times Roman"/>
          <w:i w:val="0"/>
          <w:iCs w:val="0"/>
          <w:rtl w:val="0"/>
          <w:lang w:val="en-US"/>
        </w:rPr>
        <w:t xml:space="preserve"> (3rd ed.). SAGE Publications.</w:t>
      </w:r>
    </w:p>
    <w:p>
      <w:pPr>
        <w:pStyle w:val="Default"/>
        <w:numPr>
          <w:ilvl w:val="0"/>
          <w:numId w:val="9"/>
        </w:numPr>
        <w:suppressAutoHyphens w:val="1"/>
        <w:spacing w:before="0" w:after="240" w:line="240" w:lineRule="auto"/>
        <w:jc w:val="left"/>
        <w:rPr>
          <w:rFonts w:ascii="Times Roman" w:hAnsi="Times Roman"/>
          <w:i w:val="1"/>
          <w:iCs w:val="1"/>
          <w:lang w:val="de-DE"/>
        </w:rPr>
      </w:pPr>
      <w:r>
        <w:rPr>
          <w:rFonts w:ascii="Times Roman" w:hAnsi="Times Roman"/>
          <w:i w:val="0"/>
          <w:iCs w:val="0"/>
          <w:rtl w:val="0"/>
          <w:lang w:val="de-DE"/>
        </w:rPr>
        <w:t xml:space="preserve">Scott, W. R. (2014). </w:t>
      </w:r>
      <w:r>
        <w:rPr>
          <w:rFonts w:ascii="Times Roman" w:hAnsi="Times Roman"/>
          <w:i w:val="1"/>
          <w:iCs w:val="1"/>
          <w:rtl w:val="0"/>
          <w:lang w:val="en-US"/>
        </w:rPr>
        <w:t>Institutions and organizations: Ideas, interests, and identities</w:t>
      </w:r>
      <w:r>
        <w:rPr>
          <w:rFonts w:ascii="Times Roman" w:hAnsi="Times Roman"/>
          <w:i w:val="0"/>
          <w:iCs w:val="0"/>
          <w:rtl w:val="0"/>
          <w:lang w:val="en-US"/>
        </w:rPr>
        <w:t xml:space="preserve"> (4th ed.). SAGE Publications.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Sharmin, N., Kabir, N., &amp; Reza, T. (2021). Unfolding factors behind internet-banking adoption in Bangladesh: An extension of UTAUT2 with perceived security and trust. </w:t>
      </w:r>
      <w:r>
        <w:rPr>
          <w:rFonts w:ascii="Times Roman" w:hAnsi="Times Roman"/>
          <w:i w:val="1"/>
          <w:iCs w:val="1"/>
          <w:rtl w:val="0"/>
          <w:lang w:val="en-US"/>
        </w:rPr>
        <w:t>The Journal of Management and Business Research</w:t>
      </w:r>
      <w:r>
        <w:rPr>
          <w:rFonts w:ascii="Times Roman" w:hAnsi="Times Roman"/>
          <w:rtl w:val="0"/>
        </w:rPr>
        <w:t xml:space="preserve">, </w:t>
      </w:r>
      <w:r>
        <w:rPr>
          <w:rFonts w:ascii="Times Roman" w:hAnsi="Times Roman"/>
          <w:i w:val="1"/>
          <w:iCs w:val="1"/>
          <w:rtl w:val="0"/>
        </w:rPr>
        <w:t>21</w:t>
      </w:r>
      <w:r>
        <w:rPr>
          <w:rFonts w:ascii="Times Roman" w:hAnsi="Times Roman"/>
          <w:rtl w:val="0"/>
        </w:rPr>
        <w:t>(2), 1</w:t>
      </w:r>
      <w:r>
        <w:rPr>
          <w:rFonts w:ascii="Times Roman" w:hAnsi="Times Roman" w:hint="default"/>
          <w:rtl w:val="0"/>
        </w:rPr>
        <w:t>–</w:t>
      </w:r>
      <w:r>
        <w:rPr>
          <w:rFonts w:ascii="Times Roman" w:hAnsi="Times Roman"/>
          <w:rtl w:val="0"/>
        </w:rPr>
        <w:t>18.</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Sullivan, R., &amp; Wang, Z. (2020). Technology diffusion: The case of internet banking. </w:t>
      </w:r>
      <w:r>
        <w:rPr>
          <w:rFonts w:ascii="Times Roman" w:hAnsi="Times Roman"/>
          <w:i w:val="1"/>
          <w:iCs w:val="1"/>
          <w:rtl w:val="0"/>
        </w:rPr>
        <w:t>Economic Quarterly</w:t>
      </w:r>
      <w:r>
        <w:rPr>
          <w:rFonts w:ascii="Times Roman" w:hAnsi="Times Roman"/>
          <w:rtl w:val="0"/>
        </w:rPr>
        <w:t xml:space="preserve">, </w:t>
      </w:r>
      <w:r>
        <w:rPr>
          <w:rFonts w:ascii="Times Roman" w:hAnsi="Times Roman"/>
          <w:i w:val="1"/>
          <w:iCs w:val="1"/>
          <w:rtl w:val="0"/>
        </w:rPr>
        <w:t>106</w:t>
      </w:r>
      <w:r>
        <w:rPr>
          <w:rFonts w:ascii="Times Roman" w:hAnsi="Times Roman"/>
          <w:rtl w:val="0"/>
        </w:rPr>
        <w:t>(1), 19</w:t>
      </w:r>
      <w:r>
        <w:rPr>
          <w:rFonts w:ascii="Times Roman" w:hAnsi="Times Roman" w:hint="default"/>
          <w:rtl w:val="0"/>
        </w:rPr>
        <w:t>–</w:t>
      </w:r>
      <w:r>
        <w:rPr>
          <w:rFonts w:ascii="Times Roman" w:hAnsi="Times Roman"/>
          <w:rtl w:val="0"/>
        </w:rPr>
        <w:t>40.</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Suri, T., &amp; Jack, W. (2016). The long-run poverty and gender impacts of mobile money. </w:t>
      </w:r>
      <w:r>
        <w:rPr>
          <w:rFonts w:ascii="Times Roman" w:hAnsi="Times Roman"/>
          <w:i w:val="1"/>
          <w:iCs w:val="1"/>
          <w:rtl w:val="0"/>
          <w:lang w:val="en-US"/>
        </w:rPr>
        <w:t>Science</w:t>
      </w:r>
      <w:r>
        <w:rPr>
          <w:rFonts w:ascii="Times Roman" w:hAnsi="Times Roman"/>
          <w:rtl w:val="0"/>
        </w:rPr>
        <w:t xml:space="preserve">, </w:t>
      </w:r>
      <w:r>
        <w:rPr>
          <w:rFonts w:ascii="Times Roman" w:hAnsi="Times Roman"/>
          <w:i w:val="1"/>
          <w:iCs w:val="1"/>
          <w:rtl w:val="0"/>
        </w:rPr>
        <w:t>354</w:t>
      </w:r>
      <w:r>
        <w:rPr>
          <w:rFonts w:ascii="Times Roman" w:hAnsi="Times Roman"/>
          <w:rtl w:val="0"/>
        </w:rPr>
        <w:t>(6317), 1288</w:t>
      </w:r>
      <w:r>
        <w:rPr>
          <w:rFonts w:ascii="Times Roman" w:hAnsi="Times Roman" w:hint="default"/>
          <w:rtl w:val="0"/>
        </w:rPr>
        <w:t>–</w:t>
      </w:r>
      <w:r>
        <w:rPr>
          <w:rFonts w:ascii="Times Roman" w:hAnsi="Times Roman"/>
          <w:rtl w:val="0"/>
        </w:rPr>
        <w:t xml:space="preserve">1292. </w:t>
      </w:r>
      <w:r>
        <w:rPr>
          <w:rFonts w:ascii="Times Roman" w:hAnsi="Times Roman"/>
          <w:outline w:val="0"/>
          <w:color w:val="551a8b"/>
          <w:u w:val="single"/>
          <w:rtl w:val="0"/>
          <w:lang w:val="en-US"/>
          <w14:textFill>
            <w14:solidFill>
              <w14:srgbClr w14:val="551A8B"/>
            </w14:solidFill>
          </w14:textFill>
        </w:rPr>
        <w:t>https://doi.org/10.1126/science.aah5309</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Tashakkori, A., &amp; Teddlie, C. (2021). </w:t>
      </w:r>
      <w:r>
        <w:rPr>
          <w:rFonts w:ascii="Times Roman" w:hAnsi="Times Roman"/>
          <w:i w:val="1"/>
          <w:iCs w:val="1"/>
          <w:rtl w:val="0"/>
          <w:lang w:val="en-US"/>
        </w:rPr>
        <w:t>SAGE handbook of mixed methods in social &amp; behavioral research</w:t>
      </w:r>
      <w:r>
        <w:rPr>
          <w:rFonts w:ascii="Times Roman" w:hAnsi="Times Roman"/>
          <w:i w:val="0"/>
          <w:iCs w:val="0"/>
          <w:rtl w:val="0"/>
          <w:lang w:val="en-US"/>
        </w:rPr>
        <w:t xml:space="preserve"> (2nd ed.). SAGE Publications.</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The Asian Banker. (2024). </w:t>
      </w:r>
      <w:r>
        <w:rPr>
          <w:rFonts w:ascii="Times Roman" w:hAnsi="Times Roman"/>
          <w:i w:val="1"/>
          <w:iCs w:val="1"/>
          <w:rtl w:val="0"/>
          <w:lang w:val="it-IT"/>
        </w:rPr>
        <w:t>Indonesia</w:t>
      </w:r>
      <w:r>
        <w:rPr>
          <w:rFonts w:ascii="Times Roman" w:hAnsi="Times Roman" w:hint="default"/>
          <w:i w:val="1"/>
          <w:iCs w:val="1"/>
          <w:rtl w:val="1"/>
        </w:rPr>
        <w:t>’</w:t>
      </w:r>
      <w:r>
        <w:rPr>
          <w:rFonts w:ascii="Times Roman" w:hAnsi="Times Roman"/>
          <w:i w:val="1"/>
          <w:iCs w:val="1"/>
          <w:rtl w:val="0"/>
          <w:lang w:val="en-US"/>
        </w:rPr>
        <w:t>s digital banking evolution</w:t>
      </w:r>
      <w:r>
        <w:rPr>
          <w:rFonts w:ascii="Times Roman" w:hAnsi="Times Roman"/>
          <w:i w:val="0"/>
          <w:iCs w:val="0"/>
          <w:rtl w:val="0"/>
        </w:rPr>
        <w:t>. The Asian Banker.</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The Banker. (2016, March). </w:t>
      </w:r>
      <w:r>
        <w:rPr>
          <w:rFonts w:ascii="Times Roman" w:hAnsi="Times Roman"/>
          <w:i w:val="1"/>
          <w:iCs w:val="1"/>
          <w:rtl w:val="0"/>
          <w:lang w:val="da-DK"/>
        </w:rPr>
        <w:t>Bangladesh</w:t>
      </w:r>
      <w:r>
        <w:rPr>
          <w:rFonts w:ascii="Times Roman" w:hAnsi="Times Roman" w:hint="default"/>
          <w:i w:val="1"/>
          <w:iCs w:val="1"/>
          <w:rtl w:val="1"/>
        </w:rPr>
        <w:t>’</w:t>
      </w:r>
      <w:r>
        <w:rPr>
          <w:rFonts w:ascii="Times Roman" w:hAnsi="Times Roman"/>
          <w:i w:val="1"/>
          <w:iCs w:val="1"/>
          <w:rtl w:val="0"/>
          <w:lang w:val="en-US"/>
        </w:rPr>
        <w:t>s bKash revolution</w:t>
      </w:r>
      <w:r>
        <w:rPr>
          <w:rFonts w:ascii="Times Roman" w:hAnsi="Times Roman"/>
          <w:rtl w:val="0"/>
        </w:rPr>
        <w:t>. The Banker.</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Transparency International Bangladesh. (2025). </w:t>
      </w:r>
      <w:r>
        <w:rPr>
          <w:rFonts w:ascii="Times Roman" w:hAnsi="Times Roman"/>
          <w:i w:val="1"/>
          <w:iCs w:val="1"/>
          <w:rtl w:val="0"/>
          <w:lang w:val="en-US"/>
        </w:rPr>
        <w:t>Governance challenges in the mobile financial services sector in Bangladesh</w:t>
      </w:r>
      <w:r>
        <w:rPr>
          <w:rFonts w:ascii="Times Roman" w:hAnsi="Times Roman"/>
          <w:i w:val="0"/>
          <w:iCs w:val="0"/>
          <w:rtl w:val="0"/>
          <w:lang w:val="pt-PT"/>
        </w:rPr>
        <w:t xml:space="preserve"> (MFS Governance Report 2025). TI-Bangladesh.</w:t>
      </w:r>
    </w:p>
    <w:p>
      <w:pPr>
        <w:pStyle w:val="Default"/>
        <w:numPr>
          <w:ilvl w:val="0"/>
          <w:numId w:val="9"/>
        </w:numPr>
        <w:suppressAutoHyphens w:val="1"/>
        <w:spacing w:before="0" w:after="240" w:line="240" w:lineRule="auto"/>
        <w:jc w:val="left"/>
        <w:rPr>
          <w:rFonts w:ascii="Times Roman" w:hAnsi="Times Roman"/>
          <w:lang w:val="nl-NL"/>
        </w:rPr>
      </w:pPr>
      <w:r>
        <w:rPr>
          <w:rFonts w:ascii="Times Roman" w:hAnsi="Times Roman"/>
          <w:rtl w:val="0"/>
          <w:lang w:val="nl-NL"/>
        </w:rPr>
        <w:t xml:space="preserve">van Dijk, J. A. G. M. (2020). </w:t>
      </w:r>
      <w:r>
        <w:rPr>
          <w:rFonts w:ascii="Times Roman" w:hAnsi="Times Roman"/>
          <w:i w:val="1"/>
          <w:iCs w:val="1"/>
          <w:rtl w:val="0"/>
          <w:lang w:val="en-US"/>
        </w:rPr>
        <w:t>The digital divide</w:t>
      </w:r>
      <w:r>
        <w:rPr>
          <w:rFonts w:ascii="Times Roman" w:hAnsi="Times Roman"/>
          <w:rtl w:val="0"/>
        </w:rPr>
        <w:t>. Polity Press.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Varma, P., et al. (2022). Thematic analysis of financial technology (Fintech) in financial services. </w:t>
      </w:r>
      <w:r>
        <w:rPr>
          <w:rFonts w:ascii="Times Roman" w:hAnsi="Times Roman"/>
          <w:i w:val="1"/>
          <w:iCs w:val="1"/>
          <w:rtl w:val="0"/>
          <w:lang w:val="da-DK"/>
        </w:rPr>
        <w:t>Risks</w:t>
      </w:r>
      <w:r>
        <w:rPr>
          <w:rFonts w:ascii="Times Roman" w:hAnsi="Times Roman"/>
          <w:rtl w:val="0"/>
        </w:rPr>
        <w:t xml:space="preserve">, </w:t>
      </w:r>
      <w:r>
        <w:rPr>
          <w:rFonts w:ascii="Times Roman" w:hAnsi="Times Roman"/>
          <w:i w:val="1"/>
          <w:iCs w:val="1"/>
          <w:rtl w:val="0"/>
        </w:rPr>
        <w:t>10</w:t>
      </w:r>
      <w:r>
        <w:rPr>
          <w:rFonts w:ascii="Times Roman" w:hAnsi="Times Roman"/>
          <w:rtl w:val="0"/>
        </w:rPr>
        <w:t xml:space="preserve">(10), 186. </w:t>
      </w:r>
      <w:r>
        <w:rPr>
          <w:rFonts w:ascii="Times Roman" w:hAnsi="Times Roman"/>
          <w:outline w:val="0"/>
          <w:color w:val="551a8b"/>
          <w:u w:val="single"/>
          <w:rtl w:val="0"/>
          <w:lang w:val="en-US"/>
          <w14:textFill>
            <w14:solidFill>
              <w14:srgbClr w14:val="551A8B"/>
            </w14:solidFill>
          </w14:textFill>
        </w:rPr>
        <w:t>https://doi.org/10.3390/risks10100186</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Venkatesh, V., &amp; Bala, H. (2008). Technology acceptance model 3 and a research agenda on interventions. </w:t>
      </w:r>
      <w:r>
        <w:rPr>
          <w:rFonts w:ascii="Times Roman" w:hAnsi="Times Roman"/>
          <w:i w:val="1"/>
          <w:iCs w:val="1"/>
          <w:rtl w:val="0"/>
          <w:lang w:val="en-US"/>
        </w:rPr>
        <w:t>Decision Sciences</w:t>
      </w:r>
      <w:r>
        <w:rPr>
          <w:rFonts w:ascii="Times Roman" w:hAnsi="Times Roman"/>
          <w:rtl w:val="0"/>
        </w:rPr>
        <w:t xml:space="preserve">, </w:t>
      </w:r>
      <w:r>
        <w:rPr>
          <w:rFonts w:ascii="Times Roman" w:hAnsi="Times Roman"/>
          <w:i w:val="1"/>
          <w:iCs w:val="1"/>
          <w:rtl w:val="0"/>
        </w:rPr>
        <w:t>39</w:t>
      </w:r>
      <w:r>
        <w:rPr>
          <w:rFonts w:ascii="Times Roman" w:hAnsi="Times Roman"/>
          <w:rtl w:val="0"/>
        </w:rPr>
        <w:t>(2), 273</w:t>
      </w:r>
      <w:r>
        <w:rPr>
          <w:rFonts w:ascii="Times Roman" w:hAnsi="Times Roman" w:hint="default"/>
          <w:rtl w:val="0"/>
        </w:rPr>
        <w:t>–</w:t>
      </w:r>
      <w:r>
        <w:rPr>
          <w:rFonts w:ascii="Times Roman" w:hAnsi="Times Roman"/>
          <w:rtl w:val="0"/>
        </w:rPr>
        <w:t xml:space="preserve">315. </w:t>
      </w:r>
      <w:r>
        <w:rPr>
          <w:rFonts w:ascii="Times Roman" w:hAnsi="Times Roman"/>
          <w:outline w:val="0"/>
          <w:color w:val="551a8b"/>
          <w:u w:val="single"/>
          <w:rtl w:val="0"/>
          <w:lang w:val="en-US"/>
          <w14:textFill>
            <w14:solidFill>
              <w14:srgbClr w14:val="551A8B"/>
            </w14:solidFill>
          </w14:textFill>
        </w:rPr>
        <w:t>https://doi.org/10.1111/j.1540-5915.2008.00192.x</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Venkatesh, V., &amp; Davis, F. D. (2000). A theoretical extension of the technology acceptance model: Four longitudinal field studies. </w:t>
      </w:r>
      <w:r>
        <w:rPr>
          <w:rFonts w:ascii="Times Roman" w:hAnsi="Times Roman"/>
          <w:i w:val="1"/>
          <w:iCs w:val="1"/>
          <w:rtl w:val="0"/>
          <w:lang w:val="fr-FR"/>
        </w:rPr>
        <w:t>Management Science</w:t>
      </w:r>
      <w:r>
        <w:rPr>
          <w:rFonts w:ascii="Times Roman" w:hAnsi="Times Roman"/>
          <w:rtl w:val="0"/>
        </w:rPr>
        <w:t xml:space="preserve">, </w:t>
      </w:r>
      <w:r>
        <w:rPr>
          <w:rFonts w:ascii="Times Roman" w:hAnsi="Times Roman"/>
          <w:i w:val="1"/>
          <w:iCs w:val="1"/>
          <w:rtl w:val="0"/>
        </w:rPr>
        <w:t>46</w:t>
      </w:r>
      <w:r>
        <w:rPr>
          <w:rFonts w:ascii="Times Roman" w:hAnsi="Times Roman"/>
          <w:rtl w:val="0"/>
        </w:rPr>
        <w:t>(2), 186</w:t>
      </w:r>
      <w:r>
        <w:rPr>
          <w:rFonts w:ascii="Times Roman" w:hAnsi="Times Roman" w:hint="default"/>
          <w:rtl w:val="0"/>
        </w:rPr>
        <w:t>–</w:t>
      </w:r>
      <w:r>
        <w:rPr>
          <w:rFonts w:ascii="Times Roman" w:hAnsi="Times Roman"/>
          <w:rtl w:val="0"/>
        </w:rPr>
        <w:t xml:space="preserve">204. </w:t>
      </w:r>
      <w:r>
        <w:rPr>
          <w:rFonts w:ascii="Times Roman" w:hAnsi="Times Roman"/>
          <w:outline w:val="0"/>
          <w:color w:val="551a8b"/>
          <w:u w:val="single"/>
          <w:rtl w:val="0"/>
          <w:lang w:val="pt-PT"/>
          <w14:textFill>
            <w14:solidFill>
              <w14:srgbClr w14:val="551A8B"/>
            </w14:solidFill>
          </w14:textFill>
        </w:rPr>
        <w:t>https://doi.org/10.1287/mnsc.46.2.186.11926</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Venkatesh, V., Morris, M. G., Davis, G. B., &amp; Davis, F. D. (2003). User acceptance of information technology: Toward a unified view. </w:t>
      </w:r>
      <w:r>
        <w:rPr>
          <w:rFonts w:ascii="Times Roman" w:hAnsi="Times Roman"/>
          <w:i w:val="1"/>
          <w:iCs w:val="1"/>
          <w:rtl w:val="0"/>
          <w:lang w:val="en-US"/>
        </w:rPr>
        <w:t>MIS Quarterly</w:t>
      </w:r>
      <w:r>
        <w:rPr>
          <w:rFonts w:ascii="Times Roman" w:hAnsi="Times Roman"/>
          <w:rtl w:val="0"/>
        </w:rPr>
        <w:t xml:space="preserve">, </w:t>
      </w:r>
      <w:r>
        <w:rPr>
          <w:rFonts w:ascii="Times Roman" w:hAnsi="Times Roman"/>
          <w:i w:val="1"/>
          <w:iCs w:val="1"/>
          <w:rtl w:val="0"/>
        </w:rPr>
        <w:t>27</w:t>
      </w:r>
      <w:r>
        <w:rPr>
          <w:rFonts w:ascii="Times Roman" w:hAnsi="Times Roman"/>
          <w:rtl w:val="0"/>
        </w:rPr>
        <w:t>(3), 425</w:t>
      </w:r>
      <w:r>
        <w:rPr>
          <w:rFonts w:ascii="Times Roman" w:hAnsi="Times Roman" w:hint="default"/>
          <w:rtl w:val="0"/>
        </w:rPr>
        <w:t>–</w:t>
      </w:r>
      <w:r>
        <w:rPr>
          <w:rFonts w:ascii="Times Roman" w:hAnsi="Times Roman"/>
          <w:rtl w:val="0"/>
        </w:rPr>
        <w:t xml:space="preserve">478. </w:t>
      </w:r>
      <w:r>
        <w:rPr>
          <w:rFonts w:ascii="Times Roman" w:hAnsi="Times Roman"/>
          <w:outline w:val="0"/>
          <w:color w:val="551a8b"/>
          <w:u w:val="single"/>
          <w:rtl w:val="0"/>
          <w:lang w:val="en-US"/>
          <w14:textFill>
            <w14:solidFill>
              <w14:srgbClr w14:val="551A8B"/>
            </w14:solidFill>
          </w14:textFill>
        </w:rPr>
        <w:t>https://doi.org/10.2307/30036540</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Venkatesh, V., Thong, J. Y. L., &amp; Xu, X. (2012). Consumer acceptance and use of information technology: Extending the unified theory of acceptance and use of technology. </w:t>
      </w:r>
      <w:r>
        <w:rPr>
          <w:rFonts w:ascii="Times Roman" w:hAnsi="Times Roman"/>
          <w:i w:val="1"/>
          <w:iCs w:val="1"/>
          <w:rtl w:val="0"/>
          <w:lang w:val="en-US"/>
        </w:rPr>
        <w:t>MIS Quarterly</w:t>
      </w:r>
      <w:r>
        <w:rPr>
          <w:rFonts w:ascii="Times Roman" w:hAnsi="Times Roman"/>
          <w:rtl w:val="0"/>
        </w:rPr>
        <w:t xml:space="preserve">, </w:t>
      </w:r>
      <w:r>
        <w:rPr>
          <w:rFonts w:ascii="Times Roman" w:hAnsi="Times Roman"/>
          <w:i w:val="1"/>
          <w:iCs w:val="1"/>
          <w:rtl w:val="0"/>
        </w:rPr>
        <w:t>36</w:t>
      </w:r>
      <w:r>
        <w:rPr>
          <w:rFonts w:ascii="Times Roman" w:hAnsi="Times Roman"/>
          <w:rtl w:val="0"/>
        </w:rPr>
        <w:t>(1), 157</w:t>
      </w:r>
      <w:r>
        <w:rPr>
          <w:rFonts w:ascii="Times Roman" w:hAnsi="Times Roman" w:hint="default"/>
          <w:rtl w:val="0"/>
        </w:rPr>
        <w:t>–</w:t>
      </w:r>
      <w:r>
        <w:rPr>
          <w:rFonts w:ascii="Times Roman" w:hAnsi="Times Roman"/>
          <w:rtl w:val="0"/>
        </w:rPr>
        <w:t xml:space="preserve">178. </w:t>
      </w:r>
      <w:r>
        <w:rPr>
          <w:rFonts w:ascii="Times Roman" w:hAnsi="Times Roman"/>
          <w:outline w:val="0"/>
          <w:color w:val="551a8b"/>
          <w:u w:val="single"/>
          <w:rtl w:val="0"/>
          <w:lang w:val="en-US"/>
          <w14:textFill>
            <w14:solidFill>
              <w14:srgbClr w14:val="551A8B"/>
            </w14:solidFill>
          </w14:textFill>
        </w:rPr>
        <w:t>https://doi.org/10.2307/41410412</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Willis, G. B. (2005). </w:t>
      </w:r>
      <w:r>
        <w:rPr>
          <w:rFonts w:ascii="Times Roman" w:hAnsi="Times Roman"/>
          <w:i w:val="1"/>
          <w:iCs w:val="1"/>
          <w:rtl w:val="0"/>
          <w:lang w:val="en-US"/>
        </w:rPr>
        <w:t>Cognitive interviewing: A tool for improving questionnaire design</w:t>
      </w:r>
      <w:r>
        <w:rPr>
          <w:rFonts w:ascii="Times Roman" w:hAnsi="Times Roman"/>
          <w:i w:val="0"/>
          <w:iCs w:val="0"/>
          <w:rtl w:val="0"/>
          <w:lang w:val="en-US"/>
        </w:rPr>
        <w:t>. SAGE Publications.</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Woodhouse, D. (2024). Institutional theory: Contributing to a theoretical research program. </w:t>
      </w:r>
      <w:r>
        <w:rPr>
          <w:rFonts w:ascii="Times Roman" w:hAnsi="Times Roman"/>
          <w:i w:val="1"/>
          <w:iCs w:val="1"/>
          <w:rtl w:val="0"/>
          <w:lang w:val="en-US"/>
        </w:rPr>
        <w:t>Journal of Management Studies</w:t>
      </w:r>
      <w:r>
        <w:rPr>
          <w:rFonts w:ascii="Times Roman" w:hAnsi="Times Roman"/>
          <w:rtl w:val="0"/>
          <w:lang w:val="en-US"/>
        </w:rPr>
        <w:t>. Advance online publication.</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World Bank. (2014). </w:t>
      </w:r>
      <w:r>
        <w:rPr>
          <w:rFonts w:ascii="Times Roman" w:hAnsi="Times Roman"/>
          <w:i w:val="1"/>
          <w:iCs w:val="1"/>
          <w:rtl w:val="0"/>
          <w:lang w:val="en-US"/>
        </w:rPr>
        <w:t>Agent banking: Expanding access to payment and remittance services</w:t>
      </w:r>
      <w:r>
        <w:rPr>
          <w:rFonts w:ascii="Times Roman" w:hAnsi="Times Roman"/>
          <w:i w:val="0"/>
          <w:iCs w:val="0"/>
          <w:rtl w:val="0"/>
          <w:lang w:val="en-US"/>
        </w:rPr>
        <w:t>. World Bank Group.</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World Bank. (2021). </w:t>
      </w:r>
      <w:r>
        <w:rPr>
          <w:rFonts w:ascii="Times Roman" w:hAnsi="Times Roman"/>
          <w:i w:val="1"/>
          <w:iCs w:val="1"/>
          <w:rtl w:val="0"/>
          <w:lang w:val="en-US"/>
        </w:rPr>
        <w:t>Digital financial services and inclusion in South Asia</w:t>
      </w:r>
      <w:r>
        <w:rPr>
          <w:rFonts w:ascii="Times Roman" w:hAnsi="Times Roman"/>
          <w:i w:val="0"/>
          <w:iCs w:val="0"/>
          <w:rtl w:val="0"/>
          <w:lang w:val="en-US"/>
        </w:rPr>
        <w:t>. World Bank Group.</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World Bank. (2023). </w:t>
      </w:r>
      <w:r>
        <w:rPr>
          <w:rFonts w:ascii="Times Roman" w:hAnsi="Times Roman"/>
          <w:i w:val="1"/>
          <w:iCs w:val="1"/>
          <w:rtl w:val="0"/>
          <w:lang w:val="en-US"/>
        </w:rPr>
        <w:t>Fintech and financial inclusion in South Asia</w:t>
      </w:r>
      <w:r>
        <w:rPr>
          <w:rFonts w:ascii="Times Roman" w:hAnsi="Times Roman"/>
          <w:i w:val="0"/>
          <w:iCs w:val="0"/>
          <w:rtl w:val="0"/>
          <w:lang w:val="en-US"/>
        </w:rPr>
        <w:t>. World Bank Group.</w:t>
      </w:r>
    </w:p>
    <w:p>
      <w:pPr>
        <w:pStyle w:val="Default"/>
        <w:numPr>
          <w:ilvl w:val="0"/>
          <w:numId w:val="9"/>
        </w:numPr>
        <w:suppressAutoHyphens w:val="1"/>
        <w:spacing w:before="0" w:after="240" w:line="240" w:lineRule="auto"/>
        <w:jc w:val="left"/>
        <w:rPr>
          <w:rFonts w:ascii="Times Roman" w:hAnsi="Times Roman"/>
          <w:i w:val="1"/>
          <w:iCs w:val="1"/>
          <w:lang w:val="en-US"/>
        </w:rPr>
      </w:pPr>
      <w:r>
        <w:rPr>
          <w:rFonts w:ascii="Times Roman" w:hAnsi="Times Roman"/>
          <w:i w:val="0"/>
          <w:iCs w:val="0"/>
          <w:rtl w:val="0"/>
          <w:lang w:val="en-US"/>
        </w:rPr>
        <w:t xml:space="preserve">World Bank. (2024). </w:t>
      </w:r>
      <w:r>
        <w:rPr>
          <w:rFonts w:ascii="Times Roman" w:hAnsi="Times Roman"/>
          <w:i w:val="1"/>
          <w:iCs w:val="1"/>
          <w:rtl w:val="0"/>
          <w:lang w:val="en-US"/>
        </w:rPr>
        <w:t>Bangladesh development update</w:t>
      </w:r>
      <w:r>
        <w:rPr>
          <w:rFonts w:ascii="Times Roman" w:hAnsi="Times Roman"/>
          <w:i w:val="0"/>
          <w:iCs w:val="0"/>
          <w:rtl w:val="0"/>
          <w:lang w:val="en-US"/>
        </w:rPr>
        <w:t>. World Bank Group.</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World Bank. (2025). </w:t>
      </w:r>
      <w:r>
        <w:rPr>
          <w:rFonts w:ascii="Times Roman" w:hAnsi="Times Roman"/>
          <w:i w:val="1"/>
          <w:iCs w:val="1"/>
          <w:rtl w:val="0"/>
          <w:lang w:val="en-US"/>
        </w:rPr>
        <w:t>Global Findex Database 2025: Connectivity and financial inclusion in the digital economy</w:t>
      </w:r>
      <w:r>
        <w:rPr>
          <w:rFonts w:ascii="Times Roman" w:hAnsi="Times Roman"/>
          <w:i w:val="0"/>
          <w:iCs w:val="0"/>
          <w:rtl w:val="0"/>
          <w:lang w:val="en-US"/>
        </w:rPr>
        <w:t>. World Bank Group.</w:t>
      </w:r>
    </w:p>
    <w:p>
      <w:pPr>
        <w:pStyle w:val="Default"/>
        <w:numPr>
          <w:ilvl w:val="0"/>
          <w:numId w:val="9"/>
        </w:numPr>
        <w:suppressAutoHyphens w:val="1"/>
        <w:spacing w:before="0" w:after="240" w:line="240" w:lineRule="auto"/>
        <w:jc w:val="left"/>
        <w:rPr>
          <w:rFonts w:ascii="Times Roman" w:hAnsi="Times Roman"/>
          <w:lang w:val="en-US"/>
        </w:rPr>
      </w:pPr>
      <w:r>
        <w:rPr>
          <w:rFonts w:ascii="Times Roman" w:hAnsi="Times Roman"/>
          <w:rtl w:val="0"/>
          <w:lang w:val="en-US"/>
        </w:rPr>
        <w:t xml:space="preserve">Xie, J. (2024). How digital financial inclusion induces systematic risk: Evidence from Chinese banks. </w:t>
      </w:r>
      <w:r>
        <w:rPr>
          <w:rFonts w:ascii="Times Roman" w:hAnsi="Times Roman"/>
          <w:i w:val="1"/>
          <w:iCs w:val="1"/>
          <w:rtl w:val="0"/>
          <w:lang w:val="en-US"/>
        </w:rPr>
        <w:t>International Review of Financial Analysis</w:t>
      </w:r>
      <w:r>
        <w:rPr>
          <w:rFonts w:ascii="Times Roman" w:hAnsi="Times Roman"/>
          <w:rtl w:val="0"/>
        </w:rPr>
        <w:t xml:space="preserve">, </w:t>
      </w:r>
      <w:r>
        <w:rPr>
          <w:rFonts w:ascii="Times Roman" w:hAnsi="Times Roman"/>
          <w:i w:val="1"/>
          <w:iCs w:val="1"/>
          <w:rtl w:val="0"/>
        </w:rPr>
        <w:t>93</w:t>
      </w:r>
      <w:r>
        <w:rPr>
          <w:rFonts w:ascii="Times Roman" w:hAnsi="Times Roman"/>
          <w:rtl w:val="0"/>
        </w:rPr>
        <w:t>, 103155.</w:t>
      </w:r>
    </w:p>
    <w:p>
      <w:pPr>
        <w:pStyle w:val="Default"/>
        <w:numPr>
          <w:ilvl w:val="0"/>
          <w:numId w:val="9"/>
        </w:numPr>
        <w:suppressAutoHyphens w:val="1"/>
        <w:spacing w:before="0" w:after="240" w:line="240" w:lineRule="auto"/>
        <w:jc w:val="left"/>
        <w:rPr>
          <w:rFonts w:ascii="Times Roman" w:hAnsi="Times Roman"/>
          <w:i w:val="1"/>
          <w:iCs w:val="1"/>
        </w:rPr>
      </w:pPr>
      <w:r>
        <w:rPr>
          <w:rFonts w:ascii="Times Roman" w:hAnsi="Times Roman"/>
          <w:i w:val="0"/>
          <w:iCs w:val="0"/>
          <w:rtl w:val="0"/>
        </w:rPr>
        <w:t xml:space="preserve">Yin, R. K. (2018). </w:t>
      </w:r>
      <w:r>
        <w:rPr>
          <w:rFonts w:ascii="Times Roman" w:hAnsi="Times Roman"/>
          <w:i w:val="1"/>
          <w:iCs w:val="1"/>
          <w:rtl w:val="0"/>
          <w:lang w:val="en-US"/>
        </w:rPr>
        <w:t>Case study research and applications: Design and methods</w:t>
      </w:r>
      <w:r>
        <w:rPr>
          <w:rFonts w:ascii="Times Roman" w:hAnsi="Times Roman"/>
          <w:i w:val="0"/>
          <w:iCs w:val="0"/>
          <w:rtl w:val="0"/>
          <w:lang w:val="en-US"/>
        </w:rPr>
        <w:t xml:space="preserve"> (6th ed.). SAGE Publications.</w:t>
      </w:r>
    </w:p>
    <w:p>
      <w:pPr>
        <w:pStyle w:val="Default"/>
        <w:tabs>
          <w:tab w:val="left" w:pos="220"/>
          <w:tab w:val="left" w:pos="720"/>
        </w:tabs>
        <w:suppressAutoHyphens w:val="1"/>
        <w:spacing w:before="0" w:after="240" w:line="240" w:lineRule="auto"/>
        <w:ind w:left="720" w:hanging="720"/>
        <w:jc w:val="left"/>
        <w:rPr>
          <w:rFonts w:ascii="Times Roman" w:cs="Times Roman" w:hAnsi="Times Roman" w:eastAsia="Times Roman"/>
          <w:i w:val="1"/>
          <w:iCs w:val="1"/>
        </w:rPr>
      </w:pPr>
    </w:p>
    <w:p>
      <w:pPr>
        <w:pStyle w:val="Default"/>
        <w:suppressAutoHyphens w:val="1"/>
        <w:spacing w:before="0" w:line="240" w:lineRule="auto"/>
      </w:pPr>
      <w:r>
        <w:rPr>
          <w:rFonts w:ascii="Times Roman" w:cs="Times Roman" w:hAnsi="Times Roman" w:eastAsia="Times Roman"/>
        </w:rPr>
      </w:r>
    </w:p>
    <w:sectPr>
      <w:headerReference w:type="default" r:id="rId43"/>
      <w:footerReference w:type="default" r:id="rId44"/>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Helvetica">
    <w:charset w:val="00"/>
    <w:family w:val="roman"/>
    <w:pitch w:val="default"/>
  </w:font>
  <w:font w:name="STIX Two Math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Fonts w:ascii="Times New Roman" w:hAnsi="Times New Roman"/>
        <w:sz w:val="22"/>
        <w:szCs w:val="22"/>
      </w:rPr>
      <w:tab/>
      <w:tab/>
    </w:r>
    <w:r>
      <w:rPr>
        <w:rFonts w:ascii="Times New Roman" w:hAnsi="Times New Roman"/>
        <w:sz w:val="22"/>
        <w:szCs w:val="22"/>
        <w:rtl w:val="0"/>
        <w:lang w:val="en-US"/>
      </w:rPr>
      <w:t xml:space="preserve">Page </w:t>
    </w:r>
    <w:r>
      <w:rPr>
        <w:rFonts w:ascii="Times New Roman" w:cs="Times New Roman" w:hAnsi="Times New Roman" w:eastAsia="Times New Roman"/>
        <w:sz w:val="22"/>
        <w:szCs w:val="22"/>
      </w:rPr>
      <w:fldChar w:fldCharType="begin" w:fldLock="0"/>
    </w:r>
    <w:r>
      <w:rPr>
        <w:rFonts w:ascii="Times New Roman" w:cs="Times New Roman" w:hAnsi="Times New Roman" w:eastAsia="Times New Roman"/>
        <w:sz w:val="22"/>
        <w:szCs w:val="22"/>
      </w:rPr>
      <w:instrText xml:space="preserve"> PAGE </w:instrText>
    </w:r>
    <w:r>
      <w:rPr>
        <w:rFonts w:ascii="Times New Roman" w:cs="Times New Roman" w:hAnsi="Times New Roman" w:eastAsia="Times New Roman"/>
        <w:sz w:val="22"/>
        <w:szCs w:val="22"/>
      </w:rPr>
      <w:fldChar w:fldCharType="separate" w:fldLock="0"/>
    </w:r>
    <w:r>
      <w:rPr>
        <w:rFonts w:ascii="Times New Roman" w:cs="Times New Roman" w:hAnsi="Times New Roman" w:eastAsia="Times New Roman"/>
        <w:sz w:val="22"/>
        <w:szCs w:val="22"/>
      </w:rPr>
    </w:r>
    <w:r>
      <w:rPr>
        <w:rFonts w:ascii="Times New Roman" w:cs="Times New Roman" w:hAnsi="Times New Roman" w:eastAsia="Times New Roman"/>
        <w:sz w:val="22"/>
        <w:szCs w:val="22"/>
      </w:rPr>
      <w:fldChar w:fldCharType="end" w:fldLock="0"/>
    </w:r>
    <w:r>
      <w:rPr>
        <w:rFonts w:ascii="Times New Roman" w:hAnsi="Times New Roman"/>
        <w:sz w:val="22"/>
        <w:szCs w:val="22"/>
        <w:rtl w:val="0"/>
        <w:lang w:val="en-US"/>
      </w:rPr>
      <w:t xml:space="preserve"> of </w:t>
    </w:r>
    <w:r>
      <w:rPr>
        <w:rFonts w:ascii="Times New Roman" w:cs="Times New Roman" w:hAnsi="Times New Roman" w:eastAsia="Times New Roman"/>
        <w:sz w:val="22"/>
        <w:szCs w:val="22"/>
      </w:rPr>
      <w:fldChar w:fldCharType="begin" w:fldLock="0"/>
    </w:r>
    <w:r>
      <w:rPr>
        <w:rFonts w:ascii="Times New Roman" w:cs="Times New Roman" w:hAnsi="Times New Roman" w:eastAsia="Times New Roman"/>
        <w:sz w:val="22"/>
        <w:szCs w:val="22"/>
      </w:rPr>
      <w:instrText xml:space="preserve"> NUMPAGES </w:instrText>
    </w:r>
    <w:r>
      <w:rPr>
        <w:rFonts w:ascii="Times New Roman" w:cs="Times New Roman" w:hAnsi="Times New Roman" w:eastAsia="Times New Roman"/>
        <w:sz w:val="22"/>
        <w:szCs w:val="22"/>
      </w:rPr>
      <w:fldChar w:fldCharType="separate" w:fldLock="0"/>
    </w:r>
    <w:r>
      <w:rPr>
        <w:rFonts w:ascii="Times New Roman" w:cs="Times New Roman" w:hAnsi="Times New Roman" w:eastAsia="Times New Roman"/>
        <w:sz w:val="22"/>
        <w:szCs w:val="22"/>
      </w:rPr>
    </w:r>
    <w:r>
      <w:rPr>
        <w:rFonts w:ascii="Times New Roman" w:cs="Times New Roman" w:hAnsi="Times New Roman" w:eastAsia="Times New Roman"/>
        <w:sz w:val="22"/>
        <w:szCs w:val="22"/>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36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lvl w:ilvl="0">
      <w:start w:val="1"/>
      <w:numFmt w:val="bullet"/>
      <w:suff w:val="tab"/>
      <w:lvlText w:val="•"/>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3">
    <w:multiLevelType w:val="hybridMultilevel"/>
    <w:numStyleLink w:val="Numbered"/>
  </w:abstractNum>
  <w:abstractNum w:abstractNumId="4">
    <w:multiLevelType w:val="hybridMultilevel"/>
    <w:styleLink w:val="Numbered"/>
    <w:lvl w:ilvl="0">
      <w:start w:val="1"/>
      <w:numFmt w:val="decimal"/>
      <w:suff w:val="tab"/>
      <w:lvlText w:val="%1."/>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2"/>
  </w:num>
  <w:num w:numId="5">
    <w:abstractNumId w:val="4"/>
  </w:num>
  <w:num w:numId="6">
    <w:abstractNumId w:val="3"/>
  </w:num>
  <w:num w:numId="7">
    <w:abstractNumId w:val="0"/>
    <w:lvlOverride w:ilvl="0">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abstractNumId w:val="3"/>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8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90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12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4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63" w:hanging="583"/>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0"/>
    <w:lvlOverride w:ilvl="0">
      <w:lvl w:ilvl="0">
        <w:start w:val="1"/>
        <w:numFmt w:val="bullet"/>
        <w:suff w:val="tab"/>
        <w:lvlText w:val="•"/>
        <w:lvlJc w:val="left"/>
        <w:pPr>
          <w:ind w:left="72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STIX Two Math Regular" w:cs="STIX Two Math Regular" w:hAnsi="STIX Two Math Regular" w:eastAsia="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abstractNumId w:val="3"/>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3"/>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3"/>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5"/>
      </w:numPr>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tif"/><Relationship Id="rId21" Type="http://schemas.openxmlformats.org/officeDocument/2006/relationships/image" Target="media/image17.png"/><Relationship Id="rId22" Type="http://schemas.openxmlformats.org/officeDocument/2006/relationships/image" Target="media/image2.tif"/><Relationship Id="rId23" Type="http://schemas.openxmlformats.org/officeDocument/2006/relationships/image" Target="media/image3.tif"/><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4.tif"/><Relationship Id="rId29" Type="http://schemas.openxmlformats.org/officeDocument/2006/relationships/image" Target="media/image22.png"/><Relationship Id="rId30" Type="http://schemas.openxmlformats.org/officeDocument/2006/relationships/image" Target="media/image5.tif"/><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6.tif"/><Relationship Id="rId36" Type="http://schemas.openxmlformats.org/officeDocument/2006/relationships/image" Target="media/image27.png"/><Relationship Id="rId37" Type="http://schemas.openxmlformats.org/officeDocument/2006/relationships/image" Target="media/image1.jpeg"/><Relationship Id="rId38" Type="http://schemas.openxmlformats.org/officeDocument/2006/relationships/image" Target="media/image7.tif"/><Relationship Id="rId39" Type="http://schemas.openxmlformats.org/officeDocument/2006/relationships/image" Target="media/image8.tif"/><Relationship Id="rId40" Type="http://schemas.openxmlformats.org/officeDocument/2006/relationships/image" Target="media/image2.jpeg"/><Relationship Id="rId41" Type="http://schemas.openxmlformats.org/officeDocument/2006/relationships/image" Target="media/image3.jpeg"/><Relationship Id="rId42" Type="http://schemas.openxmlformats.org/officeDocument/2006/relationships/image" Target="media/image28.png"/><Relationship Id="rId43" Type="http://schemas.openxmlformats.org/officeDocument/2006/relationships/header" Target="header1.xml"/><Relationship Id="rId44" Type="http://schemas.openxmlformats.org/officeDocument/2006/relationships/footer" Target="footer1.xml"/><Relationship Id="rId45" Type="http://schemas.openxmlformats.org/officeDocument/2006/relationships/numbering" Target="numbering.xml"/><Relationship Id="rId4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