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terference-analysis-report"/>
    <w:p>
      <w:pPr>
        <w:pStyle w:val="Heading1"/>
      </w:pPr>
      <w:r>
        <w:t xml:space="preserve">Interference Analysis Report</w:t>
      </w:r>
    </w:p>
    <w:bookmarkStart w:id="9" w:name="basic-information"/>
    <w:p>
      <w:pPr>
        <w:pStyle w:val="Heading2"/>
      </w:pPr>
      <w:r>
        <w:t xml:space="preserve">1. Basic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date</w:t>
            </w:r>
          </w:p>
        </w:tc>
        <w:tc>
          <w:tcPr/>
          <w:p>
            <w:pPr>
              <w:pStyle w:val="Compact"/>
            </w:pPr>
            <w:r>
              <w:t xml:space="preserve">2025-09-23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range</w:t>
            </w:r>
          </w:p>
        </w:tc>
        <w:tc>
          <w:tcPr/>
          <w:p>
            <w:pPr>
              <w:pStyle w:val="Compact"/>
            </w:pPr>
            <w:r>
              <w:t xml:space="preserve">00:00–24:00 (24-hour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institution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Institute of Space Internet, Fudan University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 title</w:t>
            </w:r>
          </w:p>
        </w:tc>
        <w:tc>
          <w:tcPr/>
          <w:p>
            <w:pPr>
              <w:pStyle w:val="Compact"/>
            </w:pPr>
            <w:r>
              <w:t xml:space="preserve">Oneweb constellation Ground Terminal System interference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t xml:space="preserve">oneweb_total_earth_cinr.png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type</w:t>
            </w:r>
          </w:p>
        </w:tc>
        <w:tc>
          <w:tcPr/>
          <w:p>
            <w:pPr>
              <w:pStyle w:val="Compact"/>
            </w:pPr>
            <w:r>
              <w:t xml:space="preserve">Ground Terminal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metric</w:t>
            </w:r>
          </w:p>
        </w:tc>
        <w:tc>
          <w:tcPr/>
          <w:p>
            <w:pPr>
              <w:pStyle w:val="Compact"/>
            </w:pPr>
            <w:r>
              <w:t xml:space="preserve">CINR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path</w:t>
            </w:r>
          </w:p>
        </w:tc>
        <w:tc>
          <w:tcPr/>
          <w:p>
            <w:pPr>
              <w:pStyle w:val="Compact"/>
            </w:pPr>
            <w:r>
              <w:t xml:space="preserve">./data/total/oneweb_total_earth_cinr.png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description</w:t>
            </w:r>
          </w:p>
        </w:tc>
        <w:tc>
          <w:tcPr/>
          <w:p>
            <w:pPr>
              <w:pStyle w:val="Compact"/>
            </w:pPr>
            <w:r>
              <w:t xml:space="preserve">Oneweb constellation – Ground Terminal System</w:t>
            </w:r>
          </w:p>
        </w:tc>
      </w:tr>
    </w:tbl>
    <w:bookmarkEnd w:id="9"/>
    <w:bookmarkStart w:id="14" w:name="data-analysis"/>
    <w:p>
      <w:pPr>
        <w:pStyle w:val="Heading2"/>
      </w:pPr>
      <w:r>
        <w:t xml:space="preserve">2. Data Analysis</w:t>
      </w:r>
    </w:p>
    <w:p>
      <w:pPr>
        <w:pStyle w:val="FirstParagraph"/>
      </w:pPr>
      <w:r>
        <w:rPr>
          <w:b/>
          <w:bCs/>
        </w:rPr>
        <w:t xml:space="preserve">Interference presence</w:t>
      </w:r>
      <w:r>
        <w:t xml:space="preserve">:</w:t>
      </w:r>
      <w:r>
        <w:t xml:space="preserve"> </w:t>
      </w:r>
      <w:r>
        <w:rPr>
          <w:b/>
          <w:bCs/>
        </w:rPr>
        <w:t xml:space="preserve">Yes</w:t>
      </w:r>
    </w:p>
    <w:bookmarkStart w:id="10" w:name="numerical-analysis"/>
    <w:p>
      <w:pPr>
        <w:pStyle w:val="Heading3"/>
      </w:pPr>
      <w:r>
        <w:t xml:space="preserve">2.1 Numerical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Typical 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[-175, -125]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-175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-125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-150 dB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Brief notes:</w:t>
      </w:r>
    </w:p>
    <w:p>
      <w:pPr>
        <w:pStyle w:val="Compact"/>
        <w:numPr>
          <w:ilvl w:val="1"/>
          <w:numId w:val="1002"/>
        </w:numPr>
      </w:pPr>
      <w:r>
        <w:t xml:space="preserve">Values were visually estimated from the provided chart.</w:t>
      </w:r>
    </w:p>
    <w:bookmarkEnd w:id="10"/>
    <w:bookmarkStart w:id="11" w:name="temporal-characteristics"/>
    <w:p>
      <w:pPr>
        <w:pStyle w:val="Heading3"/>
      </w:pPr>
      <w:r>
        <w:t xml:space="preserve">2.2 Temporal Characteristics</w:t>
      </w:r>
    </w:p>
    <w:p>
      <w:pPr>
        <w:pStyle w:val="Compact"/>
        <w:numPr>
          <w:ilvl w:val="0"/>
          <w:numId w:val="1003"/>
        </w:numPr>
      </w:pPr>
      <w:r>
        <w:t xml:space="preserve">Abnormal time periods:</w:t>
      </w:r>
      <w:r>
        <w:t xml:space="preserve"> </w:t>
      </w: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3"/>
        </w:numPr>
      </w:pPr>
      <w:r>
        <w:t xml:space="preserve">Interference duration:</w:t>
      </w:r>
      <w:r>
        <w:t xml:space="preserve"> </w:t>
      </w:r>
      <w:r>
        <w:rPr>
          <w:b/>
          <w:bCs/>
        </w:rPr>
        <w:t xml:space="preserve">sustained</w:t>
      </w:r>
    </w:p>
    <w:p>
      <w:pPr>
        <w:pStyle w:val="Compact"/>
        <w:numPr>
          <w:ilvl w:val="0"/>
          <w:numId w:val="1003"/>
        </w:numPr>
      </w:pPr>
      <w:r>
        <w:t xml:space="preserve">Interference magnitude:</w:t>
      </w:r>
      <w:r>
        <w:t xml:space="preserve"> </w:t>
      </w:r>
      <w:r>
        <w:rPr>
          <w:b/>
          <w:bCs/>
        </w:rPr>
        <w:t xml:space="preserve">moderate</w:t>
      </w:r>
      <w:r>
        <w:t xml:space="preserve">, characterized by fluctuations and regular peaks across the entire time range.</w:t>
      </w:r>
    </w:p>
    <w:bookmarkEnd w:id="11"/>
    <w:bookmarkStart w:id="12" w:name="variability-description"/>
    <w:p>
      <w:pPr>
        <w:pStyle w:val="Heading3"/>
      </w:pPr>
      <w:r>
        <w:t xml:space="preserve">2.3 Variability Description</w:t>
      </w:r>
    </w:p>
    <w:p>
      <w:pPr>
        <w:pStyle w:val="FirstParagraph"/>
      </w:pPr>
      <w:r>
        <w:t xml:space="preserve">The CINR exhibits considerable variability throughout the</w:t>
      </w:r>
      <w:r>
        <w:t xml:space="preserve"> </w:t>
      </w:r>
      <w:r>
        <w:rPr>
          <w:b/>
          <w:bCs/>
        </w:rPr>
        <w:t xml:space="preserve">24-hour</w:t>
      </w:r>
      <w:r>
        <w:t xml:space="preserve"> </w:t>
      </w:r>
      <w:r>
        <w:t xml:space="preserve">observation period. The signal demonstrates a dynamic pattern of frequent spikes and drops, suggesting a fluctuating interference environment. While a baseline hovers around</w:t>
      </w:r>
      <w:r>
        <w:t xml:space="preserve"> </w:t>
      </w:r>
      <w:r>
        <w:rPr>
          <w:b/>
          <w:bCs/>
        </w:rPr>
        <w:t xml:space="preserve">-175 dB</w:t>
      </w:r>
      <w:r>
        <w:t xml:space="preserve">, intermittent peaks reach up to approximately</w:t>
      </w:r>
      <w:r>
        <w:t xml:space="preserve"> </w:t>
      </w:r>
      <w:r>
        <w:rPr>
          <w:b/>
          <w:bCs/>
        </w:rPr>
        <w:t xml:space="preserve">-125 dB</w:t>
      </w:r>
      <w:r>
        <w:t xml:space="preserve">, indicating notable interference events. No prolonged periods of stable, interference-free operation are apparent.</w:t>
      </w:r>
    </w:p>
    <w:bookmarkEnd w:id="12"/>
    <w:bookmarkStart w:id="13" w:name="potential-interference-sources"/>
    <w:p>
      <w:pPr>
        <w:pStyle w:val="Heading3"/>
      </w:pPr>
      <w:r>
        <w:t xml:space="preserve">2.4 Potential Interference Sources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Terrestrial microwave backhaul:</w:t>
      </w:r>
      <w:r>
        <w:t xml:space="preserve"> </w:t>
      </w:r>
      <w:r>
        <w:t xml:space="preserve">Given the sustained nature, terrestrial microwave links operating in adjacent or shared frequency bands represent a plausible source.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Adjacent satellite systems:</w:t>
      </w:r>
      <w:r>
        <w:t xml:space="preserve"> </w:t>
      </w:r>
      <w:r>
        <w:t xml:space="preserve">Other satellite systems employing similar frequencies and orbital slots may contribute to co-channel interference, particularly during peak transmission periods.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Localized radar transmissions:</w:t>
      </w:r>
      <w:r>
        <w:t xml:space="preserve"> </w:t>
      </w:r>
      <w:r>
        <w:t xml:space="preserve">Although less likely to be sustained, intermittent radar activity could account for some observed CINR spikes. Further investigation would be needed to confirm radar presence.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Atmospheric effects (ducting):</w:t>
      </w:r>
      <w:r>
        <w:t xml:space="preserve"> </w:t>
      </w:r>
      <w:r>
        <w:t xml:space="preserve">Unusual atmospheric conditions could temporarily enhance signal propagation from distant sources, resulting in unpredictable interference patterns.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Unintentional emissions from industrial equipment:</w:t>
      </w:r>
      <w:r>
        <w:t xml:space="preserve"> </w:t>
      </w:r>
      <w:r>
        <w:t xml:space="preserve">Nearby industrial, scientific, or medical (ISM) equipment could generate spurious emissions that degrade CINR performance.</w:t>
      </w:r>
    </w:p>
    <w:bookmarkEnd w:id="13"/>
    <w:bookmarkEnd w:id="14"/>
    <w:bookmarkStart w:id="15" w:name="evidence-summary"/>
    <w:p>
      <w:pPr>
        <w:pStyle w:val="Heading2"/>
      </w:pPr>
      <w:r>
        <w:t xml:space="preserve">3. Evidence Summary</w:t>
      </w:r>
    </w:p>
    <w:p>
      <w:pPr>
        <w:pStyle w:val="Compact"/>
        <w:numPr>
          <w:ilvl w:val="0"/>
          <w:numId w:val="1005"/>
        </w:numPr>
      </w:pPr>
      <w:r>
        <w:t xml:space="preserve">The CINR values show persistent fluctuation across the complete</w:t>
      </w:r>
      <w:r>
        <w:t xml:space="preserve"> </w:t>
      </w:r>
      <w:r>
        <w:rPr>
          <w:b/>
          <w:bCs/>
        </w:rPr>
        <w:t xml:space="preserve">24-hour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05"/>
        </w:numPr>
      </w:pPr>
      <w:r>
        <w:t xml:space="preserve">Frequent, sharp upward spikes in the CINR suggest recurring interference events.</w:t>
      </w:r>
    </w:p>
    <w:p>
      <w:pPr>
        <w:pStyle w:val="Compact"/>
        <w:numPr>
          <w:ilvl w:val="0"/>
          <w:numId w:val="1005"/>
        </w:numPr>
      </w:pPr>
      <w:r>
        <w:t xml:space="preserve">The consistent signal floor resides near</w:t>
      </w:r>
      <w:r>
        <w:t xml:space="preserve"> </w:t>
      </w:r>
      <w:r>
        <w:rPr>
          <w:b/>
          <w:bCs/>
        </w:rPr>
        <w:t xml:space="preserve">-175 dB</w:t>
      </w:r>
      <w:r>
        <w:t xml:space="preserve">, hinting at a stable background noise level.</w:t>
      </w:r>
    </w:p>
    <w:p>
      <w:pPr>
        <w:pStyle w:val="Compact"/>
        <w:numPr>
          <w:ilvl w:val="0"/>
          <w:numId w:val="1005"/>
        </w:numPr>
      </w:pPr>
      <w:r>
        <w:t xml:space="preserve">Peak CINR measurements approach</w:t>
      </w:r>
      <w:r>
        <w:t xml:space="preserve"> </w:t>
      </w:r>
      <w:r>
        <w:rPr>
          <w:b/>
          <w:bCs/>
        </w:rPr>
        <w:t xml:space="preserve">-125 dB</w:t>
      </w:r>
      <w:r>
        <w:t xml:space="preserve">, signifying substantial interference peaks.</w:t>
      </w:r>
    </w:p>
    <w:p>
      <w:pPr>
        <w:pStyle w:val="Compact"/>
        <w:numPr>
          <w:ilvl w:val="0"/>
          <w:numId w:val="1005"/>
        </w:numPr>
      </w:pPr>
      <w:r>
        <w:t xml:space="preserve">No specific timeframes exhibit significantly elevated interference compared to others.</w:t>
      </w:r>
    </w:p>
    <w:bookmarkEnd w:id="15"/>
    <w:bookmarkStart w:id="18" w:name="conclusions-and-recommendations"/>
    <w:p>
      <w:pPr>
        <w:pStyle w:val="Heading2"/>
      </w:pPr>
      <w:r>
        <w:t xml:space="preserve">4. Conclusions and Recommendations</w:t>
      </w:r>
    </w:p>
    <w:bookmarkStart w:id="16" w:name="overall-conclusion"/>
    <w:p>
      <w:pPr>
        <w:pStyle w:val="Heading3"/>
      </w:pPr>
      <w:r>
        <w:t xml:space="preserve">4.1 Overall Conclusion</w:t>
      </w:r>
    </w:p>
    <w:p>
      <w:pPr>
        <w:pStyle w:val="FirstParagraph"/>
      </w:pPr>
      <w:r>
        <w:t xml:space="preserve">The analysis indicates the persistent presence of moderate interference impacting the Oneweb Ground Terminal System. The interference manifests as sustained fluctuations with frequent peaks, suggesting a dynamic and potentially detrimental interference environment. This interference could compromise system reliability and overall performance.</w:t>
      </w:r>
    </w:p>
    <w:bookmarkEnd w:id="16"/>
    <w:bookmarkStart w:id="17" w:name="actionable-recommendations"/>
    <w:p>
      <w:pPr>
        <w:pStyle w:val="Heading3"/>
      </w:pPr>
      <w:r>
        <w:t xml:space="preserve">4.2 Actionable Recommendations</w:t>
      </w:r>
    </w:p>
    <w:p>
      <w:pPr>
        <w:pStyle w:val="Compact"/>
        <w:numPr>
          <w:ilvl w:val="0"/>
          <w:numId w:val="1006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real-time spectrum analysis</w:t>
      </w:r>
      <w:r>
        <w:t xml:space="preserve"> </w:t>
      </w:r>
      <w:r>
        <w:t xml:space="preserve">to identify and classify the specific interfering signals present at the ground terminal. This will enable targeted mitigation strategies.</w:t>
      </w:r>
    </w:p>
    <w:p>
      <w:pPr>
        <w:pStyle w:val="Compact"/>
        <w:numPr>
          <w:ilvl w:val="0"/>
          <w:numId w:val="1006"/>
        </w:numPr>
      </w:pPr>
      <w:r>
        <w:t xml:space="preserve">Employ</w:t>
      </w:r>
      <w:r>
        <w:t xml:space="preserve"> </w:t>
      </w:r>
      <w:r>
        <w:rPr>
          <w:b/>
          <w:bCs/>
        </w:rPr>
        <w:t xml:space="preserve">advanced interference mitigation techniques</w:t>
      </w:r>
      <w:r>
        <w:t xml:space="preserve">, such as adaptive notch filtering and spatial nulling, to suppress the interfering signals and improve the desired signal quality.</w:t>
      </w:r>
    </w:p>
    <w:p>
      <w:pPr>
        <w:pStyle w:val="Compact"/>
        <w:numPr>
          <w:ilvl w:val="0"/>
          <w:numId w:val="1006"/>
        </w:numPr>
      </w:pPr>
      <w:r>
        <w:t xml:space="preserve">Conduct a</w:t>
      </w:r>
      <w:r>
        <w:t xml:space="preserve"> </w:t>
      </w:r>
      <w:r>
        <w:rPr>
          <w:b/>
          <w:bCs/>
        </w:rPr>
        <w:t xml:space="preserve">comprehensive site survey</w:t>
      </w:r>
      <w:r>
        <w:t xml:space="preserve"> </w:t>
      </w:r>
      <w:r>
        <w:t xml:space="preserve">to locate potential sources of terrestrial interference and assess their impact on the ground terminal’s performance. Mitigation may involve relocating the terminal or shielding nearby equipment.</w:t>
      </w:r>
    </w:p>
    <w:bookmarkEnd w:id="17"/>
    <w:bookmarkEnd w:id="18"/>
    <w:bookmarkStart w:id="19" w:name="compliance-considerations"/>
    <w:p>
      <w:pPr>
        <w:pStyle w:val="Heading2"/>
      </w:pPr>
      <w:r>
        <w:t xml:space="preserve">5. Compliance Considerations</w:t>
      </w:r>
    </w:p>
    <w:p>
      <w:pPr>
        <w:pStyle w:val="FirstParagraph"/>
      </w:pPr>
      <w:r>
        <w:t xml:space="preserve">A thorough compliance review is warranted to ascertain whether the observed interference levels breach applicable regulatory thresholds (e.g., EPFD/PFD). This review should include field measurements and modeling to quantify the impact on compliance margins. Follow-up measurements are essential to confirm compliance status after implementing mitigation strategies.</w:t>
      </w:r>
    </w:p>
    <w:bookmarkEnd w:id="19"/>
    <w:bookmarkStart w:id="20" w:name="appendix-metadata"/>
    <w:p>
      <w:pPr>
        <w:pStyle w:val="Heading2"/>
      </w:pPr>
      <w:r>
        <w:t xml:space="preserve">6. Appendix: Metadata</w:t>
      </w:r>
    </w:p>
    <w:p>
      <w:pPr>
        <w:pStyle w:val="Compact"/>
        <w:numPr>
          <w:ilvl w:val="0"/>
          <w:numId w:val="1007"/>
        </w:numPr>
      </w:pPr>
      <w:r>
        <w:t xml:space="preserve">Constellation: Oneweb</w:t>
      </w:r>
    </w:p>
    <w:p>
      <w:pPr>
        <w:pStyle w:val="Compact"/>
        <w:numPr>
          <w:ilvl w:val="0"/>
          <w:numId w:val="1007"/>
        </w:numPr>
      </w:pPr>
      <w:r>
        <w:t xml:space="preserve">Terminal type: Ground Terminal System</w:t>
      </w:r>
    </w:p>
    <w:p>
      <w:pPr>
        <w:pStyle w:val="Compact"/>
        <w:numPr>
          <w:ilvl w:val="0"/>
          <w:numId w:val="1007"/>
        </w:numPr>
      </w:pPr>
      <w:r>
        <w:t xml:space="preserve">Monitoring metric: CINR</w:t>
      </w:r>
    </w:p>
    <w:p>
      <w:pPr>
        <w:pStyle w:val="Compact"/>
        <w:numPr>
          <w:ilvl w:val="0"/>
          <w:numId w:val="1007"/>
        </w:numPr>
      </w:pPr>
      <w:r>
        <w:t xml:space="preserve">Source file: oneweb_total_earth_cinr.png</w:t>
      </w:r>
    </w:p>
    <w:p>
      <w:pPr>
        <w:pStyle w:val="Compact"/>
        <w:numPr>
          <w:ilvl w:val="0"/>
          <w:numId w:val="1007"/>
        </w:numPr>
      </w:pPr>
      <w:r>
        <w:t xml:space="preserve">Path: ./data/total/oneweb_total_earth_cinr.png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2025-09-23T04:29:03Z</dcterms:created>
  <dcterms:modified xsi:type="dcterms:W3CDTF">2025-09-23T04:29:03Z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