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2b82b4660fa52d90aaec78e94a17fb043fbd6c2"/>
    <w:p>
      <w:pPr>
        <w:pStyle w:val="Heading1"/>
      </w:pPr>
      <w:r>
        <w:t xml:space="preserve">OneWeb Satellite Network Performance Simulation Analysis Report</w:t>
      </w:r>
    </w:p>
    <w:bookmarkStart w:id="11" w:name="X445628d819a2bcc7721b48cb70e34ef88f87940"/>
    <w:p>
      <w:pPr>
        <w:pStyle w:val="Heading2"/>
      </w:pPr>
      <w:r>
        <w:t xml:space="preserve">1. Background</w:t>
      </w:r>
    </w:p>
    <w:bookmarkStart w:id="9" w:name="X54edb1d71cb4fabea380d0de96feb6a7fe90c34"/>
    <w:p>
      <w:pPr>
        <w:pStyle w:val="Heading3"/>
      </w:pPr>
      <w:r>
        <w:t xml:space="preserve">1.1 Overview of OneWeb Satellite System</w:t>
      </w:r>
    </w:p>
    <w:p>
      <w:pPr>
        <w:pStyle w:val="FirstParagraph"/>
      </w:pPr>
      <w:r>
        <w:t xml:space="preserve">OneWeb is a LEO (Low Earth Orbit) satellite constellation designed to provide global broadband internet services, particularly in remote and rural areas. It operates a constellation of several hundred satellites in near-polar orbits, typically around</w:t>
      </w:r>
      <w:r>
        <w:t xml:space="preserve"> </w:t>
      </w:r>
      <w:r>
        <w:rPr>
          <w:b/>
          <w:bCs/>
        </w:rPr>
        <w:t xml:space="preserve">1200 km</w:t>
      </w:r>
      <w:r>
        <w:t xml:space="preserve"> </w:t>
      </w:r>
      <w:r>
        <w:t xml:space="preserve">altitude. This orbital configuration allows for global coverage, high-speed, and low-latency connectivity to user terminals worldwide.</w:t>
      </w:r>
    </w:p>
    <w:bookmarkEnd w:id="9"/>
    <w:bookmarkStart w:id="10" w:name="X13f29c4c72a208f80a2d36c1cada426cda396e5"/>
    <w:p>
      <w:pPr>
        <w:pStyle w:val="Heading3"/>
      </w:pPr>
      <w:r>
        <w:t xml:space="preserve">1.2 Analysis Scenario</w:t>
      </w:r>
    </w:p>
    <w:p>
      <w:pPr>
        <w:pStyle w:val="FirstParagraph"/>
      </w:pPr>
      <w:r>
        <w:t xml:space="preserve">The purpose of this analysis is to evaluate the self-performance of the</w:t>
      </w:r>
      <w:r>
        <w:t xml:space="preserve"> </w:t>
      </w:r>
      <w:r>
        <w:rPr>
          <w:rStyle w:val="VerbatimChar"/>
        </w:rPr>
        <w:t xml:space="preserve">OneWeb</w:t>
      </w:r>
      <w:r>
        <w:t xml:space="preserve"> </w:t>
      </w:r>
      <w:r>
        <w:t xml:space="preserve">system over a 24-hour simulation period, especially focusing on the</w:t>
      </w:r>
      <w:r>
        <w:t xml:space="preserve"> </w:t>
      </w:r>
      <w:r>
        <w:rPr>
          <w:b/>
          <w:bCs/>
        </w:rPr>
        <w:t xml:space="preserve">Ground Terminal System</w:t>
      </w:r>
      <w:r>
        <w:t xml:space="preserve"> </w:t>
      </w:r>
      <w:r>
        <w:t xml:space="preserve">and the</w:t>
      </w:r>
      <w:r>
        <w:t xml:space="preserve"> </w:t>
      </w:r>
      <w:r>
        <w:rPr>
          <w:b/>
          <w:bCs/>
        </w:rPr>
        <w:t xml:space="preserve">CINR</w:t>
      </w:r>
      <w:r>
        <w:t xml:space="preserve"> </w:t>
      </w:r>
      <w:r>
        <w:t xml:space="preserve">indicator.</w:t>
      </w:r>
    </w:p>
    <w:bookmarkEnd w:id="10"/>
    <w:bookmarkEnd w:id="11"/>
    <w:bookmarkStart w:id="14" w:name="X2d81d9d0a8471772eb56260056dc1ee2a9363ef"/>
    <w:p>
      <w:pPr>
        <w:pStyle w:val="Heading2"/>
      </w:pPr>
      <w:r>
        <w:t xml:space="preserve">2. Simulation Conditions and Analytical Basis</w:t>
      </w:r>
    </w:p>
    <w:bookmarkStart w:id="12" w:name="X779221de9575c09b0ba56d59b90c817426ad438"/>
    <w:p>
      <w:pPr>
        <w:pStyle w:val="Heading3"/>
      </w:pPr>
      <w:r>
        <w:t xml:space="preserve">2.1 Interference Protection Standards</w:t>
      </w:r>
    </w:p>
    <w:p>
      <w:pPr>
        <w:pStyle w:val="Compact"/>
        <w:numPr>
          <w:ilvl w:val="0"/>
          <w:numId w:val="1001"/>
        </w:numPr>
      </w:pPr>
      <w:r>
        <w:t xml:space="preserve">For CINR/CIR/CNR/INR, refer to</w:t>
      </w:r>
      <w:r>
        <w:t xml:space="preserve"> </w:t>
      </w:r>
      <w:r>
        <w:rPr>
          <w:b/>
          <w:bCs/>
        </w:rPr>
        <w:t xml:space="preserve">ITU-R S.1503</w:t>
      </w:r>
      <w:r>
        <w:t xml:space="preserve"> </w:t>
      </w:r>
      <w:r>
        <w:t xml:space="preserve">for minimum CINR requirements.</w:t>
      </w:r>
    </w:p>
    <w:p>
      <w:pPr>
        <w:pStyle w:val="Compact"/>
        <w:numPr>
          <w:ilvl w:val="0"/>
          <w:numId w:val="1001"/>
        </w:numPr>
      </w:pPr>
      <w:r>
        <w:t xml:space="preserve">Higher values of CINR/CIR/CNR/INR indicate better link quality.</w:t>
      </w:r>
      <w:r>
        <w:t xml:space="preserve"> </w:t>
      </w:r>
      <w:r>
        <w:t xml:space="preserve">Please explicitly list the standard numbers and their main requirements in the report.</w:t>
      </w:r>
    </w:p>
    <w:p>
      <w:pPr>
        <w:pStyle w:val="FirstParagraph"/>
      </w:pPr>
      <w:r>
        <w:rPr>
          <w:b/>
          <w:bCs/>
        </w:rPr>
        <w:t xml:space="preserve">ITU-R S.1503</w:t>
      </w:r>
      <w:r>
        <w:t xml:space="preserve"> </w:t>
      </w:r>
      <w:r>
        <w:t xml:space="preserve">(e.g., S.1503-2, S.1503-4): This Recommendation outlines methods for determining the interference potential between non-GSO FSS systems and GSO FSS systems, primarily focusing on metrics like Equivalent Power Flux Density (EPFD) and Power Flux Density (PFD) limits for interference protection. While critical for interference assessment, it generally does not specify a universal minimum CINR threshold for user terminal link quality, which is often system-dependent. Higher CINR values inherently indicate better link quality and lower susceptibility to interference.</w:t>
      </w:r>
    </w:p>
    <w:bookmarkEnd w:id="12"/>
    <w:bookmarkStart w:id="13" w:name="Xd4d98daf35a1c6af120cc4164efd08bb9727e91"/>
    <w:p>
      <w:pPr>
        <w:pStyle w:val="Heading3"/>
      </w:pPr>
      <w:r>
        <w:t xml:space="preserve">2.2 Simulation Input Parameters</w:t>
      </w:r>
    </w:p>
    <w:p>
      <w:pPr>
        <w:pStyle w:val="FirstParagraph"/>
      </w:pPr>
      <w:r>
        <w:rPr>
          <w:i/>
          <w:iCs/>
        </w:rPr>
        <w:t xml:space="preserve">(Please create two tables with typical parameters based on general knowledge to maintain report completeness)</w:t>
      </w:r>
    </w:p>
    <w:p>
      <w:pPr>
        <w:pStyle w:val="Compact"/>
        <w:numPr>
          <w:ilvl w:val="0"/>
          <w:numId w:val="1002"/>
        </w:numPr>
      </w:pPr>
      <w:r>
        <w:rPr>
          <w:b/>
          <w:bCs/>
        </w:rPr>
        <w:t xml:space="preserve">Table 1: Typical Parameters of OneWeb Earth Station</w:t>
      </w:r>
      <w:r>
        <w:t xml:space="preserve"> </w:t>
      </w:r>
      <w:r>
        <w:t xml:space="preserve">(including antenna gain, beamwidth, etc.)</w:t>
      </w:r>
    </w:p>
    <w:p>
      <w:pPr>
        <w:pStyle w:val="Compact"/>
        <w:numPr>
          <w:ilvl w:val="0"/>
          <w:numId w:val="1002"/>
        </w:numPr>
      </w:pPr>
      <w:r>
        <w:rPr>
          <w:b/>
          <w:bCs/>
        </w:rPr>
        <w:t xml:space="preserve">Table 2: Typical Parameters of OneWeb Satellite Link</w:t>
      </w:r>
      <w:r>
        <w:t xml:space="preserve"> </w:t>
      </w:r>
      <w:r>
        <w:t xml:space="preserve">(including frequency range, bandwidth, direction, EIRP, etc.)</w:t>
      </w:r>
    </w:p>
    <w:p>
      <w:pPr>
        <w:pStyle w:val="FirstParagraph"/>
      </w:pPr>
      <w:r>
        <w:rPr>
          <w:b/>
          <w:bCs/>
        </w:rPr>
        <w:t xml:space="preserve">Table 1: Typical Parameters of OneWeb Earth Station</w:t>
      </w:r>
      <w:r>
        <w:t xml:space="preserve"> </w:t>
      </w:r>
      <w:r>
        <w:t xml:space="preserve">| Parameter | Value |</w:t>
      </w:r>
      <w:r>
        <w:t xml:space="preserve"> </w:t>
      </w:r>
      <w:r>
        <w:t xml:space="preserve">| --- | --- |</w:t>
      </w:r>
      <w:r>
        <w:t xml:space="preserve"> </w:t>
      </w:r>
      <w:r>
        <w:t xml:space="preserve">| Antenna Type | Phased Array |</w:t>
      </w:r>
      <w:r>
        <w:t xml:space="preserve"> </w:t>
      </w:r>
      <w:r>
        <w:t xml:space="preserve">| Antenna Gain (Rx) |</w:t>
      </w:r>
      <w:r>
        <w:t xml:space="preserve"> </w:t>
      </w:r>
      <w:r>
        <w:rPr>
          <w:b/>
          <w:bCs/>
        </w:rPr>
        <w:t xml:space="preserve">~30-35 dBi</w:t>
      </w:r>
      <w:r>
        <w:t xml:space="preserve"> </w:t>
      </w:r>
      <w:r>
        <w:t xml:space="preserve">(for user terminal) |</w:t>
      </w:r>
      <w:r>
        <w:t xml:space="preserve"> </w:t>
      </w:r>
      <w:r>
        <w:t xml:space="preserve">| Antenna Gain (Tx) |</w:t>
      </w:r>
      <w:r>
        <w:t xml:space="preserve"> </w:t>
      </w:r>
      <w:r>
        <w:rPr>
          <w:b/>
          <w:bCs/>
        </w:rPr>
        <w:t xml:space="preserve">~30-35 dBi</w:t>
      </w:r>
      <w:r>
        <w:t xml:space="preserve"> </w:t>
      </w:r>
      <w:r>
        <w:t xml:space="preserve">(for user terminal) |</w:t>
      </w:r>
      <w:r>
        <w:t xml:space="preserve"> </w:t>
      </w:r>
      <w:r>
        <w:t xml:space="preserve">| Beamwidth (approx.) |</w:t>
      </w:r>
      <w:r>
        <w:t xml:space="preserve"> </w:t>
      </w:r>
      <w:r>
        <w:rPr>
          <w:b/>
          <w:bCs/>
        </w:rPr>
        <w:t xml:space="preserve">~5-10 degrees</w:t>
      </w:r>
      <w:r>
        <w:t xml:space="preserve"> </w:t>
      </w:r>
      <w:r>
        <w:t xml:space="preserve">|</w:t>
      </w:r>
      <w:r>
        <w:t xml:space="preserve"> </w:t>
      </w:r>
      <w:r>
        <w:t xml:space="preserve">| Noise Temperature |</w:t>
      </w:r>
      <w:r>
        <w:t xml:space="preserve"> </w:t>
      </w:r>
      <w:r>
        <w:rPr>
          <w:b/>
          <w:bCs/>
        </w:rPr>
        <w:t xml:space="preserve">~100-200 K</w:t>
      </w:r>
      <w:r>
        <w:t xml:space="preserve"> </w:t>
      </w:r>
      <w:r>
        <w:t xml:space="preserve">|</w:t>
      </w:r>
    </w:p>
    <w:p>
      <w:pPr>
        <w:pStyle w:val="BodyText"/>
      </w:pPr>
      <w:r>
        <w:rPr>
          <w:b/>
          <w:bCs/>
        </w:rPr>
        <w:t xml:space="preserve">Table 2: Typical Parameters of OneWeb Satellite Link</w:t>
      </w:r>
      <w:r>
        <w:t xml:space="preserve"> </w:t>
      </w:r>
      <w:r>
        <w:t xml:space="preserve">| Parameter | Value |</w:t>
      </w:r>
      <w:r>
        <w:t xml:space="preserve"> </w:t>
      </w:r>
      <w:r>
        <w:t xml:space="preserve">| --- | --- |</w:t>
      </w:r>
      <w:r>
        <w:t xml:space="preserve"> </w:t>
      </w:r>
      <w:r>
        <w:t xml:space="preserve">| Frequency Range (Downlink) |</w:t>
      </w:r>
      <w:r>
        <w:t xml:space="preserve"> </w:t>
      </w:r>
      <w:r>
        <w:rPr>
          <w:b/>
          <w:bCs/>
        </w:rPr>
        <w:t xml:space="preserve">10.7-12.7 GHz (Ku-band)</w:t>
      </w:r>
      <w:r>
        <w:t xml:space="preserve"> </w:t>
      </w:r>
      <w:r>
        <w:t xml:space="preserve">|</w:t>
      </w:r>
      <w:r>
        <w:t xml:space="preserve"> </w:t>
      </w:r>
      <w:r>
        <w:t xml:space="preserve">| Frequency Range (Uplink) |</w:t>
      </w:r>
      <w:r>
        <w:t xml:space="preserve"> </w:t>
      </w:r>
      <w:r>
        <w:rPr>
          <w:b/>
          <w:bCs/>
        </w:rPr>
        <w:t xml:space="preserve">14.0-14.5 GHz (Ku-band)</w:t>
      </w:r>
      <w:r>
        <w:t xml:space="preserve"> </w:t>
      </w:r>
      <w:r>
        <w:t xml:space="preserve">|</w:t>
      </w:r>
      <w:r>
        <w:t xml:space="preserve"> </w:t>
      </w:r>
      <w:r>
        <w:t xml:space="preserve">| Bandwidth per Channel |</w:t>
      </w:r>
      <w:r>
        <w:t xml:space="preserve"> </w:t>
      </w:r>
      <w:r>
        <w:rPr>
          <w:b/>
          <w:bCs/>
        </w:rPr>
        <w:t xml:space="preserve">~250-500 MHz</w:t>
      </w:r>
      <w:r>
        <w:t xml:space="preserve"> </w:t>
      </w:r>
      <w:r>
        <w:t xml:space="preserve">|</w:t>
      </w:r>
      <w:r>
        <w:t xml:space="preserve"> </w:t>
      </w:r>
      <w:r>
        <w:t xml:space="preserve">| Direction | Bidirectional (Satellite-to-Earth and Earth-to-Satellite) |</w:t>
      </w:r>
      <w:r>
        <w:t xml:space="preserve"> </w:t>
      </w:r>
      <w:r>
        <w:t xml:space="preserve">| Satellite EIRP (per beam) |</w:t>
      </w:r>
      <w:r>
        <w:t xml:space="preserve"> </w:t>
      </w:r>
      <w:r>
        <w:rPr>
          <w:b/>
          <w:bCs/>
        </w:rPr>
        <w:t xml:space="preserve">~50-60 dBW</w:t>
      </w:r>
      <w:r>
        <w:t xml:space="preserve"> </w:t>
      </w:r>
      <w:r>
        <w:t xml:space="preserve">|</w:t>
      </w:r>
      <w:r>
        <w:t xml:space="preserve"> </w:t>
      </w:r>
      <w:r>
        <w:t xml:space="preserve">| Modulation Scheme | QPSK, 8PSK, 16APSK |</w:t>
      </w:r>
    </w:p>
    <w:bookmarkEnd w:id="13"/>
    <w:bookmarkEnd w:id="14"/>
    <w:bookmarkStart w:id="19" w:name="Xc275cd0f315e0d7cad4f1834410e3895b7ba5b2"/>
    <w:p>
      <w:pPr>
        <w:pStyle w:val="Heading2"/>
      </w:pPr>
      <w:r>
        <w:t xml:space="preserve">3. Simulation Results Analysis</w:t>
      </w:r>
    </w:p>
    <w:bookmarkStart w:id="15" w:name="X72ae717ca62f37e7ce0472a4788721ed8779575"/>
    <w:p>
      <w:pPr>
        <w:pStyle w:val="Heading3"/>
      </w:pPr>
      <w:r>
        <w:t xml:space="preserve">3.1 Indicator Definition</w:t>
      </w:r>
    </w:p>
    <w:p>
      <w:pPr>
        <w:pStyle w:val="Compact"/>
        <w:numPr>
          <w:ilvl w:val="0"/>
          <w:numId w:val="1003"/>
        </w:numPr>
      </w:pPr>
      <w:r>
        <w:t xml:space="preserve">Clearly define</w:t>
      </w:r>
      <w:r>
        <w:t xml:space="preserve"> </w:t>
      </w:r>
      <w:r>
        <w:rPr>
          <w:b/>
          <w:bCs/>
        </w:rPr>
        <w:t xml:space="preserve">CINR</w:t>
      </w:r>
      <w:r>
        <w:t xml:space="preserve"> </w:t>
      </w:r>
      <w:r>
        <w:t xml:space="preserve">and explain its significance in satellite communications.</w:t>
      </w:r>
    </w:p>
    <w:p>
      <w:pPr>
        <w:pStyle w:val="Compact"/>
        <w:numPr>
          <w:ilvl w:val="0"/>
          <w:numId w:val="1003"/>
        </w:numPr>
      </w:pPr>
      <w:r>
        <w:t xml:space="preserve">Briefly describe how this indicator is measured and what it represents for system performance.</w:t>
      </w:r>
      <w:r>
        <w:t xml:space="preserve"> </w:t>
      </w:r>
      <w:r>
        <w:rPr>
          <w:b/>
          <w:bCs/>
        </w:rPr>
        <w:t xml:space="preserve">CINR (Carrier-to-Interference-plus-Noise Ratio)</w:t>
      </w:r>
      <w:r>
        <w:t xml:space="preserve"> </w:t>
      </w:r>
      <w:r>
        <w:t xml:space="preserve">is a crucial metric in satellite communications that quantifies the strength of the desired signal (carrier) relative to the combined power of interfering signals and noise. It is measured in decibels (dB). A higher CINR value indicates a stronger, clearer signal, leading to better communication quality, lower bit error rates (BER), and more reliable data transmission. It directly reflects the overall quality of the received signal and the system's resilience to both internal (e.g., adjacent channel) and external interference, as well as thermal noise.</w:t>
      </w:r>
    </w:p>
    <w:bookmarkEnd w:id="15"/>
    <w:bookmarkStart w:id="16" w:name="X8c5719d8f9af7742fd4c2098d28663b3ad6ef8f"/>
    <w:p>
      <w:pPr>
        <w:pStyle w:val="Heading3"/>
      </w:pPr>
      <w:r>
        <w:t xml:space="preserve">3.2 Data Description</w:t>
      </w:r>
    </w:p>
    <w:p>
      <w:pPr>
        <w:pStyle w:val="Compact"/>
        <w:numPr>
          <w:ilvl w:val="0"/>
          <w:numId w:val="1004"/>
        </w:numPr>
      </w:pPr>
      <w:r>
        <w:t xml:space="preserve">Summarize the key features of the plot:</w:t>
      </w:r>
    </w:p>
    <w:p>
      <w:pPr>
        <w:pStyle w:val="Compact"/>
        <w:numPr>
          <w:ilvl w:val="1"/>
          <w:numId w:val="1005"/>
        </w:numPr>
      </w:pPr>
      <w:r>
        <w:rPr>
          <w:b/>
          <w:bCs/>
        </w:rPr>
        <w:t xml:space="preserve">Value Range:</w:t>
      </w:r>
      <w:r>
        <w:t xml:space="preserve"> </w:t>
      </w:r>
      <w:r>
        <w:t xml:space="preserve">State the minimum, maximum, and average values observed.</w:t>
      </w:r>
    </w:p>
    <w:p>
      <w:pPr>
        <w:pStyle w:val="Compact"/>
        <w:numPr>
          <w:ilvl w:val="1"/>
          <w:numId w:val="1005"/>
        </w:numPr>
      </w:pPr>
      <w:r>
        <w:rPr>
          <w:b/>
          <w:bCs/>
        </w:rPr>
        <w:t xml:space="preserve">Trend:</w:t>
      </w:r>
      <w:r>
        <w:t xml:space="preserve"> </w:t>
      </w:r>
      <w:r>
        <w:t xml:space="preserve">Describe the overall trend (e.g., stable, increasing, fluctuating).</w:t>
      </w:r>
    </w:p>
    <w:p>
      <w:pPr>
        <w:pStyle w:val="Compact"/>
        <w:numPr>
          <w:ilvl w:val="1"/>
          <w:numId w:val="1005"/>
        </w:numPr>
      </w:pPr>
      <w:r>
        <w:rPr>
          <w:b/>
          <w:bCs/>
        </w:rPr>
        <w:t xml:space="preserve">Key Features:</w:t>
      </w:r>
      <w:r>
        <w:t xml:space="preserve"> </w:t>
      </w:r>
      <w:r>
        <w:t xml:space="preserve">Highlight any peaks, troughs, or notable patterns.</w:t>
      </w:r>
    </w:p>
    <w:p>
      <w:pPr>
        <w:pStyle w:val="Compact"/>
        <w:numPr>
          <w:ilvl w:val="0"/>
          <w:numId w:val="1004"/>
        </w:numPr>
      </w:pPr>
      <w:r>
        <w:t xml:space="preserve">If possible, present the value range and statistics in a small markdown table.</w:t>
      </w:r>
      <w:r>
        <w:t xml:space="preserve"> </w:t>
      </w:r>
      <w:r>
        <w:t xml:space="preserve">The plot displays the CINR values for the</w:t>
      </w:r>
      <w:r>
        <w:t xml:space="preserve"> </w:t>
      </w:r>
      <w:r>
        <w:rPr>
          <w:b/>
          <w:bCs/>
        </w:rPr>
        <w:t xml:space="preserve">Ground Terminal System</w:t>
      </w:r>
      <w:r>
        <w:t xml:space="preserve"> </w:t>
      </w:r>
      <w:r>
        <w:t xml:space="preserve">over a</w:t>
      </w:r>
      <w:r>
        <w:t xml:space="preserve"> </w:t>
      </w:r>
      <w:r>
        <w:rPr>
          <w:b/>
          <w:bCs/>
        </w:rPr>
        <w:t xml:space="preserve">24-hour</w:t>
      </w:r>
      <w:r>
        <w:t xml:space="preserve"> </w:t>
      </w:r>
      <w:r>
        <w:t xml:space="preserve">simulation period. The CINR values consistently remained within a tight range, indicating stable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Minimum</w:t>
            </w:r>
          </w:p>
        </w:tc>
        <w:tc>
          <w:tcPr/>
          <w:p>
            <w:pPr>
              <w:pStyle w:val="Compact"/>
            </w:pPr>
            <w:r>
              <w:rPr>
                <w:b/>
                <w:bCs/>
              </w:rPr>
              <w:t xml:space="preserve">Maximum</w:t>
            </w:r>
          </w:p>
        </w:tc>
        <w:tc>
          <w:tcPr/>
          <w:p>
            <w:pPr>
              <w:pStyle w:val="Compact"/>
            </w:pPr>
            <w:r>
              <w:rPr>
                <w:b/>
                <w:bCs/>
              </w:rPr>
              <w:t xml:space="preserve">Average</w:t>
            </w:r>
          </w:p>
        </w:tc>
      </w:tr>
      <w:tr>
        <w:tc>
          <w:tcPr/>
          <w:p>
            <w:pPr>
              <w:pStyle w:val="Compact"/>
            </w:pPr>
            <w:r>
              <w:rPr>
                <w:b/>
                <w:bCs/>
              </w:rPr>
              <w:t xml:space="preserve">CINR</w:t>
            </w:r>
          </w:p>
        </w:tc>
        <w:tc>
          <w:tcPr/>
          <w:p>
            <w:pPr>
              <w:pStyle w:val="Compact"/>
            </w:pPr>
            <w:r>
              <w:rPr>
                <w:b/>
                <w:bCs/>
              </w:rPr>
              <w:t xml:space="preserve">57.5 dB</w:t>
            </w:r>
          </w:p>
        </w:tc>
        <w:tc>
          <w:tcPr/>
          <w:p>
            <w:pPr>
              <w:pStyle w:val="Compact"/>
            </w:pPr>
            <w:r>
              <w:rPr>
                <w:b/>
                <w:bCs/>
              </w:rPr>
              <w:t xml:space="preserve">62.5 dB</w:t>
            </w:r>
          </w:p>
        </w:tc>
        <w:tc>
          <w:tcPr/>
          <w:p>
            <w:pPr>
              <w:pStyle w:val="Compact"/>
            </w:pPr>
            <w:r>
              <w:rPr>
                <w:b/>
                <w:bCs/>
              </w:rPr>
              <w:t xml:space="preserve">60.0 dB</w:t>
            </w:r>
          </w:p>
        </w:tc>
      </w:tr>
    </w:tbl>
    <w:p>
      <w:pPr>
        <w:pStyle w:val="BodyText"/>
      </w:pPr>
      <w:r>
        <w:t xml:space="preserve">The overall trend shows continuous, relatively minor fluctuations without any significant drops, sustained low periods, or distinct patterns indicating interference events.</w:t>
      </w:r>
    </w:p>
    <w:bookmarkEnd w:id="16"/>
    <w:bookmarkStart w:id="17" w:name="X61c77114061d157b2edc1ab2e1f429cd7b8be96"/>
    <w:p>
      <w:pPr>
        <w:pStyle w:val="Heading3"/>
      </w:pPr>
      <w:r>
        <w:t xml:space="preserve">3.3 Cause Analysis</w:t>
      </w:r>
    </w:p>
    <w:p>
      <w:pPr>
        <w:pStyle w:val="Compact"/>
        <w:numPr>
          <w:ilvl w:val="0"/>
          <w:numId w:val="1006"/>
        </w:numPr>
      </w:pPr>
      <w:r>
        <w:t xml:space="preserve">Analyze the possible reasons for the observed data characteristics, such as:</w:t>
      </w:r>
    </w:p>
    <w:p>
      <w:pPr>
        <w:pStyle w:val="Compact"/>
        <w:numPr>
          <w:ilvl w:val="1"/>
          <w:numId w:val="1007"/>
        </w:numPr>
      </w:pPr>
      <w:r>
        <w:t xml:space="preserve">Satellite movement and handover events</w:t>
      </w:r>
    </w:p>
    <w:p>
      <w:pPr>
        <w:pStyle w:val="Compact"/>
        <w:numPr>
          <w:ilvl w:val="1"/>
          <w:numId w:val="1007"/>
        </w:numPr>
      </w:pPr>
      <w:r>
        <w:t xml:space="preserve">Interference from other satellites or terrestrial sources</w:t>
      </w:r>
    </w:p>
    <w:p>
      <w:pPr>
        <w:pStyle w:val="Compact"/>
        <w:numPr>
          <w:ilvl w:val="1"/>
          <w:numId w:val="1007"/>
        </w:numPr>
      </w:pPr>
      <w:r>
        <w:t xml:space="preserve">Atmospheric or environmental effects</w:t>
      </w:r>
    </w:p>
    <w:p>
      <w:pPr>
        <w:pStyle w:val="Compact"/>
        <w:numPr>
          <w:ilvl w:val="1"/>
          <w:numId w:val="1007"/>
        </w:numPr>
      </w:pPr>
      <w:r>
        <w:t xml:space="preserve">Ground terminal configuration or operational changes</w:t>
      </w:r>
    </w:p>
    <w:p>
      <w:pPr>
        <w:pStyle w:val="Compact"/>
        <w:numPr>
          <w:ilvl w:val="0"/>
          <w:numId w:val="1006"/>
        </w:numPr>
      </w:pPr>
      <w:r>
        <w:t xml:space="preserve">Use bullet points for clarity.</w:t>
      </w:r>
    </w:p>
    <w:p>
      <w:pPr>
        <w:pStyle w:val="Compact"/>
        <w:numPr>
          <w:ilvl w:val="0"/>
          <w:numId w:val="1006"/>
        </w:numPr>
      </w:pPr>
      <w:r>
        <w:t xml:space="preserve">The observed fluctuations are primarily attributed to</w:t>
      </w:r>
      <w:r>
        <w:t xml:space="preserve"> </w:t>
      </w:r>
      <w:r>
        <w:rPr>
          <w:b/>
          <w:bCs/>
        </w:rPr>
        <w:t xml:space="preserve">normal system noise</w:t>
      </w:r>
      <w:r>
        <w:t xml:space="preserve"> </w:t>
      </w:r>
      <w:r>
        <w:t xml:space="preserve">and</w:t>
      </w:r>
      <w:r>
        <w:t xml:space="preserve"> </w:t>
      </w:r>
      <w:r>
        <w:rPr>
          <w:b/>
          <w:bCs/>
        </w:rPr>
        <w:t xml:space="preserve">minor variations in signal path conditions</w:t>
      </w:r>
      <w:r>
        <w:t xml:space="preserve">.</w:t>
      </w:r>
    </w:p>
    <w:p>
      <w:pPr>
        <w:pStyle w:val="Compact"/>
        <w:numPr>
          <w:ilvl w:val="0"/>
          <w:numId w:val="1006"/>
        </w:numPr>
      </w:pPr>
      <w:r>
        <w:rPr>
          <w:b/>
          <w:bCs/>
        </w:rPr>
        <w:t xml:space="preserve">Satellite movement</w:t>
      </w:r>
      <w:r>
        <w:t xml:space="preserve">: As LEO satellites move across the sky, there are continuous changes in link geometry (e.g., elevation angle, range), which can cause slight variations in signal strength.</w:t>
      </w:r>
    </w:p>
    <w:p>
      <w:pPr>
        <w:pStyle w:val="Compact"/>
        <w:numPr>
          <w:ilvl w:val="0"/>
          <w:numId w:val="1006"/>
        </w:numPr>
      </w:pPr>
      <w:r>
        <w:rPr>
          <w:b/>
          <w:bCs/>
        </w:rPr>
        <w:t xml:space="preserve">Atmospheric effects</w:t>
      </w:r>
      <w:r>
        <w:t xml:space="preserve">: Minor changes in atmospheric absorption or scintillation could contribute to small, short-term signal fluctuations.</w:t>
      </w:r>
    </w:p>
    <w:p>
      <w:pPr>
        <w:pStyle w:val="Compact"/>
        <w:numPr>
          <w:ilvl w:val="0"/>
          <w:numId w:val="1006"/>
        </w:numPr>
      </w:pPr>
      <w:r>
        <w:rPr>
          <w:b/>
          <w:bCs/>
        </w:rPr>
        <w:t xml:space="preserve">Lack of significant interference</w:t>
      </w:r>
      <w:r>
        <w:t xml:space="preserve">: The absence of sharp drops or prolonged low CINR values indicates that there was</w:t>
      </w:r>
      <w:r>
        <w:t xml:space="preserve"> </w:t>
      </w:r>
      <w:r>
        <w:rPr>
          <w:b/>
          <w:bCs/>
        </w:rPr>
        <w:t xml:space="preserve">no significant interference</w:t>
      </w:r>
      <w:r>
        <w:t xml:space="preserve"> </w:t>
      </w:r>
      <w:r>
        <w:t xml:space="preserve">from other satellites or terrestrial sources during the simulation period.</w:t>
      </w:r>
    </w:p>
    <w:bookmarkEnd w:id="17"/>
    <w:bookmarkStart w:id="18" w:name="X3492afed8e8481d7bb534afe63b6ce7aba0150c"/>
    <w:p>
      <w:pPr>
        <w:pStyle w:val="Heading3"/>
      </w:pPr>
      <w:r>
        <w:t xml:space="preserve">3.4 Standard Comparison</w:t>
      </w:r>
    </w:p>
    <w:p>
      <w:pPr>
        <w:pStyle w:val="Compact"/>
        <w:numPr>
          <w:ilvl w:val="0"/>
          <w:numId w:val="1008"/>
        </w:numPr>
      </w:pPr>
      <w:r>
        <w:t xml:space="preserve">Compare the observed values to relevant ITU or industry standards (e.g., ITU-R S.1503 for CINR).</w:t>
      </w:r>
    </w:p>
    <w:p>
      <w:pPr>
        <w:pStyle w:val="Compact"/>
        <w:numPr>
          <w:ilvl w:val="0"/>
          <w:numId w:val="1008"/>
        </w:numPr>
      </w:pPr>
      <w:r>
        <w:t xml:space="preserve">Clearly state whether the observed performance meets, exceeds, or falls short of the required thresholds.</w:t>
      </w:r>
    </w:p>
    <w:p>
      <w:pPr>
        <w:pStyle w:val="Compact"/>
        <w:numPr>
          <w:ilvl w:val="0"/>
          <w:numId w:val="1008"/>
        </w:numPr>
      </w:pPr>
      <w:r>
        <w:t xml:space="preserve">If applicable, discuss the implications of any deviations from the standard.</w:t>
      </w:r>
      <w:r>
        <w:t xml:space="preserve"> </w:t>
      </w:r>
      <w:r>
        <w:t xml:space="preserve">While</w:t>
      </w:r>
      <w:r>
        <w:t xml:space="preserve"> </w:t>
      </w:r>
      <w:r>
        <w:rPr>
          <w:b/>
          <w:bCs/>
        </w:rPr>
        <w:t xml:space="preserve">ITU-R S.1503</w:t>
      </w:r>
      <w:r>
        <w:t xml:space="preserve"> </w:t>
      </w:r>
      <w:r>
        <w:t xml:space="preserve">provides methodologies for assessing interference potential and calculating EPFD/PFD limits for system coordination, it does not specify a universal minimum CINR threshold for effective link operation of user terminals. However, from an industry perspective, CINR values consistently ranging between</w:t>
      </w:r>
      <w:r>
        <w:t xml:space="preserve"> </w:t>
      </w:r>
      <w:r>
        <w:rPr>
          <w:b/>
          <w:bCs/>
        </w:rPr>
        <w:t xml:space="preserve">57.5 dB</w:t>
      </w:r>
      <w:r>
        <w:t xml:space="preserve"> </w:t>
      </w:r>
      <w:r>
        <w:t xml:space="preserve">and</w:t>
      </w:r>
      <w:r>
        <w:t xml:space="preserve"> </w:t>
      </w:r>
      <w:r>
        <w:rPr>
          <w:b/>
          <w:bCs/>
        </w:rPr>
        <w:t xml:space="preserve">62.5 dB</w:t>
      </w:r>
      <w:r>
        <w:t xml:space="preserve"> </w:t>
      </w:r>
      <w:r>
        <w:t xml:space="preserve">are considered</w:t>
      </w:r>
      <w:r>
        <w:t xml:space="preserve"> </w:t>
      </w:r>
      <w:r>
        <w:rPr>
          <w:b/>
          <w:bCs/>
        </w:rPr>
        <w:t xml:space="preserve">excellent</w:t>
      </w:r>
      <w:r>
        <w:t xml:space="preserve"> </w:t>
      </w:r>
      <w:r>
        <w:t xml:space="preserve">and significantly exceed typical operational thresholds required for reliable broadband communication (which often fall in the range of</w:t>
      </w:r>
      <w:r>
        <w:t xml:space="preserve"> </w:t>
      </w:r>
      <w:r>
        <w:rPr>
          <w:b/>
          <w:bCs/>
        </w:rPr>
        <w:t xml:space="preserve">5-20 dB</w:t>
      </w:r>
      <w:r>
        <w:t xml:space="preserve"> </w:t>
      </w:r>
      <w:r>
        <w:t xml:space="preserve">depending on modulation/coding). The observed performance</w:t>
      </w:r>
      <w:r>
        <w:t xml:space="preserve"> </w:t>
      </w:r>
      <w:r>
        <w:rPr>
          <w:b/>
          <w:bCs/>
        </w:rPr>
        <w:t xml:space="preserve">exceeds</w:t>
      </w:r>
      <w:r>
        <w:t xml:space="preserve"> </w:t>
      </w:r>
      <w:r>
        <w:t xml:space="preserve">general industry expectations for robust link quality, indicating a highly stable and interference-free operating environment for the</w:t>
      </w:r>
      <w:r>
        <w:t xml:space="preserve"> </w:t>
      </w:r>
      <w:r>
        <w:rPr>
          <w:b/>
          <w:bCs/>
        </w:rPr>
        <w:t xml:space="preserve">Ground Terminal System</w:t>
      </w:r>
      <w:r>
        <w:t xml:space="preserve"> </w:t>
      </w:r>
      <w:r>
        <w:t xml:space="preserve">during the simulation.</w:t>
      </w:r>
    </w:p>
    <w:bookmarkEnd w:id="18"/>
    <w:bookmarkEnd w:id="19"/>
    <w:bookmarkStart w:id="22" w:name="X0541a3aece7435bc5454458054138a058b67910"/>
    <w:p>
      <w:pPr>
        <w:pStyle w:val="Heading2"/>
      </w:pPr>
      <w:r>
        <w:t xml:space="preserve">4. Interference Simulation Conclusion</w:t>
      </w:r>
    </w:p>
    <w:bookmarkStart w:id="20" w:name="X42dfa7d832436b11f503c635a1677e360c2d22d"/>
    <w:p>
      <w:pPr>
        <w:pStyle w:val="Heading3"/>
      </w:pPr>
      <w:r>
        <w:t xml:space="preserve">4.1 Summary</w:t>
      </w:r>
    </w:p>
    <w:p>
      <w:pPr>
        <w:pStyle w:val="FirstParagraph"/>
      </w:pPr>
      <w:r>
        <w:t xml:space="preserve">Based on the analysis, fill in a row in the summary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Analysis Dimension</w:t>
            </w:r>
          </w:p>
        </w:tc>
        <w:tc>
          <w:tcPr/>
          <w:p>
            <w:pPr>
              <w:pStyle w:val="Compact"/>
            </w:pPr>
            <w:r>
              <w:t xml:space="preserve">Key Indicator</w:t>
            </w:r>
          </w:p>
        </w:tc>
        <w:tc>
          <w:tcPr/>
          <w:p>
            <w:pPr>
              <w:pStyle w:val="Compact"/>
            </w:pPr>
            <w:r>
              <w:t xml:space="preserve">Simulation Result Range</w:t>
            </w:r>
          </w:p>
        </w:tc>
        <w:tc>
          <w:tcPr/>
          <w:p>
            <w:pPr>
              <w:pStyle w:val="Compact"/>
            </w:pPr>
            <w:r>
              <w:t xml:space="preserve">ITU Standard Compliance</w:t>
            </w:r>
          </w:p>
        </w:tc>
      </w:tr>
      <w:tr>
        <w:tc>
          <w:tcPr/>
          <w:p>
            <w:pPr>
              <w:pStyle w:val="Compact"/>
            </w:pPr>
            <w:r>
              <w:rPr>
                <w:b/>
                <w:bCs/>
              </w:rPr>
              <w:t xml:space="preserve">Ground Terminal System</w:t>
            </w:r>
          </w:p>
        </w:tc>
        <w:tc>
          <w:tcPr/>
          <w:p>
            <w:pPr>
              <w:pStyle w:val="Compact"/>
            </w:pPr>
            <w:r>
              <w:rPr>
                <w:b/>
                <w:bCs/>
              </w:rPr>
              <w:t xml:space="preserve">CINR</w:t>
            </w:r>
          </w:p>
        </w:tc>
        <w:tc>
          <w:tcPr/>
          <w:p>
            <w:pPr>
              <w:pStyle w:val="Compact"/>
            </w:pPr>
            <w:r>
              <w:rPr>
                <w:b/>
                <w:bCs/>
              </w:rPr>
              <w:t xml:space="preserve">[57.5, 62.5] dB</w:t>
            </w:r>
          </w:p>
        </w:tc>
        <w:tc>
          <w:tcPr/>
          <w:p>
            <w:pPr>
              <w:pStyle w:val="Compact"/>
            </w:pPr>
            <w:r>
              <w:rPr>
                <w:b/>
                <w:bCs/>
              </w:rPr>
              <w:t xml:space="preserve">Not Applicable</w:t>
            </w:r>
          </w:p>
        </w:tc>
      </w:tr>
    </w:tbl>
    <w:bookmarkEnd w:id="20"/>
    <w:bookmarkStart w:id="21" w:name="X4a81996fb08db700071346c9c9a8eabe129bb5a"/>
    <w:p>
      <w:pPr>
        <w:pStyle w:val="Heading3"/>
      </w:pPr>
      <w:r>
        <w:t xml:space="preserve">4.2 Conclusion</w:t>
      </w:r>
    </w:p>
    <w:p>
      <w:pPr>
        <w:pStyle w:val="FirstParagraph"/>
      </w:pPr>
      <w:r>
        <w:t xml:space="preserve">Based on the analysis of the current chart, provide a clear and concise final conclusion. The conclusion should cover:</w:t>
      </w:r>
    </w:p>
    <w:p>
      <w:pPr>
        <w:pStyle w:val="Compact"/>
        <w:numPr>
          <w:ilvl w:val="0"/>
          <w:numId w:val="1009"/>
        </w:numPr>
      </w:pPr>
      <w:r>
        <w:rPr>
          <w:b/>
          <w:bCs/>
        </w:rPr>
        <w:t xml:space="preserve">Link Quality Assessment:</w:t>
      </w:r>
      <w:r>
        <w:t xml:space="preserve"> </w:t>
      </w:r>
      <w:r>
        <w:t xml:space="preserve">The performance of the</w:t>
      </w:r>
      <w:r>
        <w:t xml:space="preserve"> </w:t>
      </w:r>
      <w:r>
        <w:rPr>
          <w:rStyle w:val="VerbatimChar"/>
        </w:rPr>
        <w:t xml:space="preserve">{system_name}</w:t>
      </w:r>
      <w:r>
        <w:t xml:space="preserve"> </w:t>
      </w:r>
      <w:r>
        <w:t xml:space="preserve">system under this indicator (e.g., stable link, high quality/periodic degradation, etc.).</w:t>
      </w:r>
    </w:p>
    <w:p>
      <w:pPr>
        <w:pStyle w:val="Compact"/>
        <w:numPr>
          <w:ilvl w:val="0"/>
          <w:numId w:val="1009"/>
        </w:numPr>
      </w:pPr>
      <w:r>
        <w:rPr>
          <w:b/>
          <w:bCs/>
        </w:rPr>
        <w:t xml:space="preserve">Preliminary Compatibility Judgment:</w:t>
      </w:r>
      <w:r>
        <w:t xml:space="preserve"> </w:t>
      </w:r>
      <w:r>
        <w:t xml:space="preserve">Based on this indicator, preliminarily judge whether the</w:t>
      </w:r>
      <w:r>
        <w:t xml:space="preserve"> </w:t>
      </w:r>
      <w:r>
        <w:rPr>
          <w:rStyle w:val="VerbatimChar"/>
        </w:rPr>
        <w:t xml:space="preserve">{system_name}</w:t>
      </w:r>
      <w:r>
        <w:t xml:space="preserve"> </w:t>
      </w:r>
      <w:r>
        <w:t xml:space="preserve">system meets ITU interference protection standards and whether there are risks that require further attention.</w:t>
      </w:r>
      <w:r>
        <w:t xml:space="preserve"> </w:t>
      </w:r>
      <w:r>
        <w:rPr>
          <w:b/>
          <w:bCs/>
        </w:rPr>
        <w:t xml:space="preserve">Link Quality Assessment</w:t>
      </w:r>
      <w:r>
        <w:t xml:space="preserve">: The</w:t>
      </w:r>
      <w:r>
        <w:t xml:space="preserve"> </w:t>
      </w:r>
      <w:r>
        <w:rPr>
          <w:b/>
          <w:bCs/>
        </w:rPr>
        <w:t xml:space="preserve">Ground Terminal System</w:t>
      </w:r>
      <w:r>
        <w:t xml:space="preserve"> </w:t>
      </w:r>
      <w:r>
        <w:t xml:space="preserve">demonstrates</w:t>
      </w:r>
      <w:r>
        <w:t xml:space="preserve"> </w:t>
      </w:r>
      <w:r>
        <w:rPr>
          <w:b/>
          <w:bCs/>
        </w:rPr>
        <w:t xml:space="preserve">exceptionally high and stable link quality</w:t>
      </w:r>
      <w:r>
        <w:t xml:space="preserve"> </w:t>
      </w:r>
      <w:r>
        <w:t xml:space="preserve">as indicated by CINR values consistently well above typical operational requirements throughout the</w:t>
      </w:r>
      <w:r>
        <w:t xml:space="preserve"> </w:t>
      </w:r>
      <w:r>
        <w:rPr>
          <w:b/>
          <w:bCs/>
        </w:rPr>
        <w:t xml:space="preserve">24-hour</w:t>
      </w:r>
      <w:r>
        <w:t xml:space="preserve"> </w:t>
      </w:r>
      <w:r>
        <w:t xml:space="preserve">simulation. There is</w:t>
      </w:r>
      <w:r>
        <w:t xml:space="preserve"> </w:t>
      </w:r>
      <w:r>
        <w:rPr>
          <w:b/>
          <w:bCs/>
        </w:rPr>
        <w:t xml:space="preserve">no evidence of degradation</w:t>
      </w:r>
      <w:r>
        <w:t xml:space="preserve"> </w:t>
      </w:r>
      <w:r>
        <w:t xml:space="preserve">due to interference.</w:t>
      </w:r>
      <w:r>
        <w:t xml:space="preserve"> </w:t>
      </w:r>
      <w:r>
        <w:rPr>
          <w:b/>
          <w:bCs/>
        </w:rPr>
        <w:t xml:space="preserve">Preliminary Compatibility Judgment</w:t>
      </w:r>
      <w:r>
        <w:t xml:space="preserve">: Based on the observed CINR, the system exhibits</w:t>
      </w:r>
      <w:r>
        <w:t xml:space="preserve"> </w:t>
      </w:r>
      <w:r>
        <w:rPr>
          <w:b/>
          <w:bCs/>
        </w:rPr>
        <w:t xml:space="preserve">excellent self-compatibility</w:t>
      </w:r>
      <w:r>
        <w:t xml:space="preserve"> </w:t>
      </w:r>
      <w:r>
        <w:t xml:space="preserve">and appears to be operating</w:t>
      </w:r>
      <w:r>
        <w:t xml:space="preserve"> </w:t>
      </w:r>
      <w:r>
        <w:rPr>
          <w:b/>
          <w:bCs/>
        </w:rPr>
        <w:t xml:space="preserve">free from significant interference</w:t>
      </w:r>
      <w:r>
        <w:t xml:space="preserve">. While direct comparison to specific ITU minimum CINR standards is</w:t>
      </w:r>
      <w:r>
        <w:t xml:space="preserve"> </w:t>
      </w:r>
      <w:r>
        <w:rPr>
          <w:b/>
          <w:bCs/>
        </w:rPr>
        <w:t xml:space="preserve">Not Applicable</w:t>
      </w:r>
      <w:r>
        <w:t xml:space="preserve"> </w:t>
      </w:r>
      <w:r>
        <w:t xml:space="preserve">for this metric, the high CINR values strongly suggest that the</w:t>
      </w:r>
      <w:r>
        <w:t xml:space="preserve"> </w:t>
      </w:r>
      <w:r>
        <w:rPr>
          <w:b/>
          <w:bCs/>
        </w:rPr>
        <w:t xml:space="preserve">Ground Terminal System</w:t>
      </w:r>
      <w:r>
        <w:t xml:space="preserve"> </w:t>
      </w:r>
      <w:r>
        <w:t xml:space="preserve">is capable of maintaining robust communications, thus contributing positively to overall system compatibility and minimizing risks of interference for its own operations.</w:t>
      </w:r>
    </w:p>
    <w:bookmarkEnd w:id="21"/>
    <w:bookmarkEnd w:id="22"/>
    <w:bookmarkStart w:id="26" w:name="figure"/>
    <w:p>
      <w:pPr>
        <w:pStyle w:val="Heading2"/>
      </w:pPr>
      <w:r>
        <w:t xml:space="preserve">Figure</w:t>
      </w:r>
    </w:p>
    <w:p>
      <w:pPr>
        <w:pStyle w:val="FirstParagraph"/>
      </w:pPr>
      <w:r>
        <w:drawing>
          <wp:inline>
            <wp:extent cx="5334000" cy="3955025"/>
            <wp:effectExtent b="0" l="0" r="0" t="0"/>
            <wp:docPr descr="Interference figure" title="" id="24" name="Picture"/>
            <a:graphic>
              <a:graphicData uri="http://schemas.openxmlformats.org/drawingml/2006/picture">
                <pic:pic>
                  <pic:nvPicPr>
                    <pic:cNvPr descr="./data/total/oneweb_total_earth_cinr.png" id="25" name="Picture"/>
                    <pic:cNvPicPr>
                      <a:picLocks noChangeArrowheads="1" noChangeAspect="1"/>
                    </pic:cNvPicPr>
                  </pic:nvPicPr>
                  <pic:blipFill>
                    <a:blip r:embed="rId23"/>
                    <a:stretch>
                      <a:fillRect/>
                    </a:stretch>
                  </pic:blipFill>
                  <pic:spPr bwMode="auto">
                    <a:xfrm>
                      <a:off x="0" y="0"/>
                      <a:ext cx="5334000" cy="3955025"/>
                    </a:xfrm>
                    <a:prstGeom prst="rect">
                      <a:avLst/>
                    </a:prstGeom>
                    <a:noFill/>
                    <a:ln w="9525">
                      <a:noFill/>
                      <a:headEnd/>
                      <a:tailEnd/>
                    </a:ln>
                  </pic:spPr>
                </pic:pic>
              </a:graphicData>
            </a:graphic>
          </wp:inline>
        </w:drawing>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2025-12-10T07:45:18Z</dcterms:created>
  <dcterms:modified xsi:type="dcterms:W3CDTF">2025-12-10T07:45:18Z</dcterms:modified>
</cp:coreProperties>
</file>

<file path=docProps/custom.xml><?xml version="1.0" encoding="utf-8"?>
<Properties xmlns="http://schemas.openxmlformats.org/officeDocument/2006/custom-properties" xmlns:vt="http://schemas.openxmlformats.org/officeDocument/2006/docPropsVTypes"/>
</file>