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Webpack相关热模块更新（HMR）1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-dev-server虽然能在本地起一个服务器，还能帮助我们自动打开浏览器刷新页面，但是却还是得刷新，及时这个过程是自动的，但是如果我们编写的是一些动态代码，比如需要触发事件添加样式。那么每一次刷新就会使之前触发事件后的样式消失，需要重新触发样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现在我们有更方便的方式，浏览器连刷新都不刷新，直接在现有页面的基础上修改页面渲染。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比较简单，引用并使用一个webpack自带的插件，并且为devServer增加属性hot属性，配置成true即可。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007745"/>
            <wp:effectExtent l="0" t="0" r="698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配置hot与hotOnly之后引入webpack。就是为了使用webpack自带的Webpack.HotModuleReplacementPlugin()插件。</w:t>
      </w:r>
    </w:p>
    <w:p>
      <w:r>
        <w:drawing>
          <wp:inline distT="0" distB="0" distL="114300" distR="114300">
            <wp:extent cx="5271135" cy="855345"/>
            <wp:effectExtent l="0" t="0" r="571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67200" cy="1466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之后重启webpack-dev-server（需要重启服务器才能应用新的webpack</w:t>
      </w:r>
      <w:bookmarkStart w:id="0" w:name="_GoBack"/>
      <w:bookmarkEnd w:id="0"/>
      <w:r>
        <w:rPr>
          <w:rFonts w:hint="eastAsia"/>
          <w:lang w:val="en-US" w:eastAsia="zh-CN"/>
        </w:rPr>
        <w:t>配置项）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再次运行npm run start，自动打开浏览器就是HMR模式了。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下面是例子：</w:t>
      </w:r>
    </w:p>
    <w:p>
      <w:r>
        <w:drawing>
          <wp:inline distT="0" distB="0" distL="114300" distR="114300">
            <wp:extent cx="4276725" cy="2305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Css：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686175" cy="876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2669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改变css，修改背景颜色。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305175" cy="8286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然后直接修改代码，注意不刷新浏览器也！不需要对浏览器做出任何操作。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865" cy="3128645"/>
            <wp:effectExtent l="0" t="0" r="6985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可以发现背景颜色自动的改变了，而且浏览器没有执行任何刷新操作！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C7D83"/>
    <w:rsid w:val="00601811"/>
    <w:rsid w:val="00640B59"/>
    <w:rsid w:val="0199637E"/>
    <w:rsid w:val="02547436"/>
    <w:rsid w:val="02E9153B"/>
    <w:rsid w:val="04601DB3"/>
    <w:rsid w:val="046A0C86"/>
    <w:rsid w:val="0671165F"/>
    <w:rsid w:val="075E0330"/>
    <w:rsid w:val="0CC84917"/>
    <w:rsid w:val="0D5C6DB9"/>
    <w:rsid w:val="10B42293"/>
    <w:rsid w:val="11A37605"/>
    <w:rsid w:val="12744FC3"/>
    <w:rsid w:val="14053180"/>
    <w:rsid w:val="14FE360F"/>
    <w:rsid w:val="156959C7"/>
    <w:rsid w:val="16043375"/>
    <w:rsid w:val="16455522"/>
    <w:rsid w:val="1D8A54E3"/>
    <w:rsid w:val="1FC16500"/>
    <w:rsid w:val="1FDD7A9F"/>
    <w:rsid w:val="211F7ABA"/>
    <w:rsid w:val="22E8027A"/>
    <w:rsid w:val="23DC5CE0"/>
    <w:rsid w:val="245E57AF"/>
    <w:rsid w:val="276D7E04"/>
    <w:rsid w:val="2C724184"/>
    <w:rsid w:val="2EC56362"/>
    <w:rsid w:val="32434A64"/>
    <w:rsid w:val="33CA54DE"/>
    <w:rsid w:val="340830B4"/>
    <w:rsid w:val="34EA6250"/>
    <w:rsid w:val="3592387D"/>
    <w:rsid w:val="36CD3375"/>
    <w:rsid w:val="37153FF6"/>
    <w:rsid w:val="3716389F"/>
    <w:rsid w:val="3A9746B5"/>
    <w:rsid w:val="3B577B50"/>
    <w:rsid w:val="3B5911C4"/>
    <w:rsid w:val="3CDF06AC"/>
    <w:rsid w:val="40793732"/>
    <w:rsid w:val="425969C4"/>
    <w:rsid w:val="43A3389A"/>
    <w:rsid w:val="45BA3966"/>
    <w:rsid w:val="49943965"/>
    <w:rsid w:val="4BF309F9"/>
    <w:rsid w:val="4F6A4520"/>
    <w:rsid w:val="4FC47259"/>
    <w:rsid w:val="50665EE0"/>
    <w:rsid w:val="53E86F98"/>
    <w:rsid w:val="55064D51"/>
    <w:rsid w:val="59DB6F4B"/>
    <w:rsid w:val="637A2BBD"/>
    <w:rsid w:val="64595930"/>
    <w:rsid w:val="67D90A2F"/>
    <w:rsid w:val="67E72A81"/>
    <w:rsid w:val="68E06979"/>
    <w:rsid w:val="69835605"/>
    <w:rsid w:val="6C776013"/>
    <w:rsid w:val="72BE05FF"/>
    <w:rsid w:val="7419792C"/>
    <w:rsid w:val="75AE3E84"/>
    <w:rsid w:val="76222742"/>
    <w:rsid w:val="789C3AC9"/>
    <w:rsid w:val="7AF55D96"/>
    <w:rsid w:val="7C854D77"/>
    <w:rsid w:val="7E0436A1"/>
    <w:rsid w:val="7FB0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Ming Ming</dc:creator>
  <cp:lastModifiedBy>§笨de灵巧♀</cp:lastModifiedBy>
  <dcterms:modified xsi:type="dcterms:W3CDTF">2019-03-04T13:22:17Z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