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4DFDE603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90263C" w:rsidRPr="0090263C">
        <w:rPr>
          <w:b/>
          <w:bCs/>
        </w:rPr>
        <w:t>MK-MILIA-9973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30568"/>
    <w:rsid w:val="00494FA6"/>
    <w:rsid w:val="005073DB"/>
    <w:rsid w:val="005A67C4"/>
    <w:rsid w:val="005D24D5"/>
    <w:rsid w:val="00603D69"/>
    <w:rsid w:val="006E48C7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90263C"/>
    <w:rsid w:val="00912DB6"/>
    <w:rsid w:val="009751B9"/>
    <w:rsid w:val="009A7A67"/>
    <w:rsid w:val="009C1478"/>
    <w:rsid w:val="009E6616"/>
    <w:rsid w:val="00A21A78"/>
    <w:rsid w:val="00A261BA"/>
    <w:rsid w:val="00A42A15"/>
    <w:rsid w:val="00B04435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49</cp:revision>
  <cp:lastPrinted>2019-05-09T10:59:00Z</cp:lastPrinted>
  <dcterms:created xsi:type="dcterms:W3CDTF">2019-05-09T10:11:00Z</dcterms:created>
  <dcterms:modified xsi:type="dcterms:W3CDTF">2023-09-12T08:33:00Z</dcterms:modified>
</cp:coreProperties>
</file>