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Arguments[0]()等同于argument.xx(),xx是[0]中存储的数据，这里this会指向arguments。也就是说一旦有x[number]就要能想到转化为x.number对象。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790C5E"/>
    <w:rsid w:val="05F9024A"/>
    <w:rsid w:val="06D23C12"/>
    <w:rsid w:val="080E15B2"/>
    <w:rsid w:val="0D0849B6"/>
    <w:rsid w:val="164518D5"/>
    <w:rsid w:val="199904C2"/>
    <w:rsid w:val="1C6C0C9B"/>
    <w:rsid w:val="23BA73A5"/>
    <w:rsid w:val="32144625"/>
    <w:rsid w:val="33CF4717"/>
    <w:rsid w:val="34CB2E92"/>
    <w:rsid w:val="366721A3"/>
    <w:rsid w:val="36757ADA"/>
    <w:rsid w:val="379A4512"/>
    <w:rsid w:val="39B42972"/>
    <w:rsid w:val="3E62739E"/>
    <w:rsid w:val="40556372"/>
    <w:rsid w:val="431D5FBD"/>
    <w:rsid w:val="46542703"/>
    <w:rsid w:val="472545AF"/>
    <w:rsid w:val="49EE70F7"/>
    <w:rsid w:val="4A9678B1"/>
    <w:rsid w:val="4AEE2E0A"/>
    <w:rsid w:val="4D29734C"/>
    <w:rsid w:val="501D6AF7"/>
    <w:rsid w:val="505C4467"/>
    <w:rsid w:val="522B52A4"/>
    <w:rsid w:val="55854971"/>
    <w:rsid w:val="55F7793B"/>
    <w:rsid w:val="564669BF"/>
    <w:rsid w:val="5D4524BF"/>
    <w:rsid w:val="60246077"/>
    <w:rsid w:val="61E35AB7"/>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2020-03-19T15:24:34Z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