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遇到的问题：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6A9955"/>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${xx}</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bdr w:val="none" w:color="auto" w:sz="0" w:space="0"/>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bdr w:val="none" w:color="auto" w:sz="0" w:space="0"/>
          <w:shd w:val="clear" w:fill="F5F2F0"/>
        </w:rPr>
        <w:t>:</w:t>
      </w:r>
      <w:r>
        <w:rPr>
          <w:rStyle w:val="8"/>
          <w:rFonts w:hint="default" w:ascii="Consolas" w:hAnsi="Consolas" w:eastAsia="Consolas" w:cs="Consolas"/>
          <w:b w:val="0"/>
          <w:i w:val="0"/>
          <w:caps w:val="0"/>
          <w:color w:val="000000"/>
          <w:spacing w:val="-2"/>
          <w:sz w:val="18"/>
          <w:szCs w:val="18"/>
          <w:u w:val="none"/>
          <w:bdr w:val="none" w:color="auto" w:sz="0" w:space="0"/>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bdr w:val="none" w:color="auto" w:sz="0" w:space="0"/>
          <w:shd w:val="clear" w:fill="F5F2F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w:t>
      </w:r>
      <w:r>
        <w:rPr>
          <w:rFonts w:hint="eastAsia"/>
          <w:b/>
          <w:bCs/>
          <w:sz w:val="24"/>
          <w:szCs w:val="24"/>
          <w:lang w:val="en-US" w:eastAsia="zh-CN"/>
        </w:rPr>
        <w:t>5.</w:t>
      </w:r>
      <w:r>
        <w:rPr>
          <w:rFonts w:hint="default"/>
          <w:b/>
          <w:bCs/>
          <w:sz w:val="24"/>
          <w:szCs w:val="24"/>
          <w:lang w:val="en-US" w:eastAsia="zh-CN"/>
        </w:rPr>
        <w:t>react-lazyload使用方法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19.</w:t>
      </w:r>
      <w:r>
        <w:rPr>
          <w:rFonts w:hint="default"/>
          <w:b/>
          <w:bCs/>
          <w:sz w:val="24"/>
          <w:szCs w:val="24"/>
          <w:lang w:val="en-US" w:eastAsia="zh-CN"/>
        </w:rPr>
        <w:t>useImperativeHandle</w:t>
      </w:r>
      <w:r>
        <w:rPr>
          <w:rFonts w:hint="eastAsia"/>
          <w:b/>
          <w:bCs/>
          <w:sz w:val="24"/>
          <w:szCs w:val="24"/>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"https://zh-hans.reactjs.org/docs/typechecking-with-proptypes.html" \l "___gatsby" </w:instrText>
      </w:r>
      <w:r>
        <w:rPr>
          <w:rFonts w:ascii="宋体" w:hAnsi="宋体" w:eastAsia="宋体" w:cs="宋体"/>
          <w:sz w:val="24"/>
          <w:szCs w:val="24"/>
        </w:rPr>
        <w:fldChar w:fldCharType="separate"/>
      </w:r>
      <w:r>
        <w:rPr>
          <w:rStyle w:val="7"/>
          <w:rFonts w:ascii="宋体" w:hAnsi="宋体" w:eastAsia="宋体" w:cs="宋体"/>
          <w:sz w:val="24"/>
          <w:szCs w:val="24"/>
        </w:rPr>
        <w:t>https://zh-hans.reactjs.org/docs/typechecking-with-proptypes.html#___gatsby</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30"/>
        <w:gridCol w:w="5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85"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5146" w:type="dxa"/>
            <w:shd w:val="cle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d</w:t>
      </w:r>
      <w:r>
        <w:rPr>
          <w:rFonts w:hint="default" w:ascii="Consolas" w:hAnsi="Consolas" w:cs="Consolas"/>
          <w:b w:val="0"/>
          <w:i w:val="0"/>
          <w:caps w:val="0"/>
          <w:color w:val="990055"/>
          <w:spacing w:val="-2"/>
          <w:sz w:val="18"/>
          <w:szCs w:val="18"/>
          <w:u w:val="none"/>
          <w:shd w:val="clear" w:fill="F5F2F0"/>
          <w:lang w:val="en-US" w:eastAsia="zh-CN"/>
        </w:rPr>
        <w:t>iv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div:nth-child(2){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 xml:space="preserve">    Color:red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&lt;span&gt;1&lt;/span&gt;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t>&lt;span&gt;2&lt;/span&gt;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D0849B6"/>
    <w:rsid w:val="33CF4717"/>
    <w:rsid w:val="379A4512"/>
    <w:rsid w:val="39B42972"/>
    <w:rsid w:val="3E62739E"/>
    <w:rsid w:val="4AEE2E0A"/>
    <w:rsid w:val="60246077"/>
    <w:rsid w:val="64E322DF"/>
    <w:rsid w:val="6E17615C"/>
    <w:rsid w:val="7772736E"/>
    <w:rsid w:val="7A32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2020-03-07T06:03:59Z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