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after="40"/>
        <w:jc w:val="center"/>
      </w:pPr>
      <w:r>
        <w:rPr>
          <w:b w:val="0"/>
          <w:sz w:val="22"/>
        </w:rPr>
        <w:t>UNIVERSIDAD PONTIFICIA BOLIVARIANA</w:t>
      </w:r>
    </w:p>
    <w:p>
      <w:pPr>
        <w:spacing w:after="800"/>
        <w:jc w:val="center"/>
      </w:pPr>
      <w:r>
        <w:rPr>
          <w:b w:val="0"/>
          <w:sz w:val="20"/>
        </w:rPr>
        <w:t>Ingeniería de Requisitos · Ingeniería de Sistemas e Informática</w:t>
      </w:r>
    </w:p>
    <w:p>
      <w:pPr>
        <w:spacing w:after="80"/>
        <w:jc w:val="center"/>
      </w:pPr>
      <w:r>
        <w:rPr>
          <w:b/>
          <w:color w:val="1F3864"/>
          <w:sz w:val="52"/>
        </w:rPr>
        <w:t>Trazabilidad de un requisito</w:t>
      </w:r>
    </w:p>
    <w:p>
      <w:pPr>
        <w:spacing w:after="80"/>
        <w:jc w:val="center"/>
      </w:pPr>
      <w:r>
        <w:rPr>
          <w:b w:val="0"/>
          <w:sz w:val="30"/>
        </w:rPr>
        <w:t>Sistema integral de gestión de tripulaciones</w:t>
      </w:r>
    </w:p>
    <w:p>
      <w:pPr>
        <w:spacing w:after="1200"/>
        <w:jc w:val="center"/>
      </w:pPr>
      <w:r>
        <w:rPr>
          <w:b w:val="0"/>
          <w:sz w:val="22"/>
        </w:rPr>
        <w:t>Entrega U4A1 · Misión 9: el guardián del conocimiento · Misión 10: auditoría</w:t>
      </w:r>
    </w:p>
    <w:p>
      <w:pPr>
        <w:spacing w:after="40"/>
        <w:jc w:val="center"/>
      </w:pPr>
      <w:r>
        <w:rPr>
          <w:b/>
        </w:rPr>
        <w:t>Autor:</w:t>
      </w:r>
      <w:r>
        <w:rPr>
          <w:b w:val="0"/>
        </w:rPr>
        <w:t xml:space="preserve"> Federico Márquez</w:t>
      </w:r>
    </w:p>
    <w:p>
      <w:pPr>
        <w:spacing w:after="40"/>
        <w:jc w:val="center"/>
      </w:pPr>
      <w:r>
        <w:rPr>
          <w:b/>
        </w:rPr>
        <w:t>Fecha:</w:t>
      </w:r>
      <w:r>
        <w:rPr>
          <w:b w:val="0"/>
        </w:rPr>
        <w:t xml:space="preserve"> 15/10/2026</w:t>
      </w:r>
    </w:p>
    <w:p>
      <w:pPr>
        <w:spacing w:after="40"/>
        <w:jc w:val="center"/>
      </w:pPr>
      <w:r>
        <w:rPr>
          <w:b/>
        </w:rPr>
        <w:t>Versión del documento:</w:t>
      </w:r>
      <w:r>
        <w:rPr>
          <w:b w:val="0"/>
        </w:rPr>
        <w:t xml:space="preserve"> 1.0 · </w:t>
      </w:r>
      <w:r>
        <w:rPr>
          <w:b/>
        </w:rPr>
        <w:t>Rama del repositorio:</w:t>
      </w:r>
      <w:r>
        <w:rPr>
          <w:b w:val="0"/>
        </w:rPr>
        <w:t xml:space="preserve"> tripulaciones</w:t>
      </w:r>
    </w:p>
    <w:p>
      <w:pPr>
        <w:pStyle w:val="Heading1"/>
      </w:pPr>
      <w:r>
        <w:t>Resumen</w:t>
      </w:r>
    </w:p>
    <w:p>
      <w:pPr>
        <w:spacing w:after="80"/>
      </w:pPr>
      <w:r>
        <w:rPr>
          <w:b w:val="0"/>
        </w:rPr>
        <w:t>Esta entrega cierra el proceso de ingeniería de requisitos del proyecto Tripulaciones. Hice dos cosas: archivé los artefactos con sus metadatos (Misión 9) y audité la cadena completa, de la necesidad al resultado de las pruebas (Misión 10). Todo se genera con un script que lee el código, el backlog, las pruebas y git.</w:t>
      </w:r>
    </w:p>
    <w:tbl>
      <w:tblPr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DC8"/>
          <w:left w:val="single" w:sz="4" w:space="0" w:color="B7BDC8"/>
          <w:bottom w:val="single" w:sz="4" w:space="0" w:color="B7BDC8"/>
          <w:right w:val="single" w:sz="4" w:space="0" w:color="B7BDC8"/>
          <w:insideH w:val="single" w:sz="4" w:space="0" w:color="B7BDC8"/>
          <w:insideV w:val="single" w:sz="4" w:space="0" w:color="B7BDC8"/>
        </w:tblBorders>
        <w:tblCellMar>
          <w:top w:w="50" w:type="dxa"/>
          <w:left w:w="90" w:type="dxa"/>
          <w:bottom w:w="50" w:type="dxa"/>
          <w:right w:w="90" w:type="dxa"/>
        </w:tblCellMar>
        <w:tblLayout w:type="fixed"/>
        <w:tblW w:w="9648" w:type="dxa"/>
      </w:tblPr>
      <w:tblGrid>
        <w:gridCol w:w="2304"/>
        <w:gridCol w:w="4896"/>
        <w:gridCol w:w="2448"/>
      </w:tblGrid>
      <w:tr>
        <w:trPr>
          <w:tblHeader/>
          <w:cantSplit/>
        </w:trPr>
        <w:tc>
          <w:tcPr>
            <w:tcW w:type="dxa" w:w="2304"/>
            <w:shd w:val="clear" w:color="auto" w:fill="1F3864"/>
          </w:tcPr>
          <w:p>
            <w:pPr>
              <w:spacing w:after="40" w:line="252" w:lineRule="auto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Criterio de la rúbrica</w:t>
            </w:r>
          </w:p>
        </w:tc>
        <w:tc>
          <w:tcPr>
            <w:tcW w:type="dxa" w:w="4896"/>
            <w:shd w:val="clear" w:color="auto" w:fill="1F3864"/>
          </w:tcPr>
          <w:p>
            <w:pPr>
              <w:spacing w:after="40" w:line="252" w:lineRule="auto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Qué entrego</w:t>
            </w:r>
          </w:p>
        </w:tc>
        <w:tc>
          <w:tcPr>
            <w:tcW w:type="dxa" w:w="2448"/>
            <w:shd w:val="clear" w:color="auto" w:fill="1F3864"/>
          </w:tcPr>
          <w:p>
            <w:pPr>
              <w:spacing w:after="40" w:line="252" w:lineRule="auto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Dónde está</w:t>
            </w:r>
          </w:p>
        </w:tc>
      </w:tr>
      <w:tr>
        <w:trPr>
          <w:cantSplit/>
        </w:trPr>
        <w:tc>
          <w:tcPr>
            <w:tcW w:type="dxa" w:w="2304"/>
            <w:shd w:val="clear" w:color="auto" w:fill="EDEFF3"/>
          </w:tcPr>
          <w:p>
            <w:pPr>
              <w:spacing w:after="40" w:line="252" w:lineRule="auto"/>
            </w:pPr>
            <w:r/>
            <w:r>
              <w:rPr>
                <w:b w:val="0"/>
                <w:sz w:val="17"/>
              </w:rPr>
              <w:t>Metadatos</w:t>
            </w:r>
          </w:p>
        </w:tc>
        <w:tc>
          <w:tcPr>
            <w:tcW w:type="dxa" w:w="4896"/>
          </w:tcPr>
          <w:p>
            <w:pPr>
              <w:spacing w:after="40" w:line="252" w:lineRule="auto"/>
            </w:pPr>
            <w:r/>
            <w:r>
              <w:rPr>
                <w:b w:val="0"/>
                <w:sz w:val="17"/>
              </w:rPr>
              <w:t>9 artefactos con ID único, versión, estado final, autor o revisor, fecha de cierre y artefactos relacionados.</w:t>
            </w:r>
          </w:p>
        </w:tc>
        <w:tc>
          <w:tcPr>
            <w:tcW w:type="dxa" w:w="2448"/>
          </w:tcPr>
          <w:p>
            <w:pPr>
              <w:spacing w:after="40" w:line="252" w:lineRule="auto"/>
            </w:pPr>
            <w:r/>
            <w:r>
              <w:rPr>
                <w:b w:val="0"/>
                <w:sz w:val="17"/>
              </w:rPr>
              <w:t>Sección 1. README de la rama y U4A1-Trazabilidad/catalogo_artefactos.json</w:t>
            </w:r>
          </w:p>
        </w:tc>
      </w:tr>
      <w:tr>
        <w:trPr>
          <w:cantSplit/>
        </w:trPr>
        <w:tc>
          <w:tcPr>
            <w:tcW w:type="dxa" w:w="2304"/>
            <w:shd w:val="clear" w:color="auto" w:fill="EDEFF3"/>
          </w:tcPr>
          <w:p>
            <w:pPr>
              <w:spacing w:after="40" w:line="252" w:lineRule="auto"/>
            </w:pPr>
            <w:r/>
            <w:r>
              <w:rPr>
                <w:b w:val="0"/>
                <w:sz w:val="17"/>
              </w:rPr>
              <w:t>Herramientas</w:t>
            </w:r>
          </w:p>
        </w:tc>
        <w:tc>
          <w:tcPr>
            <w:tcW w:type="dxa" w:w="4896"/>
          </w:tcPr>
          <w:p>
            <w:pPr>
              <w:spacing w:after="40" w:line="252" w:lineRule="auto"/>
            </w:pPr>
            <w:r/>
            <w:r>
              <w:rPr>
                <w:b w:val="0"/>
                <w:sz w:val="17"/>
              </w:rPr>
              <w:t>Un script que valida los metadatos y genera la matriz y la auditoría, más git como control de versiones.</w:t>
            </w:r>
          </w:p>
        </w:tc>
        <w:tc>
          <w:tcPr>
            <w:tcW w:type="dxa" w:w="2448"/>
          </w:tcPr>
          <w:p>
            <w:pPr>
              <w:spacing w:after="40" w:line="252" w:lineRule="auto"/>
            </w:pPr>
            <w:r/>
            <w:r>
              <w:rPr>
                <w:b w:val="0"/>
                <w:sz w:val="17"/>
              </w:rPr>
              <w:t>Sección 2. U4A1-Trazabilidad/herramienta.py</w:t>
            </w:r>
          </w:p>
        </w:tc>
      </w:tr>
      <w:tr>
        <w:trPr>
          <w:cantSplit/>
        </w:trPr>
        <w:tc>
          <w:tcPr>
            <w:tcW w:type="dxa" w:w="2304"/>
            <w:shd w:val="clear" w:color="auto" w:fill="EDEFF3"/>
          </w:tcPr>
          <w:p>
            <w:pPr>
              <w:spacing w:after="40" w:line="252" w:lineRule="auto"/>
            </w:pPr>
            <w:r/>
            <w:r>
              <w:rPr>
                <w:b w:val="0"/>
                <w:sz w:val="17"/>
              </w:rPr>
              <w:t>Matriz de trazabilidad</w:t>
            </w:r>
          </w:p>
        </w:tc>
        <w:tc>
          <w:tcPr>
            <w:tcW w:type="dxa" w:w="4896"/>
          </w:tcPr>
          <w:p>
            <w:pPr>
              <w:spacing w:after="40" w:line="252" w:lineRule="auto"/>
            </w:pPr>
            <w:r/>
            <w:r>
              <w:rPr>
                <w:b w:val="0"/>
                <w:sz w:val="17"/>
              </w:rPr>
              <w:t>Matriz en Excel generada a partir del código del prototipo (marcas @trace), de las pruebas y del backlog.</w:t>
            </w:r>
          </w:p>
        </w:tc>
        <w:tc>
          <w:tcPr>
            <w:tcW w:type="dxa" w:w="2448"/>
          </w:tcPr>
          <w:p>
            <w:pPr>
              <w:spacing w:after="40" w:line="252" w:lineRule="auto"/>
            </w:pPr>
            <w:r/>
            <w:r>
              <w:rPr>
                <w:b w:val="0"/>
                <w:sz w:val="17"/>
              </w:rPr>
              <w:t>Sección 3. U4A1-Trazabilidad/Matriz_trazabilidad.xlsx</w:t>
            </w:r>
          </w:p>
        </w:tc>
      </w:tr>
      <w:tr>
        <w:trPr>
          <w:cantSplit/>
        </w:trPr>
        <w:tc>
          <w:tcPr>
            <w:tcW w:type="dxa" w:w="2304"/>
            <w:shd w:val="clear" w:color="auto" w:fill="EDEFF3"/>
          </w:tcPr>
          <w:p>
            <w:pPr>
              <w:spacing w:after="40" w:line="252" w:lineRule="auto"/>
            </w:pPr>
            <w:r/>
            <w:r>
              <w:rPr>
                <w:b w:val="0"/>
                <w:sz w:val="17"/>
              </w:rPr>
              <w:t>Auditoría end-to-end (Misión 10)</w:t>
            </w:r>
          </w:p>
        </w:tc>
        <w:tc>
          <w:tcPr>
            <w:tcW w:type="dxa" w:w="4896"/>
          </w:tcPr>
          <w:p>
            <w:pPr>
              <w:spacing w:after="40" w:line="252" w:lineRule="auto"/>
            </w:pPr>
            <w:r/>
            <w:r>
              <w:rPr>
                <w:b w:val="0"/>
                <w:sz w:val="17"/>
              </w:rPr>
              <w:t>Auditoría con 21 hallazgos. La cadena está completa en 8 de 18 requisitos.</w:t>
            </w:r>
          </w:p>
        </w:tc>
        <w:tc>
          <w:tcPr>
            <w:tcW w:type="dxa" w:w="2448"/>
          </w:tcPr>
          <w:p>
            <w:pPr>
              <w:spacing w:after="40" w:line="252" w:lineRule="auto"/>
            </w:pPr>
            <w:r/>
            <w:r>
              <w:rPr>
                <w:b w:val="0"/>
                <w:sz w:val="17"/>
              </w:rPr>
              <w:t>Sección 4. U4A1-Trazabilidad/Auditoria_trazabilidad.md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b/>
        </w:rPr>
        <w:t>Quién puede entender el proyecto leyendo el repositorio.</w:t>
      </w:r>
      <w:r>
        <w:rPr>
          <w:b w:val="0"/>
        </w:rPr>
        <w:t xml:space="preserve"> El README de la rama cuenta el contexto, las necesidades, los requisitos, la validación, la cadena de trazabilidad y las decisiones del CCB, y enlaza cada artefacto. Esa fue la prueba que usé para decidir qué faltaba.</w:t>
      </w:r>
    </w:p>
    <w:p>
      <w:pPr>
        <w:pStyle w:val="Heading1"/>
      </w:pPr>
      <w:r>
        <w:t>Misión 9: el guardián del conocimiento</w:t>
      </w:r>
    </w:p>
    <w:p>
      <w:pPr>
        <w:pStyle w:val="Heading2"/>
      </w:pPr>
      <w:r>
        <w:t>1.1 Metadatos de cada artefacto</w:t>
      </w:r>
    </w:p>
    <w:p>
      <w:pPr>
        <w:spacing w:after="60"/>
      </w:pPr>
      <w:r>
        <w:rPr>
          <w:b w:val="0"/>
        </w:rPr>
        <w:t>Cada artefacto tiene los seis metadatos mínimos. Están en un solo archivo, U4A1-Trazabilidad/catalogo_artefactos.json, y el README de la rama muestra la misma tabla (se genera, no se escribe a mano).</w:t>
      </w:r>
    </w:p>
    <w:tbl>
      <w:tblPr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DC8"/>
          <w:left w:val="single" w:sz="4" w:space="0" w:color="B7BDC8"/>
          <w:bottom w:val="single" w:sz="4" w:space="0" w:color="B7BDC8"/>
          <w:right w:val="single" w:sz="4" w:space="0" w:color="B7BDC8"/>
          <w:insideH w:val="single" w:sz="4" w:space="0" w:color="B7BDC8"/>
          <w:insideV w:val="single" w:sz="4" w:space="0" w:color="B7BDC8"/>
        </w:tblBorders>
        <w:tblCellMar>
          <w:top w:w="50" w:type="dxa"/>
          <w:left w:w="90" w:type="dxa"/>
          <w:bottom w:w="50" w:type="dxa"/>
          <w:right w:w="90" w:type="dxa"/>
        </w:tblCellMar>
        <w:tblLayout w:type="fixed"/>
        <w:tblW w:w="9936" w:type="dxa"/>
      </w:tblPr>
      <w:tblGrid>
        <w:gridCol w:w="1152"/>
        <w:gridCol w:w="1728"/>
        <w:gridCol w:w="720"/>
        <w:gridCol w:w="2015"/>
        <w:gridCol w:w="1584"/>
        <w:gridCol w:w="1007"/>
        <w:gridCol w:w="1728"/>
      </w:tblGrid>
      <w:tr>
        <w:trPr>
          <w:tblHeader/>
          <w:cantSplit/>
        </w:trPr>
        <w:tc>
          <w:tcPr>
            <w:tcW w:type="dxa" w:w="1152"/>
            <w:shd w:val="clear" w:color="auto" w:fill="1F3864"/>
          </w:tcPr>
          <w:p>
            <w:pPr>
              <w:spacing w:after="40" w:line="252" w:lineRule="auto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1728"/>
            <w:shd w:val="clear" w:color="auto" w:fill="1F3864"/>
          </w:tcPr>
          <w:p>
            <w:pPr>
              <w:spacing w:after="40" w:line="252" w:lineRule="auto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5"/>
              </w:rPr>
              <w:t>Artefacto</w:t>
            </w:r>
          </w:p>
        </w:tc>
        <w:tc>
          <w:tcPr>
            <w:tcW w:type="dxa" w:w="720"/>
            <w:shd w:val="clear" w:color="auto" w:fill="1F3864"/>
          </w:tcPr>
          <w:p>
            <w:pPr>
              <w:spacing w:after="40" w:line="252" w:lineRule="auto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5"/>
              </w:rPr>
              <w:t>Versión</w:t>
            </w:r>
          </w:p>
        </w:tc>
        <w:tc>
          <w:tcPr>
            <w:tcW w:type="dxa" w:w="2016"/>
            <w:shd w:val="clear" w:color="auto" w:fill="1F3864"/>
          </w:tcPr>
          <w:p>
            <w:pPr>
              <w:spacing w:after="40" w:line="252" w:lineRule="auto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5"/>
              </w:rPr>
              <w:t>Estado final</w:t>
            </w:r>
          </w:p>
        </w:tc>
        <w:tc>
          <w:tcPr>
            <w:tcW w:type="dxa" w:w="1584"/>
            <w:shd w:val="clear" w:color="auto" w:fill="1F3864"/>
          </w:tcPr>
          <w:p>
            <w:pPr>
              <w:spacing w:after="40" w:line="252" w:lineRule="auto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5"/>
              </w:rPr>
              <w:t>Autor o revisor</w:t>
            </w:r>
          </w:p>
        </w:tc>
        <w:tc>
          <w:tcPr>
            <w:tcW w:type="dxa" w:w="1008"/>
            <w:shd w:val="clear" w:color="auto" w:fill="1F3864"/>
          </w:tcPr>
          <w:p>
            <w:pPr>
              <w:spacing w:after="40" w:line="252" w:lineRule="auto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5"/>
              </w:rPr>
              <w:t>Fecha de cierre</w:t>
            </w:r>
          </w:p>
        </w:tc>
        <w:tc>
          <w:tcPr>
            <w:tcW w:type="dxa" w:w="1728"/>
            <w:shd w:val="clear" w:color="auto" w:fill="1F3864"/>
          </w:tcPr>
          <w:p>
            <w:pPr>
              <w:spacing w:after="40" w:line="252" w:lineRule="auto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5"/>
              </w:rPr>
              <w:t>Artefactos relacionados</w:t>
            </w:r>
          </w:p>
        </w:tc>
      </w:tr>
      <w:tr>
        <w:trPr>
          <w:cantSplit/>
        </w:trPr>
        <w:tc>
          <w:tcPr>
            <w:tcW w:type="dxa" w:w="1152"/>
            <w:shd w:val="clear" w:color="auto" w:fill="EDEFF3"/>
          </w:tcPr>
          <w:p>
            <w:pPr>
              <w:spacing w:after="40" w:line="252" w:lineRule="auto"/>
            </w:pPr>
            <w:r/>
            <w:r>
              <w:rPr>
                <w:b w:val="0"/>
                <w:sz w:val="15"/>
              </w:rPr>
              <w:t>TRI-PBL-001</w:t>
            </w:r>
          </w:p>
        </w:tc>
        <w:tc>
          <w:tcPr>
            <w:tcW w:type="dxa" w:w="1728"/>
          </w:tcPr>
          <w:p>
            <w:pPr>
              <w:spacing w:after="40" w:line="252" w:lineRule="auto"/>
            </w:pPr>
            <w:r/>
            <w:r>
              <w:rPr>
                <w:b w:val="0"/>
                <w:sz w:val="15"/>
              </w:rPr>
              <w:t>Product Backlog</w:t>
            </w:r>
          </w:p>
        </w:tc>
        <w:tc>
          <w:tcPr>
            <w:tcW w:type="dxa" w:w="720"/>
          </w:tcPr>
          <w:p>
            <w:pPr>
              <w:spacing w:after="40" w:line="252" w:lineRule="auto"/>
            </w:pPr>
            <w:r/>
            <w:r>
              <w:rPr>
                <w:b w:val="0"/>
                <w:sz w:val="15"/>
              </w:rPr>
              <w:t>1.0</w:t>
            </w:r>
          </w:p>
        </w:tc>
        <w:tc>
          <w:tcPr>
            <w:tcW w:type="dxa" w:w="2016"/>
          </w:tcPr>
          <w:p>
            <w:pPr>
              <w:spacing w:after="40" w:line="252" w:lineRule="auto"/>
            </w:pPr>
            <w:r/>
            <w:r>
              <w:rPr>
                <w:b w:val="0"/>
                <w:sz w:val="15"/>
              </w:rPr>
              <w:t>Aprobado, 1 iteración</w:t>
            </w:r>
          </w:p>
        </w:tc>
        <w:tc>
          <w:tcPr>
            <w:tcW w:type="dxa" w:w="1584"/>
          </w:tcPr>
          <w:p>
            <w:pPr>
              <w:spacing w:after="40" w:line="252" w:lineRule="auto"/>
            </w:pPr>
            <w:r/>
            <w:r>
              <w:rPr>
                <w:b w:val="0"/>
                <w:sz w:val="15"/>
              </w:rPr>
              <w:t>Federico Márquez (autor). Revisor: Pendiente (docente)</w:t>
            </w:r>
          </w:p>
        </w:tc>
        <w:tc>
          <w:tcPr>
            <w:tcW w:type="dxa" w:w="1008"/>
          </w:tcPr>
          <w:p>
            <w:pPr>
              <w:spacing w:after="40" w:line="252" w:lineRule="auto"/>
            </w:pPr>
            <w:r/>
            <w:r>
              <w:rPr>
                <w:b w:val="0"/>
                <w:sz w:val="15"/>
              </w:rPr>
              <w:t>13/10/2026</w:t>
            </w:r>
          </w:p>
        </w:tc>
        <w:tc>
          <w:tcPr>
            <w:tcW w:type="dxa" w:w="1728"/>
          </w:tcPr>
          <w:p>
            <w:pPr>
              <w:spacing w:after="40" w:line="252" w:lineRule="auto"/>
            </w:pPr>
            <w:r/>
            <w:r>
              <w:rPr>
                <w:b w:val="0"/>
                <w:sz w:val="15"/>
              </w:rPr>
              <w:t>TRI-RFC-002, TRI-PRO-003, TRI-MTZ-007</w:t>
            </w:r>
          </w:p>
        </w:tc>
      </w:tr>
      <w:tr>
        <w:trPr>
          <w:cantSplit/>
        </w:trPr>
        <w:tc>
          <w:tcPr>
            <w:tcW w:type="dxa" w:w="1152"/>
            <w:shd w:val="clear" w:color="auto" w:fill="EDEFF3"/>
          </w:tcPr>
          <w:p>
            <w:pPr>
              <w:spacing w:after="40" w:line="252" w:lineRule="auto"/>
            </w:pPr>
            <w:r/>
            <w:r>
              <w:rPr>
                <w:b w:val="0"/>
                <w:sz w:val="15"/>
              </w:rPr>
              <w:t>TRI-RFC-002</w:t>
            </w:r>
          </w:p>
        </w:tc>
        <w:tc>
          <w:tcPr>
            <w:tcW w:type="dxa" w:w="1728"/>
          </w:tcPr>
          <w:p>
            <w:pPr>
              <w:spacing w:after="40" w:line="252" w:lineRule="auto"/>
            </w:pPr>
            <w:r/>
            <w:r>
              <w:rPr>
                <w:b w:val="0"/>
                <w:sz w:val="15"/>
              </w:rPr>
              <w:t>Solicitudes de cambio</w:t>
            </w:r>
          </w:p>
        </w:tc>
        <w:tc>
          <w:tcPr>
            <w:tcW w:type="dxa" w:w="720"/>
          </w:tcPr>
          <w:p>
            <w:pPr>
              <w:spacing w:after="40" w:line="252" w:lineRule="auto"/>
            </w:pPr>
            <w:r/>
            <w:r>
              <w:rPr>
                <w:b w:val="0"/>
                <w:sz w:val="15"/>
              </w:rPr>
              <w:t>1.0</w:t>
            </w:r>
          </w:p>
        </w:tc>
        <w:tc>
          <w:tcPr>
            <w:tcW w:type="dxa" w:w="2016"/>
          </w:tcPr>
          <w:p>
            <w:pPr>
              <w:spacing w:after="40" w:line="252" w:lineRule="auto"/>
            </w:pPr>
            <w:r/>
            <w:r>
              <w:rPr>
                <w:b w:val="0"/>
                <w:sz w:val="15"/>
              </w:rPr>
              <w:t>Entregado, 1 iteración. Decisiones tomadas en TRI-CCB-006</w:t>
            </w:r>
          </w:p>
        </w:tc>
        <w:tc>
          <w:tcPr>
            <w:tcW w:type="dxa" w:w="1584"/>
          </w:tcPr>
          <w:p>
            <w:pPr>
              <w:spacing w:after="40" w:line="252" w:lineRule="auto"/>
            </w:pPr>
            <w:r/>
            <w:r>
              <w:rPr>
                <w:b w:val="0"/>
                <w:sz w:val="15"/>
              </w:rPr>
              <w:t>Federico Márquez (autor). Revisor: Pendiente (docente)</w:t>
            </w:r>
          </w:p>
        </w:tc>
        <w:tc>
          <w:tcPr>
            <w:tcW w:type="dxa" w:w="1008"/>
          </w:tcPr>
          <w:p>
            <w:pPr>
              <w:spacing w:after="40" w:line="252" w:lineRule="auto"/>
            </w:pPr>
            <w:r/>
            <w:r>
              <w:rPr>
                <w:b w:val="0"/>
                <w:sz w:val="15"/>
              </w:rPr>
              <w:t>13/10/2026</w:t>
            </w:r>
          </w:p>
        </w:tc>
        <w:tc>
          <w:tcPr>
            <w:tcW w:type="dxa" w:w="1728"/>
          </w:tcPr>
          <w:p>
            <w:pPr>
              <w:spacing w:after="40" w:line="252" w:lineRule="auto"/>
            </w:pPr>
            <w:r/>
            <w:r>
              <w:rPr>
                <w:b w:val="0"/>
                <w:sz w:val="15"/>
              </w:rPr>
              <w:t>TRI-PBL-001, TRI-CCB-006, TRI-DOC-005</w:t>
            </w:r>
          </w:p>
        </w:tc>
      </w:tr>
      <w:tr>
        <w:trPr>
          <w:cantSplit/>
        </w:trPr>
        <w:tc>
          <w:tcPr>
            <w:tcW w:type="dxa" w:w="1152"/>
            <w:shd w:val="clear" w:color="auto" w:fill="EDEFF3"/>
          </w:tcPr>
          <w:p>
            <w:pPr>
              <w:spacing w:after="40" w:line="252" w:lineRule="auto"/>
            </w:pPr>
            <w:r/>
            <w:r>
              <w:rPr>
                <w:b w:val="0"/>
                <w:sz w:val="15"/>
              </w:rPr>
              <w:t>TRI-PRO-003</w:t>
            </w:r>
          </w:p>
        </w:tc>
        <w:tc>
          <w:tcPr>
            <w:tcW w:type="dxa" w:w="1728"/>
          </w:tcPr>
          <w:p>
            <w:pPr>
              <w:spacing w:after="40" w:line="252" w:lineRule="auto"/>
            </w:pPr>
            <w:r/>
            <w:r>
              <w:rPr>
                <w:b w:val="0"/>
                <w:sz w:val="15"/>
              </w:rPr>
              <w:t>Prototipo de baja fidelidad</w:t>
            </w:r>
          </w:p>
        </w:tc>
        <w:tc>
          <w:tcPr>
            <w:tcW w:type="dxa" w:w="720"/>
          </w:tcPr>
          <w:p>
            <w:pPr>
              <w:spacing w:after="40" w:line="252" w:lineRule="auto"/>
            </w:pPr>
            <w:r/>
            <w:r>
              <w:rPr>
                <w:b w:val="0"/>
                <w:sz w:val="15"/>
              </w:rPr>
              <w:t>0.2</w:t>
            </w:r>
          </w:p>
        </w:tc>
        <w:tc>
          <w:tcPr>
            <w:tcW w:type="dxa" w:w="2016"/>
          </w:tcPr>
          <w:p>
            <w:pPr>
              <w:spacing w:after="40" w:line="252" w:lineRule="auto"/>
            </w:pPr>
            <w:r/>
            <w:r>
              <w:rPr>
                <w:b w:val="0"/>
                <w:sz w:val="15"/>
              </w:rPr>
              <w:t>Validado con 30 pruebas automáticas; 7 defectos abiertos (DEF-01, DEF-06 a DEF-11)</w:t>
            </w:r>
          </w:p>
        </w:tc>
        <w:tc>
          <w:tcPr>
            <w:tcW w:type="dxa" w:w="1584"/>
          </w:tcPr>
          <w:p>
            <w:pPr>
              <w:spacing w:after="40" w:line="252" w:lineRule="auto"/>
            </w:pPr>
            <w:r/>
            <w:r>
              <w:rPr>
                <w:b w:val="0"/>
                <w:sz w:val="15"/>
              </w:rPr>
              <w:t>Federico Márquez (autor). Revisor: Pendiente (docente)</w:t>
            </w:r>
          </w:p>
        </w:tc>
        <w:tc>
          <w:tcPr>
            <w:tcW w:type="dxa" w:w="1008"/>
          </w:tcPr>
          <w:p>
            <w:pPr>
              <w:spacing w:after="40" w:line="252" w:lineRule="auto"/>
            </w:pPr>
            <w:r/>
            <w:r>
              <w:rPr>
                <w:b w:val="0"/>
                <w:sz w:val="15"/>
              </w:rPr>
              <w:t>13/10/2026</w:t>
            </w:r>
          </w:p>
        </w:tc>
        <w:tc>
          <w:tcPr>
            <w:tcW w:type="dxa" w:w="1728"/>
          </w:tcPr>
          <w:p>
            <w:pPr>
              <w:spacing w:after="40" w:line="252" w:lineRule="auto"/>
            </w:pPr>
            <w:r/>
            <w:r>
              <w:rPr>
                <w:b w:val="0"/>
                <w:sz w:val="15"/>
              </w:rPr>
              <w:t>TRI-PBL-001, TRI-PRU-004, TRI-DOC-005, TRI-MTZ-007</w:t>
            </w:r>
          </w:p>
        </w:tc>
      </w:tr>
      <w:tr>
        <w:trPr>
          <w:cantSplit/>
        </w:trPr>
        <w:tc>
          <w:tcPr>
            <w:tcW w:type="dxa" w:w="1152"/>
            <w:shd w:val="clear" w:color="auto" w:fill="EDEFF3"/>
          </w:tcPr>
          <w:p>
            <w:pPr>
              <w:spacing w:after="40" w:line="252" w:lineRule="auto"/>
            </w:pPr>
            <w:r/>
            <w:r>
              <w:rPr>
                <w:b w:val="0"/>
                <w:sz w:val="15"/>
              </w:rPr>
              <w:t>TRI-PRU-004</w:t>
            </w:r>
          </w:p>
        </w:tc>
        <w:tc>
          <w:tcPr>
            <w:tcW w:type="dxa" w:w="1728"/>
          </w:tcPr>
          <w:p>
            <w:pPr>
              <w:spacing w:after="40" w:line="252" w:lineRule="auto"/>
            </w:pPr>
            <w:r/>
            <w:r>
              <w:rPr>
                <w:b w:val="0"/>
                <w:sz w:val="15"/>
              </w:rPr>
              <w:t>Pruebas del prototipo</w:t>
            </w:r>
          </w:p>
        </w:tc>
        <w:tc>
          <w:tcPr>
            <w:tcW w:type="dxa" w:w="720"/>
          </w:tcPr>
          <w:p>
            <w:pPr>
              <w:spacing w:after="40" w:line="252" w:lineRule="auto"/>
            </w:pPr>
            <w:r/>
            <w:r>
              <w:rPr>
                <w:b w:val="0"/>
                <w:sz w:val="15"/>
              </w:rPr>
              <w:t>1.0</w:t>
            </w:r>
          </w:p>
        </w:tc>
        <w:tc>
          <w:tcPr>
            <w:tcW w:type="dxa" w:w="2016"/>
          </w:tcPr>
          <w:p>
            <w:pPr>
              <w:spacing w:after="40" w:line="252" w:lineRule="auto"/>
            </w:pPr>
            <w:r/>
            <w:r>
              <w:rPr>
                <w:b w:val="0"/>
                <w:sz w:val="15"/>
              </w:rPr>
              <w:t>30 de 30 aprobadas</w:t>
            </w:r>
          </w:p>
        </w:tc>
        <w:tc>
          <w:tcPr>
            <w:tcW w:type="dxa" w:w="1584"/>
          </w:tcPr>
          <w:p>
            <w:pPr>
              <w:spacing w:after="40" w:line="252" w:lineRule="auto"/>
            </w:pPr>
            <w:r/>
            <w:r>
              <w:rPr>
                <w:b w:val="0"/>
                <w:sz w:val="15"/>
              </w:rPr>
              <w:t>Federico Márquez (autor). Revisor: Pendiente (docente)</w:t>
            </w:r>
          </w:p>
        </w:tc>
        <w:tc>
          <w:tcPr>
            <w:tcW w:type="dxa" w:w="1008"/>
          </w:tcPr>
          <w:p>
            <w:pPr>
              <w:spacing w:after="40" w:line="252" w:lineRule="auto"/>
            </w:pPr>
            <w:r/>
            <w:r>
              <w:rPr>
                <w:b w:val="0"/>
                <w:sz w:val="15"/>
              </w:rPr>
              <w:t>14/10/2026</w:t>
            </w:r>
          </w:p>
        </w:tc>
        <w:tc>
          <w:tcPr>
            <w:tcW w:type="dxa" w:w="1728"/>
          </w:tcPr>
          <w:p>
            <w:pPr>
              <w:spacing w:after="40" w:line="252" w:lineRule="auto"/>
            </w:pPr>
            <w:r/>
            <w:r>
              <w:rPr>
                <w:b w:val="0"/>
                <w:sz w:val="15"/>
              </w:rPr>
              <w:t>TRI-PRO-003, TRI-PBL-001, TRI-MTZ-007</w:t>
            </w:r>
          </w:p>
        </w:tc>
      </w:tr>
      <w:tr>
        <w:trPr>
          <w:cantSplit/>
        </w:trPr>
        <w:tc>
          <w:tcPr>
            <w:tcW w:type="dxa" w:w="1152"/>
            <w:shd w:val="clear" w:color="auto" w:fill="EDEFF3"/>
          </w:tcPr>
          <w:p>
            <w:pPr>
              <w:spacing w:after="40" w:line="252" w:lineRule="auto"/>
            </w:pPr>
            <w:r/>
            <w:r>
              <w:rPr>
                <w:b w:val="0"/>
                <w:sz w:val="15"/>
              </w:rPr>
              <w:t>TRI-DOC-005</w:t>
            </w:r>
          </w:p>
        </w:tc>
        <w:tc>
          <w:tcPr>
            <w:tcW w:type="dxa" w:w="1728"/>
          </w:tcPr>
          <w:p>
            <w:pPr>
              <w:spacing w:after="40" w:line="252" w:lineRule="auto"/>
            </w:pPr>
            <w:r/>
            <w:r>
              <w:rPr>
                <w:b w:val="0"/>
                <w:sz w:val="15"/>
              </w:rPr>
              <w:t>Prototipado y CCB (U3A2)</w:t>
            </w:r>
          </w:p>
        </w:tc>
        <w:tc>
          <w:tcPr>
            <w:tcW w:type="dxa" w:w="720"/>
          </w:tcPr>
          <w:p>
            <w:pPr>
              <w:spacing w:after="40" w:line="252" w:lineRule="auto"/>
            </w:pPr>
            <w:r/>
            <w:r>
              <w:rPr>
                <w:b w:val="0"/>
                <w:sz w:val="15"/>
              </w:rPr>
              <w:t>1.0</w:t>
            </w:r>
          </w:p>
        </w:tc>
        <w:tc>
          <w:tcPr>
            <w:tcW w:type="dxa" w:w="2016"/>
          </w:tcPr>
          <w:p>
            <w:pPr>
              <w:spacing w:after="40" w:line="252" w:lineRule="auto"/>
            </w:pPr>
            <w:r/>
            <w:r>
              <w:rPr>
                <w:b w:val="0"/>
                <w:sz w:val="15"/>
              </w:rPr>
              <w:t>Entregado, 1 iteración</w:t>
            </w:r>
          </w:p>
        </w:tc>
        <w:tc>
          <w:tcPr>
            <w:tcW w:type="dxa" w:w="1584"/>
          </w:tcPr>
          <w:p>
            <w:pPr>
              <w:spacing w:after="40" w:line="252" w:lineRule="auto"/>
            </w:pPr>
            <w:r/>
            <w:r>
              <w:rPr>
                <w:b w:val="0"/>
                <w:sz w:val="15"/>
              </w:rPr>
              <w:t>Federico Márquez (autor). Revisor: Pendiente (docente)</w:t>
            </w:r>
          </w:p>
        </w:tc>
        <w:tc>
          <w:tcPr>
            <w:tcW w:type="dxa" w:w="1008"/>
          </w:tcPr>
          <w:p>
            <w:pPr>
              <w:spacing w:after="40" w:line="252" w:lineRule="auto"/>
            </w:pPr>
            <w:r/>
            <w:r>
              <w:rPr>
                <w:b w:val="0"/>
                <w:sz w:val="15"/>
              </w:rPr>
              <w:t>14/10/2026</w:t>
            </w:r>
          </w:p>
        </w:tc>
        <w:tc>
          <w:tcPr>
            <w:tcW w:type="dxa" w:w="1728"/>
          </w:tcPr>
          <w:p>
            <w:pPr>
              <w:spacing w:after="40" w:line="252" w:lineRule="auto"/>
            </w:pPr>
            <w:r/>
            <w:r>
              <w:rPr>
                <w:b w:val="0"/>
                <w:sz w:val="15"/>
              </w:rPr>
              <w:t>TRI-PRO-003, TRI-PRU-004, TRI-CCB-006, TRI-RFC-002</w:t>
            </w:r>
          </w:p>
        </w:tc>
      </w:tr>
      <w:tr>
        <w:trPr>
          <w:cantSplit/>
        </w:trPr>
        <w:tc>
          <w:tcPr>
            <w:tcW w:type="dxa" w:w="1152"/>
            <w:shd w:val="clear" w:color="auto" w:fill="EDEFF3"/>
          </w:tcPr>
          <w:p>
            <w:pPr>
              <w:spacing w:after="40" w:line="252" w:lineRule="auto"/>
            </w:pPr>
            <w:r/>
            <w:r>
              <w:rPr>
                <w:b w:val="0"/>
                <w:sz w:val="15"/>
              </w:rPr>
              <w:t>TRI-CCB-006</w:t>
            </w:r>
          </w:p>
        </w:tc>
        <w:tc>
          <w:tcPr>
            <w:tcW w:type="dxa" w:w="1728"/>
          </w:tcPr>
          <w:p>
            <w:pPr>
              <w:spacing w:after="40" w:line="252" w:lineRule="auto"/>
            </w:pPr>
            <w:r/>
            <w:r>
              <w:rPr>
                <w:b w:val="0"/>
                <w:sz w:val="15"/>
              </w:rPr>
              <w:t>Decisiones del CCB</w:t>
            </w:r>
          </w:p>
        </w:tc>
        <w:tc>
          <w:tcPr>
            <w:tcW w:type="dxa" w:w="720"/>
          </w:tcPr>
          <w:p>
            <w:pPr>
              <w:spacing w:after="40" w:line="252" w:lineRule="auto"/>
            </w:pPr>
            <w:r/>
            <w:r>
              <w:rPr>
                <w:b w:val="0"/>
                <w:sz w:val="15"/>
              </w:rPr>
              <w:t>1.0</w:t>
            </w:r>
          </w:p>
        </w:tc>
        <w:tc>
          <w:tcPr>
            <w:tcW w:type="dxa" w:w="2016"/>
          </w:tcPr>
          <w:p>
            <w:pPr>
              <w:spacing w:after="40" w:line="252" w:lineRule="auto"/>
            </w:pPr>
            <w:r/>
            <w:r>
              <w:rPr>
                <w:b w:val="0"/>
                <w:sz w:val="15"/>
              </w:rPr>
              <w:t>Reunión simulada del 13/10/2026; 6 RFC aprobadas, 4 sin aprobar</w:t>
            </w:r>
          </w:p>
        </w:tc>
        <w:tc>
          <w:tcPr>
            <w:tcW w:type="dxa" w:w="1584"/>
          </w:tcPr>
          <w:p>
            <w:pPr>
              <w:spacing w:after="40" w:line="252" w:lineRule="auto"/>
            </w:pPr>
            <w:r/>
            <w:r>
              <w:rPr>
                <w:b w:val="0"/>
                <w:sz w:val="15"/>
              </w:rPr>
              <w:t>Federico Márquez (autor). Revisor: Pendiente (docente)</w:t>
            </w:r>
          </w:p>
        </w:tc>
        <w:tc>
          <w:tcPr>
            <w:tcW w:type="dxa" w:w="1008"/>
          </w:tcPr>
          <w:p>
            <w:pPr>
              <w:spacing w:after="40" w:line="252" w:lineRule="auto"/>
            </w:pPr>
            <w:r/>
            <w:r>
              <w:rPr>
                <w:b w:val="0"/>
                <w:sz w:val="15"/>
              </w:rPr>
              <w:t>13/10/2026</w:t>
            </w:r>
          </w:p>
        </w:tc>
        <w:tc>
          <w:tcPr>
            <w:tcW w:type="dxa" w:w="1728"/>
          </w:tcPr>
          <w:p>
            <w:pPr>
              <w:spacing w:after="40" w:line="252" w:lineRule="auto"/>
            </w:pPr>
            <w:r/>
            <w:r>
              <w:rPr>
                <w:b w:val="0"/>
                <w:sz w:val="15"/>
              </w:rPr>
              <w:t>TRI-RFC-002, TRI-DOC-005, TRI-MTZ-007</w:t>
            </w:r>
          </w:p>
        </w:tc>
      </w:tr>
      <w:tr>
        <w:trPr>
          <w:cantSplit/>
        </w:trPr>
        <w:tc>
          <w:tcPr>
            <w:tcW w:type="dxa" w:w="1152"/>
            <w:shd w:val="clear" w:color="auto" w:fill="EDEFF3"/>
          </w:tcPr>
          <w:p>
            <w:pPr>
              <w:spacing w:after="40" w:line="252" w:lineRule="auto"/>
            </w:pPr>
            <w:r/>
            <w:r>
              <w:rPr>
                <w:b w:val="0"/>
                <w:sz w:val="15"/>
              </w:rPr>
              <w:t>TRI-MTZ-007</w:t>
            </w:r>
          </w:p>
        </w:tc>
        <w:tc>
          <w:tcPr>
            <w:tcW w:type="dxa" w:w="1728"/>
          </w:tcPr>
          <w:p>
            <w:pPr>
              <w:spacing w:after="40" w:line="252" w:lineRule="auto"/>
            </w:pPr>
            <w:r/>
            <w:r>
              <w:rPr>
                <w:b w:val="0"/>
                <w:sz w:val="15"/>
              </w:rPr>
              <w:t>Matriz de trazabilidad</w:t>
            </w:r>
          </w:p>
        </w:tc>
        <w:tc>
          <w:tcPr>
            <w:tcW w:type="dxa" w:w="720"/>
          </w:tcPr>
          <w:p>
            <w:pPr>
              <w:spacing w:after="40" w:line="252" w:lineRule="auto"/>
            </w:pPr>
            <w:r/>
            <w:r>
              <w:rPr>
                <w:b w:val="0"/>
                <w:sz w:val="15"/>
              </w:rPr>
              <w:t>1.0</w:t>
            </w:r>
          </w:p>
        </w:tc>
        <w:tc>
          <w:tcPr>
            <w:tcW w:type="dxa" w:w="2016"/>
          </w:tcPr>
          <w:p>
            <w:pPr>
              <w:spacing w:after="40" w:line="252" w:lineRule="auto"/>
            </w:pPr>
            <w:r/>
            <w:r>
              <w:rPr>
                <w:b w:val="0"/>
                <w:sz w:val="15"/>
              </w:rPr>
              <w:t>Generada por script; auditada en TRI-AUD-008</w:t>
            </w:r>
          </w:p>
        </w:tc>
        <w:tc>
          <w:tcPr>
            <w:tcW w:type="dxa" w:w="1584"/>
          </w:tcPr>
          <w:p>
            <w:pPr>
              <w:spacing w:after="40" w:line="252" w:lineRule="auto"/>
            </w:pPr>
            <w:r/>
            <w:r>
              <w:rPr>
                <w:b w:val="0"/>
                <w:sz w:val="15"/>
              </w:rPr>
              <w:t>Federico Márquez (autor). Revisor: Pendiente (docente)</w:t>
            </w:r>
          </w:p>
        </w:tc>
        <w:tc>
          <w:tcPr>
            <w:tcW w:type="dxa" w:w="1008"/>
          </w:tcPr>
          <w:p>
            <w:pPr>
              <w:spacing w:after="40" w:line="252" w:lineRule="auto"/>
            </w:pPr>
            <w:r/>
            <w:r>
              <w:rPr>
                <w:b w:val="0"/>
                <w:sz w:val="15"/>
              </w:rPr>
              <w:t>15/10/2026</w:t>
            </w:r>
          </w:p>
        </w:tc>
        <w:tc>
          <w:tcPr>
            <w:tcW w:type="dxa" w:w="1728"/>
          </w:tcPr>
          <w:p>
            <w:pPr>
              <w:spacing w:after="40" w:line="252" w:lineRule="auto"/>
            </w:pPr>
            <w:r/>
            <w:r>
              <w:rPr>
                <w:b w:val="0"/>
                <w:sz w:val="15"/>
              </w:rPr>
              <w:t>TRI-PBL-001, TRI-PRO-003, TRI-PRU-004, TRI-CCB-006, TRI-AUD-008, TRI-SCR-009</w:t>
            </w:r>
          </w:p>
        </w:tc>
      </w:tr>
      <w:tr>
        <w:trPr>
          <w:cantSplit/>
        </w:trPr>
        <w:tc>
          <w:tcPr>
            <w:tcW w:type="dxa" w:w="1152"/>
            <w:shd w:val="clear" w:color="auto" w:fill="EDEFF3"/>
          </w:tcPr>
          <w:p>
            <w:pPr>
              <w:spacing w:after="40" w:line="252" w:lineRule="auto"/>
            </w:pPr>
            <w:r/>
            <w:r>
              <w:rPr>
                <w:b w:val="0"/>
                <w:sz w:val="15"/>
              </w:rPr>
              <w:t>TRI-AUD-008</w:t>
            </w:r>
          </w:p>
        </w:tc>
        <w:tc>
          <w:tcPr>
            <w:tcW w:type="dxa" w:w="1728"/>
          </w:tcPr>
          <w:p>
            <w:pPr>
              <w:spacing w:after="40" w:line="252" w:lineRule="auto"/>
            </w:pPr>
            <w:r/>
            <w:r>
              <w:rPr>
                <w:b w:val="0"/>
                <w:sz w:val="15"/>
              </w:rPr>
              <w:t>Auditoría de trazabilidad</w:t>
            </w:r>
          </w:p>
        </w:tc>
        <w:tc>
          <w:tcPr>
            <w:tcW w:type="dxa" w:w="720"/>
          </w:tcPr>
          <w:p>
            <w:pPr>
              <w:spacing w:after="40" w:line="252" w:lineRule="auto"/>
            </w:pPr>
            <w:r/>
            <w:r>
              <w:rPr>
                <w:b w:val="0"/>
                <w:sz w:val="15"/>
              </w:rPr>
              <w:t>1.0</w:t>
            </w:r>
          </w:p>
        </w:tc>
        <w:tc>
          <w:tcPr>
            <w:tcW w:type="dxa" w:w="2016"/>
          </w:tcPr>
          <w:p>
            <w:pPr>
              <w:spacing w:after="40" w:line="252" w:lineRule="auto"/>
            </w:pPr>
            <w:r/>
            <w:r>
              <w:rPr>
                <w:b w:val="0"/>
                <w:sz w:val="15"/>
              </w:rPr>
              <w:t>Realizada; hallazgos abiertos con responsable</w:t>
            </w:r>
          </w:p>
        </w:tc>
        <w:tc>
          <w:tcPr>
            <w:tcW w:type="dxa" w:w="1584"/>
          </w:tcPr>
          <w:p>
            <w:pPr>
              <w:spacing w:after="40" w:line="252" w:lineRule="auto"/>
            </w:pPr>
            <w:r/>
            <w:r>
              <w:rPr>
                <w:b w:val="0"/>
                <w:sz w:val="15"/>
              </w:rPr>
              <w:t>Federico Márquez (autor). Revisor: Pendiente (docente)</w:t>
            </w:r>
          </w:p>
        </w:tc>
        <w:tc>
          <w:tcPr>
            <w:tcW w:type="dxa" w:w="1008"/>
          </w:tcPr>
          <w:p>
            <w:pPr>
              <w:spacing w:after="40" w:line="252" w:lineRule="auto"/>
            </w:pPr>
            <w:r/>
            <w:r>
              <w:rPr>
                <w:b w:val="0"/>
                <w:sz w:val="15"/>
              </w:rPr>
              <w:t>15/10/2026</w:t>
            </w:r>
          </w:p>
        </w:tc>
        <w:tc>
          <w:tcPr>
            <w:tcW w:type="dxa" w:w="1728"/>
          </w:tcPr>
          <w:p>
            <w:pPr>
              <w:spacing w:after="40" w:line="252" w:lineRule="auto"/>
            </w:pPr>
            <w:r/>
            <w:r>
              <w:rPr>
                <w:b w:val="0"/>
                <w:sz w:val="15"/>
              </w:rPr>
              <w:t>TRI-MTZ-007, TRI-SCR-009, TRI-PBL-001</w:t>
            </w:r>
          </w:p>
        </w:tc>
      </w:tr>
      <w:tr>
        <w:trPr>
          <w:cantSplit/>
        </w:trPr>
        <w:tc>
          <w:tcPr>
            <w:tcW w:type="dxa" w:w="1152"/>
            <w:shd w:val="clear" w:color="auto" w:fill="EDEFF3"/>
          </w:tcPr>
          <w:p>
            <w:pPr>
              <w:spacing w:after="40" w:line="252" w:lineRule="auto"/>
            </w:pPr>
            <w:r/>
            <w:r>
              <w:rPr>
                <w:b w:val="0"/>
                <w:sz w:val="15"/>
              </w:rPr>
              <w:t>TRI-SCR-009</w:t>
            </w:r>
          </w:p>
        </w:tc>
        <w:tc>
          <w:tcPr>
            <w:tcW w:type="dxa" w:w="1728"/>
          </w:tcPr>
          <w:p>
            <w:pPr>
              <w:spacing w:after="40" w:line="252" w:lineRule="auto"/>
            </w:pPr>
            <w:r/>
            <w:r>
              <w:rPr>
                <w:b w:val="0"/>
                <w:sz w:val="15"/>
              </w:rPr>
              <w:t>Herramienta de trazabilidad</w:t>
            </w:r>
          </w:p>
        </w:tc>
        <w:tc>
          <w:tcPr>
            <w:tcW w:type="dxa" w:w="720"/>
          </w:tcPr>
          <w:p>
            <w:pPr>
              <w:spacing w:after="40" w:line="252" w:lineRule="auto"/>
            </w:pPr>
            <w:r/>
            <w:r>
              <w:rPr>
                <w:b w:val="0"/>
                <w:sz w:val="15"/>
              </w:rPr>
              <w:t>1.0</w:t>
            </w:r>
          </w:p>
        </w:tc>
        <w:tc>
          <w:tcPr>
            <w:tcW w:type="dxa" w:w="2016"/>
          </w:tcPr>
          <w:p>
            <w:pPr>
              <w:spacing w:after="40" w:line="252" w:lineRule="auto"/>
            </w:pPr>
            <w:r/>
            <w:r>
              <w:rPr>
                <w:b w:val="0"/>
                <w:sz w:val="15"/>
              </w:rPr>
              <w:t>Operativa</w:t>
            </w:r>
          </w:p>
        </w:tc>
        <w:tc>
          <w:tcPr>
            <w:tcW w:type="dxa" w:w="1584"/>
          </w:tcPr>
          <w:p>
            <w:pPr>
              <w:spacing w:after="40" w:line="252" w:lineRule="auto"/>
            </w:pPr>
            <w:r/>
            <w:r>
              <w:rPr>
                <w:b w:val="0"/>
                <w:sz w:val="15"/>
              </w:rPr>
              <w:t>Federico Márquez (autor). Revisor: Pendiente (docente)</w:t>
            </w:r>
          </w:p>
        </w:tc>
        <w:tc>
          <w:tcPr>
            <w:tcW w:type="dxa" w:w="1008"/>
          </w:tcPr>
          <w:p>
            <w:pPr>
              <w:spacing w:after="40" w:line="252" w:lineRule="auto"/>
            </w:pPr>
            <w:r/>
            <w:r>
              <w:rPr>
                <w:b w:val="0"/>
                <w:sz w:val="15"/>
              </w:rPr>
              <w:t>15/10/2026</w:t>
            </w:r>
          </w:p>
        </w:tc>
        <w:tc>
          <w:tcPr>
            <w:tcW w:type="dxa" w:w="1728"/>
          </w:tcPr>
          <w:p>
            <w:pPr>
              <w:spacing w:after="40" w:line="252" w:lineRule="auto"/>
            </w:pPr>
            <w:r/>
            <w:r>
              <w:rPr>
                <w:b w:val="0"/>
                <w:sz w:val="15"/>
              </w:rPr>
              <w:t>TRI-MTZ-007, TRI-AUD-008, TRI-CCB-006</w:t>
            </w:r>
          </w:p>
        </w:tc>
      </w:tr>
    </w:tbl>
    <w:p>
      <w:pPr>
        <w:spacing w:after="40"/>
      </w:pPr>
    </w:p>
    <w:p>
      <w:pPr>
        <w:pStyle w:val="Heading3"/>
      </w:pPr>
      <w:r>
        <w:t>Cómo se asignan los metadatos</w:t>
      </w:r>
    </w:p>
    <w:p>
      <w:pPr>
        <w:spacing w:after="40"/>
        <w:ind w:left="288" w:hanging="288"/>
      </w:pPr>
      <w:r>
        <w:rPr>
          <w:b w:val="0"/>
        </w:rPr>
        <w:t xml:space="preserve">•  </w:t>
      </w:r>
      <w:r>
        <w:rPr>
          <w:b/>
        </w:rPr>
        <w:t>ID único.</w:t>
      </w:r>
      <w:r>
        <w:rPr>
          <w:b w:val="0"/>
        </w:rPr>
        <w:t xml:space="preserve"> Formato PROYECTO-TIPO-NNN (por ejemplo TRI-PRO-003). TIPO es PBL (backlog), RFC, PRO (prototipo), PRU (pruebas), DOC (informe), CCB (acta), MTZ (matriz), AUD (auditoría) o SCR (script). El número no se reutiliza.</w:t>
      </w:r>
    </w:p>
    <w:p>
      <w:pPr>
        <w:spacing w:after="40"/>
        <w:ind w:left="288" w:hanging="288"/>
      </w:pPr>
      <w:r>
        <w:rPr>
          <w:b w:val="0"/>
        </w:rPr>
        <w:t xml:space="preserve">•  </w:t>
      </w:r>
      <w:r>
        <w:rPr>
          <w:b/>
        </w:rPr>
        <w:t>Versión.</w:t>
      </w:r>
      <w:r>
        <w:rPr>
          <w:b w:val="0"/>
        </w:rPr>
        <w:t xml:space="preserve"> 1.0 para lo entregado una vez. El prototipo está en 0.2 porque tuvo dos iteraciones (la 0.1 se conserva como evidencia en pruebas/).</w:t>
      </w:r>
    </w:p>
    <w:p>
      <w:pPr>
        <w:spacing w:after="40"/>
        <w:ind w:left="288" w:hanging="288"/>
      </w:pPr>
      <w:r>
        <w:rPr>
          <w:b w:val="0"/>
        </w:rPr>
        <w:t xml:space="preserve">•  </w:t>
      </w:r>
      <w:r>
        <w:rPr>
          <w:b/>
        </w:rPr>
        <w:t>Estado final.</w:t>
      </w:r>
      <w:r>
        <w:rPr>
          <w:b w:val="0"/>
        </w:rPr>
        <w:t xml:space="preserve"> Dice cómo terminó el artefacto, no solo que existe. Ejemplo: «Validado con 30 pruebas automáticas; 7 defectos abiertos».</w:t>
      </w:r>
    </w:p>
    <w:p>
      <w:pPr>
        <w:spacing w:after="40"/>
        <w:ind w:left="288" w:hanging="288"/>
      </w:pPr>
      <w:r>
        <w:rPr>
          <w:b w:val="0"/>
        </w:rPr>
        <w:t xml:space="preserve">•  </w:t>
      </w:r>
      <w:r>
        <w:rPr>
          <w:b/>
        </w:rPr>
        <w:t>Autor o revisor.</w:t>
      </w:r>
      <w:r>
        <w:rPr>
          <w:b w:val="0"/>
        </w:rPr>
        <w:t xml:space="preserve"> El autor soy yo. El revisor queda pendiente: lo asignará el docente.</w:t>
      </w:r>
    </w:p>
    <w:p>
      <w:pPr>
        <w:spacing w:after="40"/>
        <w:ind w:left="288" w:hanging="288"/>
      </w:pPr>
      <w:r>
        <w:rPr>
          <w:b w:val="0"/>
        </w:rPr>
        <w:t xml:space="preserve">•  </w:t>
      </w:r>
      <w:r>
        <w:rPr>
          <w:b/>
        </w:rPr>
        <w:t>Fecha de cierre.</w:t>
      </w:r>
      <w:r>
        <w:rPr>
          <w:b w:val="0"/>
        </w:rPr>
        <w:t xml:space="preserve"> La del último cambio. Coincide con la fecha de confirmación en git para los artefactos ya subidos.</w:t>
      </w:r>
    </w:p>
    <w:p>
      <w:pPr>
        <w:spacing w:after="40"/>
        <w:ind w:left="288" w:hanging="288"/>
      </w:pPr>
      <w:r>
        <w:rPr>
          <w:b w:val="0"/>
        </w:rPr>
        <w:t xml:space="preserve">•  </w:t>
      </w:r>
      <w:r>
        <w:rPr>
          <w:b/>
        </w:rPr>
        <w:t>Artefactos relacionados.</w:t>
      </w:r>
      <w:r>
        <w:rPr>
          <w:b w:val="0"/>
        </w:rPr>
        <w:t xml:space="preserve"> Los IDs de los artefactos de los que depende o que dependen de él. El script comprueba que cada ID exista.</w:t>
      </w:r>
    </w:p>
    <w:p>
      <w:pPr>
        <w:pStyle w:val="Heading2"/>
      </w:pPr>
      <w:r>
        <w:t>1.2 Organización del repositorio</w:t>
      </w:r>
    </w:p>
    <w:p>
      <w:pPr>
        <w:spacing w:after="60"/>
      </w:pPr>
      <w:r>
        <w:rPr>
          <w:b w:val="0"/>
        </w:rPr>
        <w:t>Una carpeta por tarea del curso. Dentro de cada carpeta está todo lo que esa tarea produjo.</w:t>
      </w:r>
    </w:p>
    <w:tbl>
      <w:tblPr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DC8"/>
          <w:left w:val="single" w:sz="4" w:space="0" w:color="B7BDC8"/>
          <w:bottom w:val="single" w:sz="4" w:space="0" w:color="B7BDC8"/>
          <w:right w:val="single" w:sz="4" w:space="0" w:color="B7BDC8"/>
          <w:insideH w:val="single" w:sz="4" w:space="0" w:color="B7BDC8"/>
          <w:insideV w:val="single" w:sz="4" w:space="0" w:color="B7BDC8"/>
        </w:tblBorders>
        <w:tblCellMar>
          <w:top w:w="50" w:type="dxa"/>
          <w:left w:w="90" w:type="dxa"/>
          <w:bottom w:w="50" w:type="dxa"/>
          <w:right w:w="90" w:type="dxa"/>
        </w:tblCellMar>
        <w:tblLayout w:type="fixed"/>
        <w:tblW w:w="9648" w:type="dxa"/>
      </w:tblPr>
      <w:tblGrid>
        <w:gridCol w:w="1872"/>
        <w:gridCol w:w="1728"/>
        <w:gridCol w:w="4176"/>
        <w:gridCol w:w="1872"/>
      </w:tblGrid>
      <w:tr>
        <w:trPr>
          <w:tblHeader/>
          <w:cantSplit/>
        </w:trPr>
        <w:tc>
          <w:tcPr>
            <w:tcW w:type="dxa" w:w="1872"/>
            <w:shd w:val="clear" w:color="auto" w:fill="1F3864"/>
          </w:tcPr>
          <w:p>
            <w:pPr>
              <w:spacing w:after="40" w:line="252" w:lineRule="auto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Carpeta</w:t>
            </w:r>
          </w:p>
        </w:tc>
        <w:tc>
          <w:tcPr>
            <w:tcW w:type="dxa" w:w="1728"/>
            <w:shd w:val="clear" w:color="auto" w:fill="1F3864"/>
          </w:tcPr>
          <w:p>
            <w:pPr>
              <w:spacing w:after="40" w:line="252" w:lineRule="auto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Tarea</w:t>
            </w:r>
          </w:p>
        </w:tc>
        <w:tc>
          <w:tcPr>
            <w:tcW w:type="dxa" w:w="4176"/>
            <w:shd w:val="clear" w:color="auto" w:fill="1F3864"/>
          </w:tcPr>
          <w:p>
            <w:pPr>
              <w:spacing w:after="40" w:line="252" w:lineRule="auto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Qué guarda</w:t>
            </w:r>
          </w:p>
        </w:tc>
        <w:tc>
          <w:tcPr>
            <w:tcW w:type="dxa" w:w="1872"/>
            <w:shd w:val="clear" w:color="auto" w:fill="1F3864"/>
          </w:tcPr>
          <w:p>
            <w:pPr>
              <w:spacing w:after="40" w:line="252" w:lineRule="auto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Artefactos</w:t>
            </w:r>
          </w:p>
        </w:tc>
      </w:tr>
      <w:tr>
        <w:trPr>
          <w:cantSplit/>
        </w:trPr>
        <w:tc>
          <w:tcPr>
            <w:tcW w:type="dxa" w:w="1872"/>
            <w:shd w:val="clear" w:color="auto" w:fill="EDEFF3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Backlog/</w:t>
            </w:r>
          </w:p>
        </w:tc>
        <w:tc>
          <w:tcPr>
            <w:tcW w:type="dxa" w:w="1728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Product Backlog</w:t>
            </w:r>
          </w:p>
        </w:tc>
        <w:tc>
          <w:tcPr>
            <w:tcW w:type="dxa" w:w="4176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Backlog de 18 ítems (HU-01 a HU-12, RNF-01 a RNF-06) en el archivo de ReqView (.reqw, fuente) y en HTML</w:t>
            </w:r>
          </w:p>
        </w:tc>
        <w:tc>
          <w:tcPr>
            <w:tcW w:type="dxa" w:w="1872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TRI-PBL-001</w:t>
            </w:r>
          </w:p>
        </w:tc>
      </w:tr>
      <w:tr>
        <w:trPr>
          <w:cantSplit/>
        </w:trPr>
        <w:tc>
          <w:tcPr>
            <w:tcW w:type="dxa" w:w="1872"/>
            <w:shd w:val="clear" w:color="auto" w:fill="EDEFF3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U3A1-RFC/</w:t>
            </w:r>
          </w:p>
        </w:tc>
        <w:tc>
          <w:tcPr>
            <w:tcW w:type="dxa" w:w="1728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U3A1 · RFC</w:t>
            </w:r>
          </w:p>
        </w:tc>
        <w:tc>
          <w:tcPr>
            <w:tcW w:type="dxa" w:w="4176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10 solicitudes de cambio con su análisis de impacto (PDF y Word)</w:t>
            </w:r>
          </w:p>
        </w:tc>
        <w:tc>
          <w:tcPr>
            <w:tcW w:type="dxa" w:w="1872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TRI-RFC-002</w:t>
            </w:r>
          </w:p>
        </w:tc>
      </w:tr>
      <w:tr>
        <w:trPr>
          <w:cantSplit/>
        </w:trPr>
        <w:tc>
          <w:tcPr>
            <w:tcW w:type="dxa" w:w="1872"/>
            <w:shd w:val="clear" w:color="auto" w:fill="EDEFF3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U3A2-Prototipado/</w:t>
            </w:r>
          </w:p>
        </w:tc>
        <w:tc>
          <w:tcPr>
            <w:tcW w:type="dxa" w:w="1728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U3A2 · Prototipado y CCB</w:t>
            </w:r>
          </w:p>
        </w:tc>
        <w:tc>
          <w:tcPr>
            <w:tcW w:type="dxa" w:w="4176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Informe; prototipo/ (con marcas @trace); pruebas/ (pruebas, resultados, capturas y evidencia de la versión 0.1); trazabilidad/ (decisiones del CCB y matriz de cambios aprobados)</w:t>
            </w:r>
          </w:p>
        </w:tc>
        <w:tc>
          <w:tcPr>
            <w:tcW w:type="dxa" w:w="1872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TRI-PRO-003, TRI-PRU-004, TRI-DOC-005, TRI-CCB-006</w:t>
            </w:r>
          </w:p>
        </w:tc>
      </w:tr>
      <w:tr>
        <w:trPr>
          <w:cantSplit/>
        </w:trPr>
        <w:tc>
          <w:tcPr>
            <w:tcW w:type="dxa" w:w="1872"/>
            <w:shd w:val="clear" w:color="auto" w:fill="EDEFF3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U4A1-Trazabilidad/</w:t>
            </w:r>
          </w:p>
        </w:tc>
        <w:tc>
          <w:tcPr>
            <w:tcW w:type="dxa" w:w="1728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U4A1 · Trazabilidad</w:t>
            </w:r>
          </w:p>
        </w:tc>
        <w:tc>
          <w:tcPr>
            <w:tcW w:type="dxa" w:w="4176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Informe, herramienta, necesidades, catálogo de metadatos, matriz en Excel y auditoría</w:t>
            </w:r>
          </w:p>
        </w:tc>
        <w:tc>
          <w:tcPr>
            <w:tcW w:type="dxa" w:w="1872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TRI-MTZ-007, TRI-AUD-008, TRI-SCR-009</w:t>
            </w:r>
          </w:p>
        </w:tc>
      </w:tr>
      <w:tr>
        <w:trPr>
          <w:cantSplit/>
        </w:trPr>
        <w:tc>
          <w:tcPr>
            <w:tcW w:type="dxa" w:w="1872"/>
            <w:shd w:val="clear" w:color="auto" w:fill="EDEFF3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README.md</w:t>
            </w:r>
          </w:p>
        </w:tc>
        <w:tc>
          <w:tcPr>
            <w:tcW w:type="dxa" w:w="1728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Índice</w:t>
            </w:r>
          </w:p>
        </w:tc>
        <w:tc>
          <w:tcPr>
            <w:tcW w:type="dxa" w:w="4176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Contexto, necesidades, requisitos, validación, trazabilidad y decisiones del CCB; tabla de metadatos</w:t>
            </w:r>
          </w:p>
        </w:tc>
        <w:tc>
          <w:tcPr>
            <w:tcW w:type="dxa" w:w="1872"/>
          </w:tcPr>
          <w:p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Todos</w:t>
            </w:r>
          </w:p>
        </w:tc>
      </w:tr>
    </w:tbl>
    <w:p>
      <w:pPr>
        <w:spacing w:after="40"/>
      </w:pPr>
    </w:p>
    <w:p>
      <w:r>
        <w:rPr>
          <w:b w:val="0"/>
          <w:sz w:val="20"/>
        </w:rPr>
        <w:t>El README de la rama sigue la estructura de las demás ramas del repositorio de referencia (tabla de versiones y secciones de contexto a gestión de cambios). Le agregué la columna de artefactos relacionados, que la tabla del otro repositorio no tiene, y las carpetas por tarea.</w:t>
      </w:r>
    </w:p>
    <w:p>
      <w:pPr>
        <w:pStyle w:val="Heading1"/>
      </w:pPr>
      <w:r>
        <w:t>Herramientas</w:t>
      </w:r>
    </w:p>
    <w:p>
      <w:pPr>
        <w:pStyle w:val="Heading2"/>
      </w:pPr>
      <w:r>
        <w:t>2.1 Gestión automatizada de artefactos</w:t>
      </w:r>
    </w:p>
    <w:p>
      <w:pPr>
        <w:spacing w:after="40"/>
      </w:pPr>
      <w:r>
        <w:rPr>
          <w:b w:val="0"/>
        </w:rPr>
        <w:t>La herramienta es U4A1-Trazabilidad/herramienta.py (Python, usa openpyxl). Se ejecuta con un comando y no pide editar nada a mano:</w:t>
      </w:r>
    </w:p>
    <w:p>
      <w:pPr>
        <w:spacing w:after="80"/>
        <w:jc w:val="center"/>
      </w:pPr>
      <w:r>
        <w:rPr>
          <w:b w:val="0"/>
          <w:sz w:val="20"/>
        </w:rPr>
        <w:t>python3 U4A1-Trazabilidad/herramienta.py todo</w:t>
      </w:r>
    </w:p>
    <w:tbl>
      <w:tblPr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DC8"/>
          <w:left w:val="single" w:sz="4" w:space="0" w:color="B7BDC8"/>
          <w:bottom w:val="single" w:sz="4" w:space="0" w:color="B7BDC8"/>
          <w:right w:val="single" w:sz="4" w:space="0" w:color="B7BDC8"/>
          <w:insideH w:val="single" w:sz="4" w:space="0" w:color="B7BDC8"/>
          <w:insideV w:val="single" w:sz="4" w:space="0" w:color="B7BDC8"/>
        </w:tblBorders>
        <w:tblCellMar>
          <w:top w:w="50" w:type="dxa"/>
          <w:left w:w="90" w:type="dxa"/>
          <w:bottom w:w="50" w:type="dxa"/>
          <w:right w:w="90" w:type="dxa"/>
        </w:tblCellMar>
        <w:tblLayout w:type="fixed"/>
        <w:tblW w:w="9648" w:type="dxa"/>
      </w:tblPr>
      <w:tblGrid>
        <w:gridCol w:w="1728"/>
        <w:gridCol w:w="7920"/>
      </w:tblGrid>
      <w:tr>
        <w:trPr>
          <w:tblHeader/>
          <w:cantSplit/>
        </w:trPr>
        <w:tc>
          <w:tcPr>
            <w:tcW w:type="dxa" w:w="1728"/>
            <w:shd w:val="clear" w:color="auto" w:fill="1F3864"/>
          </w:tcPr>
          <w:p>
            <w:pPr>
              <w:spacing w:after="40" w:line="252" w:lineRule="auto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Subcomando</w:t>
            </w:r>
          </w:p>
        </w:tc>
        <w:tc>
          <w:tcPr>
            <w:tcW w:type="dxa" w:w="7920"/>
            <w:shd w:val="clear" w:color="auto" w:fill="1F3864"/>
          </w:tcPr>
          <w:p>
            <w:pPr>
              <w:spacing w:after="40" w:line="252" w:lineRule="auto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Qué hace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EDEFF3"/>
          </w:tcPr>
          <w:p>
            <w:pPr>
              <w:spacing w:after="40" w:line="252" w:lineRule="auto"/>
            </w:pPr>
            <w:r/>
            <w:r>
              <w:rPr>
                <w:b w:val="0"/>
                <w:sz w:val="17"/>
              </w:rPr>
              <w:t>catalogo</w:t>
            </w:r>
          </w:p>
        </w:tc>
        <w:tc>
          <w:tcPr>
            <w:tcW w:type="dxa" w:w="7920"/>
          </w:tcPr>
          <w:p>
            <w:pPr>
              <w:spacing w:after="40" w:line="252" w:lineRule="auto"/>
            </w:pPr>
            <w:r/>
            <w:r>
              <w:rPr>
                <w:b w:val="0"/>
                <w:sz w:val="17"/>
              </w:rPr>
              <w:t>Comprueba que cada artefacto tenga los seis metadatos, que sus archivos existan, que los artefactos relacionados existan y que estén en git. Actualiza la tabla del README.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EDEFF3"/>
          </w:tcPr>
          <w:p>
            <w:pPr>
              <w:spacing w:after="40" w:line="252" w:lineRule="auto"/>
            </w:pPr>
            <w:r/>
            <w:r>
              <w:rPr>
                <w:b w:val="0"/>
                <w:sz w:val="17"/>
              </w:rPr>
              <w:t>matriz</w:t>
            </w:r>
          </w:p>
        </w:tc>
        <w:tc>
          <w:tcPr>
            <w:tcW w:type="dxa" w:w="7920"/>
          </w:tcPr>
          <w:p>
            <w:pPr>
              <w:spacing w:after="40" w:line="252" w:lineRule="auto"/>
            </w:pPr>
            <w:r/>
            <w:r>
              <w:rPr>
                <w:b w:val="0"/>
                <w:sz w:val="17"/>
              </w:rPr>
              <w:t>Genera Matriz_trazabilidad.xlsx (y el CSV y el Markdown de los cambios aprobados) leyendo el código, el backlog, las pruebas y las decisiones del CCB.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EDEFF3"/>
          </w:tcPr>
          <w:p>
            <w:pPr>
              <w:spacing w:after="40" w:line="252" w:lineRule="auto"/>
            </w:pPr>
            <w:r/>
            <w:r>
              <w:rPr>
                <w:b w:val="0"/>
                <w:sz w:val="17"/>
              </w:rPr>
              <w:t>auditoria</w:t>
            </w:r>
          </w:p>
        </w:tc>
        <w:tc>
          <w:tcPr>
            <w:tcW w:type="dxa" w:w="7920"/>
          </w:tcPr>
          <w:p>
            <w:pPr>
              <w:spacing w:after="40" w:line="252" w:lineRule="auto"/>
            </w:pPr>
            <w:r/>
            <w:r>
              <w:rPr>
                <w:b w:val="0"/>
                <w:sz w:val="17"/>
              </w:rPr>
              <w:t>Recorre la cadena necesidad → requisito → prueba → código → resultado y escribe Auditoria_trazabilidad.md con las rupturas.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EDEFF3"/>
          </w:tcPr>
          <w:p>
            <w:pPr>
              <w:spacing w:after="40" w:line="252" w:lineRule="auto"/>
            </w:pPr>
            <w:r/>
            <w:r>
              <w:rPr>
                <w:b w:val="0"/>
                <w:sz w:val="17"/>
              </w:rPr>
              <w:t>todo</w:t>
            </w:r>
          </w:p>
        </w:tc>
        <w:tc>
          <w:tcPr>
            <w:tcW w:type="dxa" w:w="7920"/>
          </w:tcPr>
          <w:p>
            <w:pPr>
              <w:spacing w:after="40" w:line="252" w:lineRule="auto"/>
            </w:pPr>
            <w:r/>
            <w:r>
              <w:rPr>
                <w:b w:val="0"/>
                <w:sz w:val="17"/>
              </w:rPr>
              <w:t>Hace los tres pasos en ese orden.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b w:val="0"/>
        </w:rPr>
        <w:t>Los datos de entrada son archivos del repositorio, no copias: el código del prototipo, el archivo .reqw del backlog (ReqView), los resultados de las pruebas y tres JSON pequeños (necesidades, decisiones del CCB y catálogo). Si cambia una fuente, se vuelve a ejecutar el comando y todo se actualiza.</w:t>
      </w:r>
    </w:p>
    <w:p>
      <w:pPr>
        <w:pStyle w:val="Heading2"/>
      </w:pPr>
      <w:r>
        <w:t>2.2 Control de versiones</w:t>
      </w:r>
    </w:p>
    <w:p>
      <w:pPr>
        <w:spacing w:after="40"/>
        <w:ind w:left="288" w:hanging="288"/>
      </w:pPr>
      <w:r>
        <w:rPr>
          <w:b w:val="0"/>
        </w:rPr>
        <w:t>•  Todo el proyecto está en git, en el repositorio FEDERICOMAR79/Trazabilidad_requisitos. El proyecto Tripulaciones está en la rama tripulaciones.</w:t>
      </w:r>
    </w:p>
    <w:p>
      <w:pPr>
        <w:spacing w:after="40"/>
        <w:ind w:left="288" w:hanging="288"/>
      </w:pPr>
      <w:r>
        <w:rPr>
          <w:b w:val="0"/>
        </w:rPr>
        <w:t>•  Cada entrega se confirma en un commit propio con un mensaje que dice qué cambió. El historial de un archivo se consulta con git log --oneline -- ruta.</w:t>
      </w:r>
    </w:p>
    <w:p>
      <w:pPr>
        <w:spacing w:after="40"/>
        <w:ind w:left="288" w:hanging="288"/>
      </w:pPr>
      <w:r>
        <w:rPr>
          <w:b w:val="0"/>
        </w:rPr>
        <w:t>•  La herramienta revisa que cada archivo del catálogo esté bajo git y marca un hallazgo si no lo está. Por eso se ejecuta después de git add y antes del commit.</w:t>
      </w:r>
    </w:p>
    <w:p>
      <w:pPr>
        <w:spacing w:after="40"/>
        <w:ind w:left="288" w:hanging="288"/>
      </w:pPr>
      <w:r>
        <w:rPr>
          <w:b w:val="0"/>
        </w:rPr>
        <w:t>•  El versionado de cada artefacto (campo versión) es independiente del historial de git: git guarda cada cambio; la versión marca los hitos entregados.</w:t>
      </w:r>
    </w:p>
    <w:p>
      <w:pPr>
        <w:pStyle w:val="Heading1"/>
      </w:pPr>
      <w:r>
        <w:t>Matriz de trazabilidad</w:t>
      </w:r>
    </w:p>
    <w:p>
      <w:pPr>
        <w:pStyle w:val="Heading2"/>
      </w:pPr>
      <w:r>
        <w:t>3.1 Cómo se genera a partir del código</w:t>
      </w:r>
    </w:p>
    <w:p>
      <w:pPr>
        <w:spacing w:after="40"/>
      </w:pPr>
      <w:r>
        <w:rPr>
          <w:b w:val="0"/>
        </w:rPr>
        <w:t>La matriz no se escribe a mano. Cada función del prototipo lleva un comentario que dice qué requisito implementa:</w:t>
      </w:r>
    </w:p>
    <w:p>
      <w:pPr>
        <w:spacing w:after="60"/>
        <w:jc w:val="center"/>
      </w:pPr>
      <w:r>
        <w:rPr>
          <w:b w:val="0"/>
          <w:sz w:val="19"/>
        </w:rPr>
        <w:t>/* @trace HU-08 RNF-02 */ function abrirConfirmar(...) { ... }</w:t>
      </w:r>
    </w:p>
    <w:p>
      <w:pPr>
        <w:spacing w:after="60"/>
      </w:pPr>
      <w:r>
        <w:rPr>
          <w:b w:val="0"/>
        </w:rPr>
        <w:t>El script lee esas marcas, las cruza con las pruebas (cada prueba declara el requisito que verifica) y con el backlog, y construye la matriz. Si alguien cambia el código y borra la marca, la matriz y la auditoría lo reflejan al regenerarlas.</w:t>
      </w:r>
    </w:p>
    <w:p>
      <w:pPr>
        <w:pStyle w:val="Heading2"/>
      </w:pPr>
      <w:r>
        <w:t>3.2 Qué contiene Matriz_trazabilidad.xlsx</w:t>
      </w:r>
    </w:p>
    <w:tbl>
      <w:tblPr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DC8"/>
          <w:left w:val="single" w:sz="4" w:space="0" w:color="B7BDC8"/>
          <w:bottom w:val="single" w:sz="4" w:space="0" w:color="B7BDC8"/>
          <w:right w:val="single" w:sz="4" w:space="0" w:color="B7BDC8"/>
          <w:insideH w:val="single" w:sz="4" w:space="0" w:color="B7BDC8"/>
          <w:insideV w:val="single" w:sz="4" w:space="0" w:color="B7BDC8"/>
        </w:tblBorders>
        <w:tblCellMar>
          <w:top w:w="50" w:type="dxa"/>
          <w:left w:w="90" w:type="dxa"/>
          <w:bottom w:w="50" w:type="dxa"/>
          <w:right w:w="90" w:type="dxa"/>
        </w:tblCellMar>
        <w:tblLayout w:type="fixed"/>
        <w:tblW w:w="9647" w:type="dxa"/>
      </w:tblPr>
      <w:tblGrid>
        <w:gridCol w:w="2304"/>
        <w:gridCol w:w="7343"/>
      </w:tblGrid>
      <w:tr>
        <w:trPr>
          <w:tblHeader/>
          <w:cantSplit/>
        </w:trPr>
        <w:tc>
          <w:tcPr>
            <w:tcW w:type="dxa" w:w="2304"/>
            <w:shd w:val="clear" w:color="auto" w:fill="1F3864"/>
          </w:tcPr>
          <w:p>
            <w:pPr>
              <w:spacing w:after="40" w:line="252" w:lineRule="auto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Hoja</w:t>
            </w:r>
          </w:p>
        </w:tc>
        <w:tc>
          <w:tcPr>
            <w:tcW w:type="dxa" w:w="7344"/>
            <w:shd w:val="clear" w:color="auto" w:fill="1F3864"/>
          </w:tcPr>
          <w:p>
            <w:pPr>
              <w:spacing w:after="40" w:line="252" w:lineRule="auto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Contenido</w:t>
            </w:r>
          </w:p>
        </w:tc>
      </w:tr>
      <w:tr>
        <w:trPr>
          <w:cantSplit/>
        </w:trPr>
        <w:tc>
          <w:tcPr>
            <w:tcW w:type="dxa" w:w="2304"/>
            <w:shd w:val="clear" w:color="auto" w:fill="EDEFF3"/>
          </w:tcPr>
          <w:p>
            <w:pPr>
              <w:spacing w:after="40" w:line="252" w:lineRule="auto"/>
            </w:pPr>
            <w:r/>
            <w:r>
              <w:rPr>
                <w:b w:val="0"/>
                <w:sz w:val="17"/>
              </w:rPr>
              <w:t>Matriz principal</w:t>
            </w:r>
          </w:p>
        </w:tc>
        <w:tc>
          <w:tcPr>
            <w:tcW w:type="dxa" w:w="7344"/>
          </w:tcPr>
          <w:p>
            <w:pPr>
              <w:spacing w:after="40" w:line="252" w:lineRule="auto"/>
            </w:pPr>
            <w:r/>
            <w:r>
              <w:rPr>
                <w:b w:val="0"/>
                <w:sz w:val="17"/>
              </w:rPr>
              <w:t>Una fila por requisito (18): necesidad, actor, prioridad, código, casos de prueba, resultado, estado, RFC aprobadas y notas.</w:t>
            </w:r>
          </w:p>
        </w:tc>
      </w:tr>
      <w:tr>
        <w:trPr>
          <w:cantSplit/>
        </w:trPr>
        <w:tc>
          <w:tcPr>
            <w:tcW w:type="dxa" w:w="2304"/>
            <w:shd w:val="clear" w:color="auto" w:fill="EDEFF3"/>
          </w:tcPr>
          <w:p>
            <w:pPr>
              <w:spacing w:after="40" w:line="252" w:lineRule="auto"/>
            </w:pPr>
            <w:r/>
            <w:r>
              <w:rPr>
                <w:b w:val="0"/>
                <w:sz w:val="17"/>
              </w:rPr>
              <w:t>Trazabilidad visual</w:t>
            </w:r>
          </w:p>
        </w:tc>
        <w:tc>
          <w:tcPr>
            <w:tcW w:type="dxa" w:w="7344"/>
          </w:tcPr>
          <w:p>
            <w:pPr>
              <w:spacing w:after="40" w:line="252" w:lineRule="auto"/>
            </w:pPr>
            <w:r/>
            <w:r>
              <w:rPr>
                <w:b w:val="0"/>
                <w:sz w:val="17"/>
              </w:rPr>
              <w:t>Requisitos contra necesidades y funciones del código, con ✓ y el porcentaje de cobertura de cada columna.</w:t>
            </w:r>
          </w:p>
        </w:tc>
      </w:tr>
      <w:tr>
        <w:trPr>
          <w:cantSplit/>
        </w:trPr>
        <w:tc>
          <w:tcPr>
            <w:tcW w:type="dxa" w:w="2304"/>
            <w:shd w:val="clear" w:color="auto" w:fill="EDEFF3"/>
          </w:tcPr>
          <w:p>
            <w:pPr>
              <w:spacing w:after="40" w:line="252" w:lineRule="auto"/>
            </w:pPr>
            <w:r/>
            <w:r>
              <w:rPr>
                <w:b w:val="0"/>
                <w:sz w:val="17"/>
              </w:rPr>
              <w:t>Resumen y métricas</w:t>
            </w:r>
          </w:p>
        </w:tc>
        <w:tc>
          <w:tcPr>
            <w:tcW w:type="dxa" w:w="7344"/>
          </w:tcPr>
          <w:p>
            <w:pPr>
              <w:spacing w:after="40" w:line="252" w:lineRule="auto"/>
            </w:pPr>
            <w:r/>
            <w:r>
              <w:rPr>
                <w:b w:val="0"/>
                <w:sz w:val="17"/>
              </w:rPr>
              <w:t>Totales y coberturas con fórmulas de Excel sobre la matriz principal. Más la lista de requisitos sin código.</w:t>
            </w:r>
          </w:p>
        </w:tc>
      </w:tr>
      <w:tr>
        <w:trPr>
          <w:cantSplit/>
        </w:trPr>
        <w:tc>
          <w:tcPr>
            <w:tcW w:type="dxa" w:w="2304"/>
            <w:shd w:val="clear" w:color="auto" w:fill="EDEFF3"/>
          </w:tcPr>
          <w:p>
            <w:pPr>
              <w:spacing w:after="40" w:line="252" w:lineRule="auto"/>
            </w:pPr>
            <w:r/>
            <w:r>
              <w:rPr>
                <w:b w:val="0"/>
                <w:sz w:val="17"/>
              </w:rPr>
              <w:t>Registro de RFCs</w:t>
            </w:r>
          </w:p>
        </w:tc>
        <w:tc>
          <w:tcPr>
            <w:tcW w:type="dxa" w:w="7344"/>
          </w:tcPr>
          <w:p>
            <w:pPr>
              <w:spacing w:after="40" w:line="252" w:lineRule="auto"/>
            </w:pPr>
            <w:r/>
            <w:r>
              <w:rPr>
                <w:b w:val="0"/>
                <w:sz w:val="17"/>
              </w:rPr>
              <w:t>Las 10 solicitudes con la decisión del CCB, votos, plazo y responsable.</w:t>
            </w:r>
          </w:p>
        </w:tc>
      </w:tr>
      <w:tr>
        <w:trPr>
          <w:cantSplit/>
        </w:trPr>
        <w:tc>
          <w:tcPr>
            <w:tcW w:type="dxa" w:w="2304"/>
            <w:shd w:val="clear" w:color="auto" w:fill="EDEFF3"/>
          </w:tcPr>
          <w:p>
            <w:pPr>
              <w:spacing w:after="40" w:line="252" w:lineRule="auto"/>
            </w:pPr>
            <w:r/>
            <w:r>
              <w:rPr>
                <w:b w:val="0"/>
                <w:sz w:val="17"/>
              </w:rPr>
              <w:t>Catálogo de artefactos</w:t>
            </w:r>
          </w:p>
        </w:tc>
        <w:tc>
          <w:tcPr>
            <w:tcW w:type="dxa" w:w="7344"/>
          </w:tcPr>
          <w:p>
            <w:pPr>
              <w:spacing w:after="40" w:line="252" w:lineRule="auto"/>
            </w:pPr>
            <w:r/>
            <w:r>
              <w:rPr>
                <w:b w:val="0"/>
                <w:sz w:val="17"/>
              </w:rPr>
              <w:t>Los metadatos de los 9 artefactos.</w:t>
            </w:r>
          </w:p>
        </w:tc>
      </w:tr>
      <w:tr>
        <w:trPr>
          <w:cantSplit/>
        </w:trPr>
        <w:tc>
          <w:tcPr>
            <w:tcW w:type="dxa" w:w="2304"/>
            <w:shd w:val="clear" w:color="auto" w:fill="EDEFF3"/>
          </w:tcPr>
          <w:p>
            <w:pPr>
              <w:spacing w:after="40" w:line="252" w:lineRule="auto"/>
            </w:pPr>
            <w:r/>
            <w:r>
              <w:rPr>
                <w:b w:val="0"/>
                <w:sz w:val="17"/>
              </w:rPr>
              <w:t>Auditoría</w:t>
            </w:r>
          </w:p>
        </w:tc>
        <w:tc>
          <w:tcPr>
            <w:tcW w:type="dxa" w:w="7344"/>
          </w:tcPr>
          <w:p>
            <w:pPr>
              <w:spacing w:after="40" w:line="252" w:lineRule="auto"/>
            </w:pPr>
            <w:r/>
            <w:r>
              <w:rPr>
                <w:b w:val="0"/>
                <w:sz w:val="17"/>
              </w:rPr>
              <w:t>Los hallazgos de la Misión 10.</w:t>
            </w:r>
          </w:p>
        </w:tc>
      </w:tr>
    </w:tbl>
    <w:p>
      <w:pPr>
        <w:spacing w:after="40"/>
      </w:pPr>
    </w:p>
    <w:p>
      <w:pPr>
        <w:pStyle w:val="Heading2"/>
      </w:pPr>
      <w:r>
        <w:t>3.3 Vista de la matriz</w:t>
      </w:r>
    </w:p>
    <w:tbl>
      <w:tblPr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DC8"/>
          <w:left w:val="single" w:sz="4" w:space="0" w:color="B7BDC8"/>
          <w:bottom w:val="single" w:sz="4" w:space="0" w:color="B7BDC8"/>
          <w:right w:val="single" w:sz="4" w:space="0" w:color="B7BDC8"/>
          <w:insideH w:val="single" w:sz="4" w:space="0" w:color="B7BDC8"/>
          <w:insideV w:val="single" w:sz="4" w:space="0" w:color="B7BDC8"/>
        </w:tblBorders>
        <w:tblCellMar>
          <w:top w:w="50" w:type="dxa"/>
          <w:left w:w="90" w:type="dxa"/>
          <w:bottom w:w="50" w:type="dxa"/>
          <w:right w:w="90" w:type="dxa"/>
        </w:tblCellMar>
        <w:tblLayout w:type="fixed"/>
        <w:tblW w:w="9792" w:type="dxa"/>
      </w:tblPr>
      <w:tblGrid>
        <w:gridCol w:w="720"/>
        <w:gridCol w:w="2160"/>
        <w:gridCol w:w="648"/>
        <w:gridCol w:w="1296"/>
        <w:gridCol w:w="1872"/>
        <w:gridCol w:w="1296"/>
        <w:gridCol w:w="864"/>
        <w:gridCol w:w="936"/>
      </w:tblGrid>
      <w:tr>
        <w:trPr>
          <w:tblHeader/>
          <w:cantSplit/>
        </w:trPr>
        <w:tc>
          <w:tcPr>
            <w:tcW w:type="dxa" w:w="720"/>
            <w:shd w:val="clear" w:color="auto" w:fill="1F3864"/>
          </w:tcPr>
          <w:p>
            <w:pPr>
              <w:spacing w:after="40" w:line="252" w:lineRule="auto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Req.</w:t>
            </w:r>
          </w:p>
        </w:tc>
        <w:tc>
          <w:tcPr>
            <w:tcW w:type="dxa" w:w="2160"/>
            <w:shd w:val="clear" w:color="auto" w:fill="1F3864"/>
          </w:tcPr>
          <w:p>
            <w:pPr>
              <w:spacing w:after="40" w:line="252" w:lineRule="auto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Título</w:t>
            </w:r>
          </w:p>
        </w:tc>
        <w:tc>
          <w:tcPr>
            <w:tcW w:type="dxa" w:w="648"/>
            <w:shd w:val="clear" w:color="auto" w:fill="1F3864"/>
          </w:tcPr>
          <w:p>
            <w:pPr>
              <w:spacing w:after="40" w:line="252" w:lineRule="auto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Prior.</w:t>
            </w:r>
          </w:p>
        </w:tc>
        <w:tc>
          <w:tcPr>
            <w:tcW w:type="dxa" w:w="1296"/>
            <w:shd w:val="clear" w:color="auto" w:fill="1F3864"/>
          </w:tcPr>
          <w:p>
            <w:pPr>
              <w:spacing w:after="40" w:line="252" w:lineRule="auto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Necesidades</w:t>
            </w:r>
          </w:p>
        </w:tc>
        <w:tc>
          <w:tcPr>
            <w:tcW w:type="dxa" w:w="1872"/>
            <w:shd w:val="clear" w:color="auto" w:fill="1F3864"/>
          </w:tcPr>
          <w:p>
            <w:pPr>
              <w:spacing w:after="40" w:line="252" w:lineRule="auto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Código</w:t>
            </w:r>
          </w:p>
        </w:tc>
        <w:tc>
          <w:tcPr>
            <w:tcW w:type="dxa" w:w="1296"/>
            <w:shd w:val="clear" w:color="auto" w:fill="1F3864"/>
          </w:tcPr>
          <w:p>
            <w:pPr>
              <w:spacing w:after="40" w:line="252" w:lineRule="auto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Pruebas</w:t>
            </w:r>
          </w:p>
        </w:tc>
        <w:tc>
          <w:tcPr>
            <w:tcW w:type="dxa" w:w="864"/>
            <w:shd w:val="clear" w:color="auto" w:fill="1F3864"/>
          </w:tcPr>
          <w:p>
            <w:pPr>
              <w:spacing w:after="40" w:line="252" w:lineRule="auto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Resultado</w:t>
            </w:r>
          </w:p>
        </w:tc>
        <w:tc>
          <w:tcPr>
            <w:tcW w:type="dxa" w:w="936"/>
            <w:shd w:val="clear" w:color="auto" w:fill="1F3864"/>
          </w:tcPr>
          <w:p>
            <w:pPr>
              <w:spacing w:after="40" w:line="252" w:lineRule="auto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Estado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EDEFF3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HU-01</w:t>
            </w:r>
          </w:p>
        </w:tc>
        <w:tc>
          <w:tcPr>
            <w:tcW w:type="dxa" w:w="2160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Registrar y actualizar tripulantes</w:t>
            </w:r>
          </w:p>
        </w:tc>
        <w:tc>
          <w:tcPr>
            <w:tcW w:type="dxa" w:w="648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Alta</w:t>
            </w:r>
          </w:p>
        </w:tc>
        <w:tc>
          <w:tcPr>
            <w:tcW w:type="dxa" w:w="1296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NEG-02, NEG-04</w:t>
            </w:r>
          </w:p>
        </w:tc>
        <w:tc>
          <w:tcPr>
            <w:tcW w:type="dxa" w:w="1872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1296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Sin prueba</w:t>
            </w:r>
          </w:p>
        </w:tc>
        <w:tc>
          <w:tcPr>
            <w:tcW w:type="dxa" w:w="936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Aprobado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EDEFF3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HU-02</w:t>
            </w:r>
          </w:p>
        </w:tc>
        <w:tc>
          <w:tcPr>
            <w:tcW w:type="dxa" w:w="2160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Registrar y actualizar tripulaciones</w:t>
            </w:r>
          </w:p>
        </w:tc>
        <w:tc>
          <w:tcPr>
            <w:tcW w:type="dxa" w:w="648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Alta</w:t>
            </w:r>
          </w:p>
        </w:tc>
        <w:tc>
          <w:tcPr>
            <w:tcW w:type="dxa" w:w="1296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NEG-02, NEG-04</w:t>
            </w:r>
          </w:p>
        </w:tc>
        <w:tc>
          <w:tcPr>
            <w:tcW w:type="dxa" w:w="1872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1296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Sin prueba</w:t>
            </w:r>
          </w:p>
        </w:tc>
        <w:tc>
          <w:tcPr>
            <w:tcW w:type="dxa" w:w="936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Aprobado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EDEFF3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HU-03</w:t>
            </w:r>
          </w:p>
        </w:tc>
        <w:tc>
          <w:tcPr>
            <w:tcW w:type="dxa" w:w="2160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Registrar y actualizar vuelos</w:t>
            </w:r>
          </w:p>
        </w:tc>
        <w:tc>
          <w:tcPr>
            <w:tcW w:type="dxa" w:w="648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Alta</w:t>
            </w:r>
          </w:p>
        </w:tc>
        <w:tc>
          <w:tcPr>
            <w:tcW w:type="dxa" w:w="1296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NEG-02, NEG-04</w:t>
            </w:r>
          </w:p>
        </w:tc>
        <w:tc>
          <w:tcPr>
            <w:tcW w:type="dxa" w:w="1872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1296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Sin prueba</w:t>
            </w:r>
          </w:p>
        </w:tc>
        <w:tc>
          <w:tcPr>
            <w:tcW w:type="dxa" w:w="936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Aprobado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EDEFF3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HU-04</w:t>
            </w:r>
          </w:p>
        </w:tc>
        <w:tc>
          <w:tcPr>
            <w:tcW w:type="dxa" w:w="2160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Consultar vuelos asignados</w:t>
            </w:r>
          </w:p>
        </w:tc>
        <w:tc>
          <w:tcPr>
            <w:tcW w:type="dxa" w:w="648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Alta</w:t>
            </w:r>
          </w:p>
        </w:tc>
        <w:tc>
          <w:tcPr>
            <w:tcW w:type="dxa" w:w="1296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NEG-04</w:t>
            </w:r>
          </w:p>
        </w:tc>
        <w:tc>
          <w:tcPr>
            <w:tcW w:type="dxa" w:w="1872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vMisVuelos</w:t>
            </w:r>
          </w:p>
        </w:tc>
        <w:tc>
          <w:tcPr>
            <w:tcW w:type="dxa" w:w="1296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P15, P16</w:t>
            </w:r>
          </w:p>
        </w:tc>
        <w:tc>
          <w:tcPr>
            <w:tcW w:type="dxa" w:w="864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Pasado 2/2</w:t>
            </w:r>
          </w:p>
        </w:tc>
        <w:tc>
          <w:tcPr>
            <w:tcW w:type="dxa" w:w="936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Verificado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EDEFF3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HU-05</w:t>
            </w:r>
          </w:p>
        </w:tc>
        <w:tc>
          <w:tcPr>
            <w:tcW w:type="dxa" w:w="2160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Consultar características de un vuelo</w:t>
            </w:r>
          </w:p>
        </w:tc>
        <w:tc>
          <w:tcPr>
            <w:tcW w:type="dxa" w:w="648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Alta</w:t>
            </w:r>
          </w:p>
        </w:tc>
        <w:tc>
          <w:tcPr>
            <w:tcW w:type="dxa" w:w="1296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NEG-04</w:t>
            </w:r>
          </w:p>
        </w:tc>
        <w:tc>
          <w:tcPr>
            <w:tcW w:type="dxa" w:w="1872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fichaVuelo, vVueloOperador, vTodos, vVueloTripulante</w:t>
            </w:r>
          </w:p>
        </w:tc>
        <w:tc>
          <w:tcPr>
            <w:tcW w:type="dxa" w:w="1296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P18</w:t>
            </w:r>
          </w:p>
        </w:tc>
        <w:tc>
          <w:tcPr>
            <w:tcW w:type="dxa" w:w="864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Pasado 1/1</w:t>
            </w:r>
          </w:p>
        </w:tc>
        <w:tc>
          <w:tcPr>
            <w:tcW w:type="dxa" w:w="936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Verificado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EDEFF3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HU-06</w:t>
            </w:r>
          </w:p>
        </w:tc>
        <w:tc>
          <w:tcPr>
            <w:tcW w:type="dxa" w:w="2160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Registrar resultado de simulación</w:t>
            </w:r>
          </w:p>
        </w:tc>
        <w:tc>
          <w:tcPr>
            <w:tcW w:type="dxa" w:w="648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Alta</w:t>
            </w:r>
          </w:p>
        </w:tc>
        <w:tc>
          <w:tcPr>
            <w:tcW w:type="dxa" w:w="1296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NEG-01, NEG-02, NEG-05</w:t>
            </w:r>
          </w:p>
        </w:tc>
        <w:tc>
          <w:tcPr>
            <w:tcW w:type="dxa" w:w="1872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vResultado, ligarResultado</w:t>
            </w:r>
          </w:p>
        </w:tc>
        <w:tc>
          <w:tcPr>
            <w:tcW w:type="dxa" w:w="1296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P21, P22</w:t>
            </w:r>
          </w:p>
        </w:tc>
        <w:tc>
          <w:tcPr>
            <w:tcW w:type="dxa" w:w="864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Pasado 2/2</w:t>
            </w:r>
          </w:p>
        </w:tc>
        <w:tc>
          <w:tcPr>
            <w:tcW w:type="dxa" w:w="936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Verificado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EDEFF3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HU-07</w:t>
            </w:r>
          </w:p>
        </w:tc>
        <w:tc>
          <w:tcPr>
            <w:tcW w:type="dxa" w:w="2160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Recomendar tripulación según escenario más aproximado</w:t>
            </w:r>
          </w:p>
        </w:tc>
        <w:tc>
          <w:tcPr>
            <w:tcW w:type="dxa" w:w="648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Alta</w:t>
            </w:r>
          </w:p>
        </w:tc>
        <w:tc>
          <w:tcPr>
            <w:tcW w:type="dxa" w:w="1296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NEG-03</w:t>
            </w:r>
          </w:p>
        </w:tc>
        <w:tc>
          <w:tcPr>
            <w:tcW w:type="dxa" w:w="1872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distancia, masCercano, ranking, vVueloOperador</w:t>
            </w:r>
          </w:p>
        </w:tc>
        <w:tc>
          <w:tcPr>
            <w:tcW w:type="dxa" w:w="1296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P02, P03, P10, P11, P12, P23</w:t>
            </w:r>
          </w:p>
        </w:tc>
        <w:tc>
          <w:tcPr>
            <w:tcW w:type="dxa" w:w="864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Pasado 6/6</w:t>
            </w:r>
          </w:p>
        </w:tc>
        <w:tc>
          <w:tcPr>
            <w:tcW w:type="dxa" w:w="936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Verificado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EDEFF3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HU-08</w:t>
            </w:r>
          </w:p>
        </w:tc>
        <w:tc>
          <w:tcPr>
            <w:tcW w:type="dxa" w:w="2160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Asignar tripulación a un vuelo</w:t>
            </w:r>
          </w:p>
        </w:tc>
        <w:tc>
          <w:tcPr>
            <w:tcW w:type="dxa" w:w="648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Alta</w:t>
            </w:r>
          </w:p>
        </w:tc>
        <w:tc>
          <w:tcPr>
            <w:tcW w:type="dxa" w:w="1296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NEG-03</w:t>
            </w:r>
          </w:p>
        </w:tc>
        <w:tc>
          <w:tcPr>
            <w:tcW w:type="dxa" w:w="1872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vVuelos, vVueloOperador, abrirConfirmar</w:t>
            </w:r>
          </w:p>
        </w:tc>
        <w:tc>
          <w:tcPr>
            <w:tcW w:type="dxa" w:w="1296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P01, P04, P05, P06, P07, P08, P13, P14</w:t>
            </w:r>
          </w:p>
        </w:tc>
        <w:tc>
          <w:tcPr>
            <w:tcW w:type="dxa" w:w="864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Pasado 8/8</w:t>
            </w:r>
          </w:p>
        </w:tc>
        <w:tc>
          <w:tcPr>
            <w:tcW w:type="dxa" w:w="936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Verificado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EDEFF3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HU-09</w:t>
            </w:r>
          </w:p>
        </w:tc>
        <w:tc>
          <w:tcPr>
            <w:tcW w:type="dxa" w:w="2160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Alertar simulación anual pendiente</w:t>
            </w:r>
          </w:p>
        </w:tc>
        <w:tc>
          <w:tcPr>
            <w:tcW w:type="dxa" w:w="648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Media</w:t>
            </w:r>
          </w:p>
        </w:tc>
        <w:tc>
          <w:tcPr>
            <w:tcW w:type="dxa" w:w="1296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NEG-01</w:t>
            </w:r>
          </w:p>
        </w:tc>
        <w:tc>
          <w:tcPr>
            <w:tcW w:type="dxa" w:w="1872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1296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Sin prueba</w:t>
            </w:r>
          </w:p>
        </w:tc>
        <w:tc>
          <w:tcPr>
            <w:tcW w:type="dxa" w:w="936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Aprobado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EDEFF3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HU-10</w:t>
            </w:r>
          </w:p>
        </w:tc>
        <w:tc>
          <w:tcPr>
            <w:tcW w:type="dxa" w:w="2160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Gestionar catálogo de escenarios</w:t>
            </w:r>
          </w:p>
        </w:tc>
        <w:tc>
          <w:tcPr>
            <w:tcW w:type="dxa" w:w="648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Media</w:t>
            </w:r>
          </w:p>
        </w:tc>
        <w:tc>
          <w:tcPr>
            <w:tcW w:type="dxa" w:w="1296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NEG-02, NEG-05</w:t>
            </w:r>
          </w:p>
        </w:tc>
        <w:tc>
          <w:tcPr>
            <w:tcW w:type="dxa" w:w="1872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1296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Sin prueba</w:t>
            </w:r>
          </w:p>
        </w:tc>
        <w:tc>
          <w:tcPr>
            <w:tcW w:type="dxa" w:w="936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Aprobado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EDEFF3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HU-11</w:t>
            </w:r>
          </w:p>
        </w:tc>
        <w:tc>
          <w:tcPr>
            <w:tcW w:type="dxa" w:w="2160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Reportes históricos de desempeño</w:t>
            </w:r>
          </w:p>
        </w:tc>
        <w:tc>
          <w:tcPr>
            <w:tcW w:type="dxa" w:w="648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Baja</w:t>
            </w:r>
          </w:p>
        </w:tc>
        <w:tc>
          <w:tcPr>
            <w:tcW w:type="dxa" w:w="1296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NEG-01</w:t>
            </w:r>
          </w:p>
        </w:tc>
        <w:tc>
          <w:tcPr>
            <w:tcW w:type="dxa" w:w="1872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1296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Sin prueba</w:t>
            </w:r>
          </w:p>
        </w:tc>
        <w:tc>
          <w:tcPr>
            <w:tcW w:type="dxa" w:w="936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Aprobado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EDEFF3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HU-12</w:t>
            </w:r>
          </w:p>
        </w:tc>
        <w:tc>
          <w:tcPr>
            <w:tcW w:type="dxa" w:w="2160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Notificación de cambio de asignación</w:t>
            </w:r>
          </w:p>
        </w:tc>
        <w:tc>
          <w:tcPr>
            <w:tcW w:type="dxa" w:w="648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Baja</w:t>
            </w:r>
          </w:p>
        </w:tc>
        <w:tc>
          <w:tcPr>
            <w:tcW w:type="dxa" w:w="1296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NEG-04</w:t>
            </w:r>
          </w:p>
        </w:tc>
        <w:tc>
          <w:tcPr>
            <w:tcW w:type="dxa" w:w="1872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1296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Sin prueba</w:t>
            </w:r>
          </w:p>
        </w:tc>
        <w:tc>
          <w:tcPr>
            <w:tcW w:type="dxa" w:w="936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Aprobado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EDEFF3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RNF-01</w:t>
            </w:r>
          </w:p>
        </w:tc>
        <w:tc>
          <w:tcPr>
            <w:tcW w:type="dxa" w:w="2160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Seguridad basada en roles</w:t>
            </w:r>
          </w:p>
        </w:tc>
        <w:tc>
          <w:tcPr>
            <w:tcW w:type="dxa" w:w="648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Alta</w:t>
            </w:r>
          </w:p>
        </w:tc>
        <w:tc>
          <w:tcPr>
            <w:tcW w:type="dxa" w:w="1296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NEG-04</w:t>
            </w:r>
          </w:p>
        </w:tc>
        <w:tc>
          <w:tcPr>
            <w:tcW w:type="dxa" w:w="1872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NAV, permitido</w:t>
            </w:r>
          </w:p>
        </w:tc>
        <w:tc>
          <w:tcPr>
            <w:tcW w:type="dxa" w:w="1296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P17</w:t>
            </w:r>
          </w:p>
        </w:tc>
        <w:tc>
          <w:tcPr>
            <w:tcW w:type="dxa" w:w="864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Pasado 1/1</w:t>
            </w:r>
          </w:p>
        </w:tc>
        <w:tc>
          <w:tcPr>
            <w:tcW w:type="dxa" w:w="936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Verificado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EDEFF3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RNF-02</w:t>
            </w:r>
          </w:p>
        </w:tc>
        <w:tc>
          <w:tcPr>
            <w:tcW w:type="dxa" w:w="2160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Auditoría de asignaciones</w:t>
            </w:r>
          </w:p>
        </w:tc>
        <w:tc>
          <w:tcPr>
            <w:tcW w:type="dxa" w:w="648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Alta</w:t>
            </w:r>
          </w:p>
        </w:tc>
        <w:tc>
          <w:tcPr>
            <w:tcW w:type="dxa" w:w="1296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NEG-03</w:t>
            </w:r>
          </w:p>
        </w:tc>
        <w:tc>
          <w:tcPr>
            <w:tcW w:type="dxa" w:w="1872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abrirConfirmar, vAuditoria</w:t>
            </w:r>
          </w:p>
        </w:tc>
        <w:tc>
          <w:tcPr>
            <w:tcW w:type="dxa" w:w="1296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P09</w:t>
            </w:r>
          </w:p>
        </w:tc>
        <w:tc>
          <w:tcPr>
            <w:tcW w:type="dxa" w:w="864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Pasado 1/1</w:t>
            </w:r>
          </w:p>
        </w:tc>
        <w:tc>
          <w:tcPr>
            <w:tcW w:type="dxa" w:w="936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Verificado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EDEFF3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RNF-03</w:t>
            </w:r>
          </w:p>
        </w:tc>
        <w:tc>
          <w:tcPr>
            <w:tcW w:type="dxa" w:w="2160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Disponibilidad continua</w:t>
            </w:r>
          </w:p>
        </w:tc>
        <w:tc>
          <w:tcPr>
            <w:tcW w:type="dxa" w:w="648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Media</w:t>
            </w:r>
          </w:p>
        </w:tc>
        <w:tc>
          <w:tcPr>
            <w:tcW w:type="dxa" w:w="1296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NEG-04</w:t>
            </w:r>
          </w:p>
        </w:tc>
        <w:tc>
          <w:tcPr>
            <w:tcW w:type="dxa" w:w="1872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1296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Sin prueba</w:t>
            </w:r>
          </w:p>
        </w:tc>
        <w:tc>
          <w:tcPr>
            <w:tcW w:type="dxa" w:w="936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Aprobado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EDEFF3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RNF-04</w:t>
            </w:r>
          </w:p>
        </w:tc>
        <w:tc>
          <w:tcPr>
            <w:tcW w:type="dxa" w:w="2160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Rendimiento en consultas</w:t>
            </w:r>
          </w:p>
        </w:tc>
        <w:tc>
          <w:tcPr>
            <w:tcW w:type="dxa" w:w="648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Media</w:t>
            </w:r>
          </w:p>
        </w:tc>
        <w:tc>
          <w:tcPr>
            <w:tcW w:type="dxa" w:w="1296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NEG-04</w:t>
            </w:r>
          </w:p>
        </w:tc>
        <w:tc>
          <w:tcPr>
            <w:tcW w:type="dxa" w:w="1872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1296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Sin prueba</w:t>
            </w:r>
          </w:p>
        </w:tc>
        <w:tc>
          <w:tcPr>
            <w:tcW w:type="dxa" w:w="936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Aprobado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EDEFF3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RNF-05</w:t>
            </w:r>
          </w:p>
        </w:tc>
        <w:tc>
          <w:tcPr>
            <w:tcW w:type="dxa" w:w="2160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Integridad de la sincronización con el simulador</w:t>
            </w:r>
          </w:p>
        </w:tc>
        <w:tc>
          <w:tcPr>
            <w:tcW w:type="dxa" w:w="648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Media</w:t>
            </w:r>
          </w:p>
        </w:tc>
        <w:tc>
          <w:tcPr>
            <w:tcW w:type="dxa" w:w="1296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NEG-05</w:t>
            </w:r>
          </w:p>
        </w:tc>
        <w:tc>
          <w:tcPr>
            <w:tcW w:type="dxa" w:w="1872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1296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Sin prueba</w:t>
            </w:r>
          </w:p>
        </w:tc>
        <w:tc>
          <w:tcPr>
            <w:tcW w:type="dxa" w:w="936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Aprobado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EDEFF3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RNF-06</w:t>
            </w:r>
          </w:p>
        </w:tc>
        <w:tc>
          <w:tcPr>
            <w:tcW w:type="dxa" w:w="2160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Usabilidad móvil</w:t>
            </w:r>
          </w:p>
        </w:tc>
        <w:tc>
          <w:tcPr>
            <w:tcW w:type="dxa" w:w="648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Baja</w:t>
            </w:r>
          </w:p>
        </w:tc>
        <w:tc>
          <w:tcPr>
            <w:tcW w:type="dxa" w:w="1296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NEG-02</w:t>
            </w:r>
          </w:p>
        </w:tc>
        <w:tc>
          <w:tcPr>
            <w:tcW w:type="dxa" w:w="1872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Estilos para pantallas móviles</w:t>
            </w:r>
          </w:p>
        </w:tc>
        <w:tc>
          <w:tcPr>
            <w:tcW w:type="dxa" w:w="1296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P24, P25, P29</w:t>
            </w:r>
          </w:p>
        </w:tc>
        <w:tc>
          <w:tcPr>
            <w:tcW w:type="dxa" w:w="864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Pasado 3/3</w:t>
            </w:r>
          </w:p>
        </w:tc>
        <w:tc>
          <w:tcPr>
            <w:tcW w:type="dxa" w:w="936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Verificado</w:t>
            </w:r>
          </w:p>
        </w:tc>
      </w:tr>
    </w:tbl>
    <w:p>
      <w:pPr>
        <w:spacing w:after="40"/>
      </w:pPr>
    </w:p>
    <w:p>
      <w:r>
        <w:rPr>
          <w:b w:val="0"/>
          <w:i/>
          <w:sz w:val="19"/>
        </w:rPr>
        <w:t>Los resultados salen de las 30 pruebas automáticas (30 de 30 aprobadas). Ocho requisitos están verificados y diez están aprobados pero sin construir en el prototipo.</w:t>
      </w:r>
    </w:p>
    <w:p>
      <w:pPr>
        <w:pStyle w:val="Heading1"/>
      </w:pPr>
      <w:r>
        <w:t>Misión 10: auditoría de trazabilidad</w:t>
      </w:r>
    </w:p>
    <w:p>
      <w:pPr>
        <w:pStyle w:val="Heading2"/>
      </w:pPr>
      <w:r>
        <w:t>4.1 Alcance y método</w:t>
      </w:r>
    </w:p>
    <w:p>
      <w:pPr>
        <w:spacing w:after="60"/>
      </w:pPr>
      <w:r>
        <w:rPr>
          <w:b w:val="0"/>
        </w:rPr>
        <w:t xml:space="preserve">Audité la cadena </w:t>
      </w:r>
      <w:r>
        <w:rPr>
          <w:b/>
        </w:rPr>
        <w:t>necesidad de negocio → requisito → caso de prueba → código → resultado</w:t>
      </w:r>
      <w:r>
        <w:rPr>
          <w:b w:val="0"/>
        </w:rPr>
        <w:t xml:space="preserve"> para los 18 requisitos del backlog. Para cada eslabón, el script comprueba que exista y que apunte al siguiente. También revisa las RFC aprobadas contra el backlog y las pruebas, los metadatos y el control de versiones. Una ruptura es cualquier eslabón que falta, que apunta a algo que no existe o que se contradice con otra fuente.</w:t>
      </w:r>
    </w:p>
    <w:p>
      <w:pPr>
        <w:pStyle w:val="Heading2"/>
      </w:pPr>
      <w:r>
        <w:t>4.2 Resultado</w:t>
      </w:r>
    </w:p>
    <w:tbl>
      <w:tblPr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DC8"/>
          <w:left w:val="single" w:sz="4" w:space="0" w:color="B7BDC8"/>
          <w:bottom w:val="single" w:sz="4" w:space="0" w:color="B7BDC8"/>
          <w:right w:val="single" w:sz="4" w:space="0" w:color="B7BDC8"/>
          <w:insideH w:val="single" w:sz="4" w:space="0" w:color="B7BDC8"/>
          <w:insideV w:val="single" w:sz="4" w:space="0" w:color="B7BDC8"/>
        </w:tblBorders>
        <w:tblCellMar>
          <w:top w:w="50" w:type="dxa"/>
          <w:left w:w="90" w:type="dxa"/>
          <w:bottom w:w="50" w:type="dxa"/>
          <w:right w:w="90" w:type="dxa"/>
        </w:tblCellMar>
        <w:tblLayout w:type="fixed"/>
        <w:tblW w:w="9647" w:type="dxa"/>
      </w:tblPr>
      <w:tblGrid>
        <w:gridCol w:w="3456"/>
        <w:gridCol w:w="6192"/>
      </w:tblGrid>
      <w:tr>
        <w:trPr>
          <w:tblHeader/>
          <w:cantSplit/>
        </w:trPr>
        <w:tc>
          <w:tcPr>
            <w:tcW w:type="dxa" w:w="3456"/>
            <w:shd w:val="clear" w:color="auto" w:fill="1F3864"/>
          </w:tcPr>
          <w:p>
            <w:pPr>
              <w:spacing w:after="40" w:line="252" w:lineRule="auto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Medida</w:t>
            </w:r>
          </w:p>
        </w:tc>
        <w:tc>
          <w:tcPr>
            <w:tcW w:type="dxa" w:w="6192"/>
            <w:shd w:val="clear" w:color="auto" w:fill="1F3864"/>
          </w:tcPr>
          <w:p>
            <w:pPr>
              <w:spacing w:after="40" w:line="252" w:lineRule="auto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Valor</w:t>
            </w:r>
          </w:p>
        </w:tc>
      </w:tr>
      <w:tr>
        <w:trPr>
          <w:cantSplit/>
        </w:trPr>
        <w:tc>
          <w:tcPr>
            <w:tcW w:type="dxa" w:w="3456"/>
            <w:shd w:val="clear" w:color="auto" w:fill="EDEFF3"/>
          </w:tcPr>
          <w:p>
            <w:pPr>
              <w:spacing w:after="40" w:line="252" w:lineRule="auto"/>
            </w:pPr>
            <w:r/>
            <w:r>
              <w:rPr>
                <w:b w:val="0"/>
                <w:sz w:val="17"/>
              </w:rPr>
              <w:t>Requisitos auditados</w:t>
            </w:r>
          </w:p>
        </w:tc>
        <w:tc>
          <w:tcPr>
            <w:tcW w:type="dxa" w:w="6192"/>
          </w:tcPr>
          <w:p>
            <w:pPr>
              <w:spacing w:after="40" w:line="252" w:lineRule="auto"/>
            </w:pPr>
            <w:r/>
            <w:r>
              <w:rPr>
                <w:b w:val="0"/>
                <w:sz w:val="17"/>
              </w:rPr>
              <w:t>18</w:t>
            </w:r>
          </w:p>
        </w:tc>
      </w:tr>
      <w:tr>
        <w:trPr>
          <w:cantSplit/>
        </w:trPr>
        <w:tc>
          <w:tcPr>
            <w:tcW w:type="dxa" w:w="3456"/>
            <w:shd w:val="clear" w:color="auto" w:fill="EDEFF3"/>
          </w:tcPr>
          <w:p>
            <w:pPr>
              <w:spacing w:after="40" w:line="252" w:lineRule="auto"/>
            </w:pPr>
            <w:r/>
            <w:r>
              <w:rPr>
                <w:b w:val="0"/>
                <w:sz w:val="17"/>
              </w:rPr>
              <w:t>Con la cadena completa</w:t>
            </w:r>
          </w:p>
        </w:tc>
        <w:tc>
          <w:tcPr>
            <w:tcW w:type="dxa" w:w="6192"/>
          </w:tcPr>
          <w:p>
            <w:pPr>
              <w:spacing w:after="40" w:line="252" w:lineRule="auto"/>
            </w:pPr>
            <w:r/>
            <w:r>
              <w:rPr>
                <w:b w:val="0"/>
                <w:sz w:val="17"/>
              </w:rPr>
              <w:t>8 de 18: HU-04, HU-05, HU-06, HU-07, HU-08, RNF-01, RNF-02, RNF-06</w:t>
            </w:r>
          </w:p>
        </w:tc>
      </w:tr>
      <w:tr>
        <w:trPr>
          <w:cantSplit/>
        </w:trPr>
        <w:tc>
          <w:tcPr>
            <w:tcW w:type="dxa" w:w="3456"/>
            <w:shd w:val="clear" w:color="auto" w:fill="EDEFF3"/>
          </w:tcPr>
          <w:p>
            <w:pPr>
              <w:spacing w:after="40" w:line="252" w:lineRule="auto"/>
            </w:pPr>
            <w:r/>
            <w:r>
              <w:rPr>
                <w:b w:val="0"/>
                <w:sz w:val="17"/>
              </w:rPr>
              <w:t>Con necesidad asociada</w:t>
            </w:r>
          </w:p>
        </w:tc>
        <w:tc>
          <w:tcPr>
            <w:tcW w:type="dxa" w:w="6192"/>
          </w:tcPr>
          <w:p>
            <w:pPr>
              <w:spacing w:after="40" w:line="252" w:lineRule="auto"/>
            </w:pPr>
            <w:r/>
            <w:r>
              <w:rPr>
                <w:b w:val="0"/>
                <w:sz w:val="17"/>
              </w:rPr>
              <w:t>18 de 18</w:t>
            </w:r>
          </w:p>
        </w:tc>
      </w:tr>
      <w:tr>
        <w:trPr>
          <w:cantSplit/>
        </w:trPr>
        <w:tc>
          <w:tcPr>
            <w:tcW w:type="dxa" w:w="3456"/>
            <w:shd w:val="clear" w:color="auto" w:fill="EDEFF3"/>
          </w:tcPr>
          <w:p>
            <w:pPr>
              <w:spacing w:after="40" w:line="252" w:lineRule="auto"/>
            </w:pPr>
            <w:r/>
            <w:r>
              <w:rPr>
                <w:b w:val="0"/>
                <w:sz w:val="17"/>
              </w:rPr>
              <w:t>Con código en el prototipo</w:t>
            </w:r>
          </w:p>
        </w:tc>
        <w:tc>
          <w:tcPr>
            <w:tcW w:type="dxa" w:w="6192"/>
          </w:tcPr>
          <w:p>
            <w:pPr>
              <w:spacing w:after="40" w:line="252" w:lineRule="auto"/>
            </w:pPr>
            <w:r/>
            <w:r>
              <w:rPr>
                <w:b w:val="0"/>
                <w:sz w:val="17"/>
              </w:rPr>
              <w:t>8 de 18</w:t>
            </w:r>
          </w:p>
        </w:tc>
      </w:tr>
      <w:tr>
        <w:trPr>
          <w:cantSplit/>
        </w:trPr>
        <w:tc>
          <w:tcPr>
            <w:tcW w:type="dxa" w:w="3456"/>
            <w:shd w:val="clear" w:color="auto" w:fill="EDEFF3"/>
          </w:tcPr>
          <w:p>
            <w:pPr>
              <w:spacing w:after="40" w:line="252" w:lineRule="auto"/>
            </w:pPr>
            <w:r/>
            <w:r>
              <w:rPr>
                <w:b w:val="0"/>
                <w:sz w:val="17"/>
              </w:rPr>
              <w:t>Con pruebas, todas aprobadas</w:t>
            </w:r>
          </w:p>
        </w:tc>
        <w:tc>
          <w:tcPr>
            <w:tcW w:type="dxa" w:w="6192"/>
          </w:tcPr>
          <w:p>
            <w:pPr>
              <w:spacing w:after="40" w:line="252" w:lineRule="auto"/>
            </w:pPr>
            <w:r/>
            <w:r>
              <w:rPr>
                <w:b w:val="0"/>
                <w:sz w:val="17"/>
              </w:rPr>
              <w:t>8 de 18</w:t>
            </w:r>
          </w:p>
        </w:tc>
      </w:tr>
      <w:tr>
        <w:trPr>
          <w:cantSplit/>
        </w:trPr>
        <w:tc>
          <w:tcPr>
            <w:tcW w:type="dxa" w:w="3456"/>
            <w:shd w:val="clear" w:color="auto" w:fill="EDEFF3"/>
          </w:tcPr>
          <w:p>
            <w:pPr>
              <w:spacing w:after="40" w:line="252" w:lineRule="auto"/>
            </w:pPr>
            <w:r/>
            <w:r>
              <w:rPr>
                <w:b w:val="0"/>
                <w:sz w:val="17"/>
              </w:rPr>
              <w:t>Hallazgos</w:t>
            </w:r>
          </w:p>
        </w:tc>
        <w:tc>
          <w:tcPr>
            <w:tcW w:type="dxa" w:w="6192"/>
          </w:tcPr>
          <w:p>
            <w:pPr>
              <w:spacing w:after="40" w:line="252" w:lineRule="auto"/>
            </w:pPr>
            <w:r/>
            <w:r>
              <w:rPr>
                <w:b w:val="0"/>
                <w:sz w:val="17"/>
              </w:rPr>
              <w:t>21 en total: 10 abiertos y 11 cerrados o aceptados</w:t>
            </w:r>
          </w:p>
        </w:tc>
      </w:tr>
      <w:tr>
        <w:trPr>
          <w:cantSplit/>
        </w:trPr>
        <w:tc>
          <w:tcPr>
            <w:tcW w:type="dxa" w:w="3456"/>
            <w:shd w:val="clear" w:color="auto" w:fill="EDEFF3"/>
          </w:tcPr>
          <w:p>
            <w:pPr>
              <w:spacing w:after="40" w:line="252" w:lineRule="auto"/>
            </w:pPr>
            <w:r/>
            <w:r>
              <w:rPr>
                <w:b w:val="0"/>
                <w:sz w:val="17"/>
              </w:rPr>
              <w:t>Severidad de los abiertos</w:t>
            </w:r>
          </w:p>
        </w:tc>
        <w:tc>
          <w:tcPr>
            <w:tcW w:type="dxa" w:w="6192"/>
          </w:tcPr>
          <w:p>
            <w:pPr>
              <w:spacing w:after="40" w:line="252" w:lineRule="auto"/>
            </w:pPr>
            <w:r/>
            <w:r>
              <w:rPr>
                <w:b w:val="0"/>
                <w:sz w:val="17"/>
              </w:rPr>
              <w:t>1 alto, 8 medio, 1 bajo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b/>
        </w:rPr>
        <w:t>Lectura.</w:t>
      </w:r>
      <w:r>
        <w:rPr>
          <w:b w:val="0"/>
        </w:rPr>
        <w:t xml:space="preserve"> Todos los requisitos tienen una necesidad: no hay requisitos huérfanos. Los ocho que tienen código también tienen pruebas aprobadas. Los diez sin código son los que quedaron fuera del alcance del prototipo; sus rupturas están aceptadas con motivo. Lo que sí es una ruptura real son los casos de prueba de las RFC aprobadas, que existen solo en el papel, y el backlog, que no recoge todavía las decisiones del CCB.</w:t>
      </w:r>
    </w:p>
    <w:p>
      <w:pPr>
        <w:pStyle w:val="Heading2"/>
      </w:pPr>
      <w:r>
        <w:t>4.3 Hallazgos abiertos</w:t>
      </w:r>
    </w:p>
    <w:tbl>
      <w:tblPr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DC8"/>
          <w:left w:val="single" w:sz="4" w:space="0" w:color="B7BDC8"/>
          <w:bottom w:val="single" w:sz="4" w:space="0" w:color="B7BDC8"/>
          <w:right w:val="single" w:sz="4" w:space="0" w:color="B7BDC8"/>
          <w:insideH w:val="single" w:sz="4" w:space="0" w:color="B7BDC8"/>
          <w:insideV w:val="single" w:sz="4" w:space="0" w:color="B7BDC8"/>
        </w:tblBorders>
        <w:tblCellMar>
          <w:top w:w="50" w:type="dxa"/>
          <w:left w:w="90" w:type="dxa"/>
          <w:bottom w:w="50" w:type="dxa"/>
          <w:right w:w="90" w:type="dxa"/>
        </w:tblCellMar>
        <w:tblLayout w:type="fixed"/>
        <w:tblW w:w="9864" w:type="dxa"/>
      </w:tblPr>
      <w:tblGrid>
        <w:gridCol w:w="792"/>
        <w:gridCol w:w="1296"/>
        <w:gridCol w:w="1007"/>
        <w:gridCol w:w="2880"/>
        <w:gridCol w:w="648"/>
        <w:gridCol w:w="1224"/>
        <w:gridCol w:w="2015"/>
      </w:tblGrid>
      <w:tr>
        <w:trPr>
          <w:tblHeader/>
          <w:cantSplit/>
        </w:trPr>
        <w:tc>
          <w:tcPr>
            <w:tcW w:type="dxa" w:w="792"/>
            <w:shd w:val="clear" w:color="auto" w:fill="1F3864"/>
          </w:tcPr>
          <w:p>
            <w:pPr>
              <w:spacing w:after="40" w:line="252" w:lineRule="auto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1296"/>
            <w:shd w:val="clear" w:color="auto" w:fill="1F3864"/>
          </w:tcPr>
          <w:p>
            <w:pPr>
              <w:spacing w:after="40" w:line="252" w:lineRule="auto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Ruptura</w:t>
            </w:r>
          </w:p>
        </w:tc>
        <w:tc>
          <w:tcPr>
            <w:tcW w:type="dxa" w:w="1008"/>
            <w:shd w:val="clear" w:color="auto" w:fill="1F3864"/>
          </w:tcPr>
          <w:p>
            <w:pPr>
              <w:spacing w:after="40" w:line="252" w:lineRule="auto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Elemento</w:t>
            </w:r>
          </w:p>
        </w:tc>
        <w:tc>
          <w:tcPr>
            <w:tcW w:type="dxa" w:w="2880"/>
            <w:shd w:val="clear" w:color="auto" w:fill="1F3864"/>
          </w:tcPr>
          <w:p>
            <w:pPr>
              <w:spacing w:after="40" w:line="252" w:lineRule="auto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Detalle</w:t>
            </w:r>
          </w:p>
        </w:tc>
        <w:tc>
          <w:tcPr>
            <w:tcW w:type="dxa" w:w="648"/>
            <w:shd w:val="clear" w:color="auto" w:fill="1F3864"/>
          </w:tcPr>
          <w:p>
            <w:pPr>
              <w:spacing w:after="40" w:line="252" w:lineRule="auto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Sev.</w:t>
            </w:r>
          </w:p>
        </w:tc>
        <w:tc>
          <w:tcPr>
            <w:tcW w:type="dxa" w:w="1224"/>
            <w:shd w:val="clear" w:color="auto" w:fill="1F3864"/>
          </w:tcPr>
          <w:p>
            <w:pPr>
              <w:spacing w:after="40" w:line="252" w:lineRule="auto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Responsable</w:t>
            </w:r>
          </w:p>
        </w:tc>
        <w:tc>
          <w:tcPr>
            <w:tcW w:type="dxa" w:w="2016"/>
            <w:shd w:val="clear" w:color="auto" w:fill="1F3864"/>
          </w:tcPr>
          <w:p>
            <w:pPr>
              <w:spacing w:after="40" w:line="252" w:lineRule="auto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Acción</w:t>
            </w:r>
          </w:p>
        </w:tc>
      </w:tr>
      <w:tr>
        <w:trPr>
          <w:cantSplit/>
        </w:trPr>
        <w:tc>
          <w:tcPr>
            <w:tcW w:type="dxa" w:w="792"/>
            <w:shd w:val="clear" w:color="auto" w:fill="EDEFF3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AUD-01</w:t>
            </w:r>
          </w:p>
        </w:tc>
        <w:tc>
          <w:tcPr>
            <w:tcW w:type="dxa" w:w="1296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RFC → prueba</w:t>
            </w:r>
          </w:p>
        </w:tc>
        <w:tc>
          <w:tcPr>
            <w:tcW w:type="dxa" w:w="1008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RFC-A3</w:t>
            </w:r>
          </w:p>
        </w:tc>
        <w:tc>
          <w:tcPr>
            <w:tcW w:type="dxa" w:w="2880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3 casos de prueba propuestos sin implementar (TC-HU08-08, TC-HU08-09, TC-RNF01-05).</w:t>
            </w:r>
          </w:p>
        </w:tc>
        <w:tc>
          <w:tcPr>
            <w:tcW w:type="dxa" w:w="648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Alto</w:t>
            </w:r>
          </w:p>
        </w:tc>
        <w:tc>
          <w:tcPr>
            <w:tcW w:type="dxa" w:w="1224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QA Lead</w:t>
            </w:r>
          </w:p>
        </w:tc>
        <w:tc>
          <w:tcPr>
            <w:tcW w:type="dxa" w:w="2016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Escribirlos al construir el cambio. Plazo: Extraordinaria: antes del Sprint 4 (hasta 16/10/2026).</w:t>
            </w:r>
          </w:p>
        </w:tc>
      </w:tr>
      <w:tr>
        <w:trPr>
          <w:cantSplit/>
        </w:trPr>
        <w:tc>
          <w:tcPr>
            <w:tcW w:type="dxa" w:w="792"/>
            <w:shd w:val="clear" w:color="auto" w:fill="EDEFF3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AUD-02</w:t>
            </w:r>
          </w:p>
        </w:tc>
        <w:tc>
          <w:tcPr>
            <w:tcW w:type="dxa" w:w="1296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Artefacto ausente</w:t>
            </w:r>
          </w:p>
        </w:tc>
        <w:tc>
          <w:tcPr>
            <w:tcW w:type="dxa" w:w="1008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M-02</w:t>
            </w:r>
          </w:p>
        </w:tc>
        <w:tc>
          <w:tcPr>
            <w:tcW w:type="dxa" w:w="2880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El Vision Board (fuente de las necesidades NEG-01 a NEG-05) no está en el repositorio propio.</w:t>
            </w:r>
          </w:p>
        </w:tc>
        <w:tc>
          <w:tcPr>
            <w:tcW w:type="dxa" w:w="648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Medio</w:t>
            </w:r>
          </w:p>
        </w:tc>
        <w:tc>
          <w:tcPr>
            <w:tcW w:type="dxa" w:w="1224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Autor</w:t>
            </w:r>
          </w:p>
        </w:tc>
        <w:tc>
          <w:tcPr>
            <w:tcW w:type="dxa" w:w="2016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Agregar el Vision Board como artefacto TRI-VIS y enlazarlo desde las necesidades.</w:t>
            </w:r>
          </w:p>
        </w:tc>
      </w:tr>
      <w:tr>
        <w:trPr>
          <w:cantSplit/>
        </w:trPr>
        <w:tc>
          <w:tcPr>
            <w:tcW w:type="dxa" w:w="792"/>
            <w:shd w:val="clear" w:color="auto" w:fill="EDEFF3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AUD-03</w:t>
            </w:r>
          </w:p>
        </w:tc>
        <w:tc>
          <w:tcPr>
            <w:tcW w:type="dxa" w:w="1296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Backlog desactualizado</w:t>
            </w:r>
          </w:p>
        </w:tc>
        <w:tc>
          <w:tcPr>
            <w:tcW w:type="dxa" w:w="1008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M-03</w:t>
            </w:r>
          </w:p>
        </w:tc>
        <w:tc>
          <w:tcPr>
            <w:tcW w:type="dxa" w:w="2880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El backlog (v1.0) no refleja las decisiones del CCB del 13/10/2026 (por ejemplo, el promedio de 3 simulaciones de RFC-B1 y el motivo obligatorio de RFC-A3).</w:t>
            </w:r>
          </w:p>
        </w:tc>
        <w:tc>
          <w:tcPr>
            <w:tcW w:type="dxa" w:w="648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Medio</w:t>
            </w:r>
          </w:p>
        </w:tc>
        <w:tc>
          <w:tcPr>
            <w:tcW w:type="dxa" w:w="1224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Analista de requisitos</w:t>
            </w:r>
          </w:p>
        </w:tc>
        <w:tc>
          <w:tcPr>
            <w:tcW w:type="dxa" w:w="2016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Publicar backlog v1.1 con los criterios de aceptación de las RFC aprobadas.</w:t>
            </w:r>
          </w:p>
        </w:tc>
      </w:tr>
      <w:tr>
        <w:trPr>
          <w:cantSplit/>
        </w:trPr>
        <w:tc>
          <w:tcPr>
            <w:tcW w:type="dxa" w:w="792"/>
            <w:shd w:val="clear" w:color="auto" w:fill="EDEFF3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AUD-04</w:t>
            </w:r>
          </w:p>
        </w:tc>
        <w:tc>
          <w:tcPr>
            <w:tcW w:type="dxa" w:w="1296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Código → requisito</w:t>
            </w:r>
          </w:p>
        </w:tc>
        <w:tc>
          <w:tcPr>
            <w:tcW w:type="dxa" w:w="1008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vEvaluacion</w:t>
            </w:r>
          </w:p>
        </w:tc>
        <w:tc>
          <w:tcPr>
            <w:tcW w:type="dxa" w:w="2880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La función vEvaluacion del prototipo no tiene marca @trace: implementa una pantalla sin requisito en el backlog (consulta de escenarios y evaluación del piloto, que el caso describe).</w:t>
            </w:r>
          </w:p>
        </w:tc>
        <w:tc>
          <w:tcPr>
            <w:tcW w:type="dxa" w:w="648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Medio</w:t>
            </w:r>
          </w:p>
        </w:tc>
        <w:tc>
          <w:tcPr>
            <w:tcW w:type="dxa" w:w="1224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Analista de requisitos</w:t>
            </w:r>
          </w:p>
        </w:tc>
        <w:tc>
          <w:tcPr>
            <w:tcW w:type="dxa" w:w="2016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Agregar una historia de usuario al backlog para la consulta de escenarios y marcar la función.</w:t>
            </w:r>
          </w:p>
        </w:tc>
      </w:tr>
      <w:tr>
        <w:trPr>
          <w:cantSplit/>
        </w:trPr>
        <w:tc>
          <w:tcPr>
            <w:tcW w:type="dxa" w:w="792"/>
            <w:shd w:val="clear" w:color="auto" w:fill="EDEFF3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AUD-05</w:t>
            </w:r>
          </w:p>
        </w:tc>
        <w:tc>
          <w:tcPr>
            <w:tcW w:type="dxa" w:w="1296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RFC → prueba</w:t>
            </w:r>
          </w:p>
        </w:tc>
        <w:tc>
          <w:tcPr>
            <w:tcW w:type="dxa" w:w="1008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RFC-A1</w:t>
            </w:r>
          </w:p>
        </w:tc>
        <w:tc>
          <w:tcPr>
            <w:tcW w:type="dxa" w:w="2880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4 casos de prueba propuestos sin implementar (TC-HU03-05, TC-HU07-10, TC-HU07-11, TC-HU10-04).</w:t>
            </w:r>
          </w:p>
        </w:tc>
        <w:tc>
          <w:tcPr>
            <w:tcW w:type="dxa" w:w="648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Medio</w:t>
            </w:r>
          </w:p>
        </w:tc>
        <w:tc>
          <w:tcPr>
            <w:tcW w:type="dxa" w:w="1224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QA Lead</w:t>
            </w:r>
          </w:p>
        </w:tc>
        <w:tc>
          <w:tcPr>
            <w:tcW w:type="dxa" w:w="2016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Escribirlos al construir el cambio. Plazo: Sprint 4 (26/10/2026 – 06/11/2026).</w:t>
            </w:r>
          </w:p>
        </w:tc>
      </w:tr>
      <w:tr>
        <w:trPr>
          <w:cantSplit/>
        </w:trPr>
        <w:tc>
          <w:tcPr>
            <w:tcW w:type="dxa" w:w="792"/>
            <w:shd w:val="clear" w:color="auto" w:fill="EDEFF3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AUD-06</w:t>
            </w:r>
          </w:p>
        </w:tc>
        <w:tc>
          <w:tcPr>
            <w:tcW w:type="dxa" w:w="1296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RFC → prueba</w:t>
            </w:r>
          </w:p>
        </w:tc>
        <w:tc>
          <w:tcPr>
            <w:tcW w:type="dxa" w:w="1008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RFC-A2</w:t>
            </w:r>
          </w:p>
        </w:tc>
        <w:tc>
          <w:tcPr>
            <w:tcW w:type="dxa" w:w="2880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3 casos de prueba propuestos sin implementar (TC-HU08-07, TC-HU12-03, TC-RNF02-04).</w:t>
            </w:r>
          </w:p>
        </w:tc>
        <w:tc>
          <w:tcPr>
            <w:tcW w:type="dxa" w:w="648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Medio</w:t>
            </w:r>
          </w:p>
        </w:tc>
        <w:tc>
          <w:tcPr>
            <w:tcW w:type="dxa" w:w="1224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QA Lead</w:t>
            </w:r>
          </w:p>
        </w:tc>
        <w:tc>
          <w:tcPr>
            <w:tcW w:type="dxa" w:w="2016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Escribirlos al construir el cambio. Plazo: Sprint 5 (09/11/2026 – 20/11/2026).</w:t>
            </w:r>
          </w:p>
        </w:tc>
      </w:tr>
      <w:tr>
        <w:trPr>
          <w:cantSplit/>
        </w:trPr>
        <w:tc>
          <w:tcPr>
            <w:tcW w:type="dxa" w:w="792"/>
            <w:shd w:val="clear" w:color="auto" w:fill="EDEFF3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AUD-07</w:t>
            </w:r>
          </w:p>
        </w:tc>
        <w:tc>
          <w:tcPr>
            <w:tcW w:type="dxa" w:w="1296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RFC → prueba</w:t>
            </w:r>
          </w:p>
        </w:tc>
        <w:tc>
          <w:tcPr>
            <w:tcW w:type="dxa" w:w="1008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RFC-C4</w:t>
            </w:r>
          </w:p>
        </w:tc>
        <w:tc>
          <w:tcPr>
            <w:tcW w:type="dxa" w:w="2880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2 casos de prueba propuestos sin implementar (TC-HU09-04, TC-HU06-05).</w:t>
            </w:r>
          </w:p>
        </w:tc>
        <w:tc>
          <w:tcPr>
            <w:tcW w:type="dxa" w:w="648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Medio</w:t>
            </w:r>
          </w:p>
        </w:tc>
        <w:tc>
          <w:tcPr>
            <w:tcW w:type="dxa" w:w="1224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QA Lead</w:t>
            </w:r>
          </w:p>
        </w:tc>
        <w:tc>
          <w:tcPr>
            <w:tcW w:type="dxa" w:w="2016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Escribirlos al construir el cambio. Plazo: Sprint 4 (26/10/2026 – 06/11/2026).</w:t>
            </w:r>
          </w:p>
        </w:tc>
      </w:tr>
      <w:tr>
        <w:trPr>
          <w:cantSplit/>
        </w:trPr>
        <w:tc>
          <w:tcPr>
            <w:tcW w:type="dxa" w:w="792"/>
            <w:shd w:val="clear" w:color="auto" w:fill="EDEFF3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AUD-08</w:t>
            </w:r>
          </w:p>
        </w:tc>
        <w:tc>
          <w:tcPr>
            <w:tcW w:type="dxa" w:w="1296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RFC → prueba</w:t>
            </w:r>
          </w:p>
        </w:tc>
        <w:tc>
          <w:tcPr>
            <w:tcW w:type="dxa" w:w="1008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RFC-B1</w:t>
            </w:r>
          </w:p>
        </w:tc>
        <w:tc>
          <w:tcPr>
            <w:tcW w:type="dxa" w:w="2880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6 casos de prueba propuestos sin implementar (TC-HU06-03, TC-HU07-12, TC-HU07-14, TC-HU08-10, TC-HU11-05, TC-RNF05-03).</w:t>
            </w:r>
          </w:p>
        </w:tc>
        <w:tc>
          <w:tcPr>
            <w:tcW w:type="dxa" w:w="648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Medio</w:t>
            </w:r>
          </w:p>
        </w:tc>
        <w:tc>
          <w:tcPr>
            <w:tcW w:type="dxa" w:w="1224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QA Lead</w:t>
            </w:r>
          </w:p>
        </w:tc>
        <w:tc>
          <w:tcPr>
            <w:tcW w:type="dxa" w:w="2016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Escribirlos al construir el cambio. Plazo: Sprints 4 a 5 (26/10/2026 – 20/11/2026).</w:t>
            </w:r>
          </w:p>
        </w:tc>
      </w:tr>
      <w:tr>
        <w:trPr>
          <w:cantSplit/>
        </w:trPr>
        <w:tc>
          <w:tcPr>
            <w:tcW w:type="dxa" w:w="792"/>
            <w:shd w:val="clear" w:color="auto" w:fill="EDEFF3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AUD-09</w:t>
            </w:r>
          </w:p>
        </w:tc>
        <w:tc>
          <w:tcPr>
            <w:tcW w:type="dxa" w:w="1296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RFC → prueba</w:t>
            </w:r>
          </w:p>
        </w:tc>
        <w:tc>
          <w:tcPr>
            <w:tcW w:type="dxa" w:w="1008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RFC-C2</w:t>
            </w:r>
          </w:p>
        </w:tc>
        <w:tc>
          <w:tcPr>
            <w:tcW w:type="dxa" w:w="2880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4 casos de prueba propuestos sin implementar (TC-HU07-13, TC-HU08-11, TC-REG-01, TC-HU11-06).</w:t>
            </w:r>
          </w:p>
        </w:tc>
        <w:tc>
          <w:tcPr>
            <w:tcW w:type="dxa" w:w="648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Medio</w:t>
            </w:r>
          </w:p>
        </w:tc>
        <w:tc>
          <w:tcPr>
            <w:tcW w:type="dxa" w:w="1224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QA Lead</w:t>
            </w:r>
          </w:p>
        </w:tc>
        <w:tc>
          <w:tcPr>
            <w:tcW w:type="dxa" w:w="2016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Escribirlos al construir el cambio. Plazo: Sprints 4 a 6 (26/10/2026 – 04/12/2026).</w:t>
            </w:r>
          </w:p>
        </w:tc>
      </w:tr>
      <w:tr>
        <w:trPr>
          <w:cantSplit/>
        </w:trPr>
        <w:tc>
          <w:tcPr>
            <w:tcW w:type="dxa" w:w="792"/>
            <w:shd w:val="clear" w:color="auto" w:fill="EDEFF3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AUD-14</w:t>
            </w:r>
          </w:p>
        </w:tc>
        <w:tc>
          <w:tcPr>
            <w:tcW w:type="dxa" w:w="1296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Prueba → requisito</w:t>
            </w:r>
          </w:p>
        </w:tc>
        <w:tc>
          <w:tcPr>
            <w:tcW w:type="dxa" w:w="1008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P19, P20, P26, P27, P28, P30</w:t>
            </w:r>
          </w:p>
        </w:tc>
        <w:tc>
          <w:tcPr>
            <w:tcW w:type="dxa" w:w="2880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Pruebas sin requisito del backlog: consulta de escenarios (P19, P20) y pruebas transversales de defectos y calidad (P26 a P28, P30).</w:t>
            </w:r>
          </w:p>
        </w:tc>
        <w:tc>
          <w:tcPr>
            <w:tcW w:type="dxa" w:w="648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Bajo</w:t>
            </w:r>
          </w:p>
        </w:tc>
        <w:tc>
          <w:tcPr>
            <w:tcW w:type="dxa" w:w="1224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QA Lead</w:t>
            </w:r>
          </w:p>
        </w:tc>
        <w:tc>
          <w:tcPr>
            <w:tcW w:type="dxa" w:w="2016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Relacionar P19 y P20 con la historia nueva; las demás quedan como pruebas de regresión.</w:t>
            </w:r>
          </w:p>
        </w:tc>
      </w:tr>
    </w:tbl>
    <w:p>
      <w:pPr>
        <w:spacing w:after="40"/>
      </w:pPr>
    </w:p>
    <w:p>
      <w:pPr>
        <w:pStyle w:val="Heading2"/>
      </w:pPr>
      <w:r>
        <w:t>4.4 Hallazgos cerrados o aceptados</w:t>
      </w:r>
    </w:p>
    <w:tbl>
      <w:tblPr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DC8"/>
          <w:left w:val="single" w:sz="4" w:space="0" w:color="B7BDC8"/>
          <w:bottom w:val="single" w:sz="4" w:space="0" w:color="B7BDC8"/>
          <w:right w:val="single" w:sz="4" w:space="0" w:color="B7BDC8"/>
          <w:insideH w:val="single" w:sz="4" w:space="0" w:color="B7BDC8"/>
          <w:insideV w:val="single" w:sz="4" w:space="0" w:color="B7BDC8"/>
        </w:tblBorders>
        <w:tblCellMar>
          <w:top w:w="50" w:type="dxa"/>
          <w:left w:w="90" w:type="dxa"/>
          <w:bottom w:w="50" w:type="dxa"/>
          <w:right w:w="90" w:type="dxa"/>
        </w:tblCellMar>
        <w:tblLayout w:type="fixed"/>
        <w:tblW w:w="9864" w:type="dxa"/>
      </w:tblPr>
      <w:tblGrid>
        <w:gridCol w:w="792"/>
        <w:gridCol w:w="1584"/>
        <w:gridCol w:w="2160"/>
        <w:gridCol w:w="1440"/>
        <w:gridCol w:w="3888"/>
      </w:tblGrid>
      <w:tr>
        <w:trPr>
          <w:tblHeader/>
          <w:cantSplit/>
        </w:trPr>
        <w:tc>
          <w:tcPr>
            <w:tcW w:type="dxa" w:w="792"/>
            <w:shd w:val="clear" w:color="auto" w:fill="1F3864"/>
          </w:tcPr>
          <w:p>
            <w:pPr>
              <w:spacing w:after="40" w:line="252" w:lineRule="auto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1584"/>
            <w:shd w:val="clear" w:color="auto" w:fill="1F3864"/>
          </w:tcPr>
          <w:p>
            <w:pPr>
              <w:spacing w:after="40" w:line="252" w:lineRule="auto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Ruptura</w:t>
            </w:r>
          </w:p>
        </w:tc>
        <w:tc>
          <w:tcPr>
            <w:tcW w:type="dxa" w:w="2160"/>
            <w:shd w:val="clear" w:color="auto" w:fill="1F3864"/>
          </w:tcPr>
          <w:p>
            <w:pPr>
              <w:spacing w:after="40" w:line="252" w:lineRule="auto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Elemento</w:t>
            </w:r>
          </w:p>
        </w:tc>
        <w:tc>
          <w:tcPr>
            <w:tcW w:type="dxa" w:w="1440"/>
            <w:shd w:val="clear" w:color="auto" w:fill="1F3864"/>
          </w:tcPr>
          <w:p>
            <w:pPr>
              <w:spacing w:after="40" w:line="252" w:lineRule="auto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Estado</w:t>
            </w:r>
          </w:p>
        </w:tc>
        <w:tc>
          <w:tcPr>
            <w:tcW w:type="dxa" w:w="3888"/>
            <w:shd w:val="clear" w:color="auto" w:fill="1F3864"/>
          </w:tcPr>
          <w:p>
            <w:pPr>
              <w:spacing w:after="40" w:line="252" w:lineRule="auto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Motivo</w:t>
            </w:r>
          </w:p>
        </w:tc>
      </w:tr>
      <w:tr>
        <w:trPr>
          <w:cantSplit/>
        </w:trPr>
        <w:tc>
          <w:tcPr>
            <w:tcW w:type="dxa" w:w="792"/>
            <w:shd w:val="clear" w:color="auto" w:fill="EDEFF3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AUD-10</w:t>
            </w:r>
          </w:p>
        </w:tc>
        <w:tc>
          <w:tcPr>
            <w:tcW w:type="dxa" w:w="1584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Contradicción entre fuentes</w:t>
            </w:r>
          </w:p>
        </w:tc>
        <w:tc>
          <w:tcPr>
            <w:tcW w:type="dxa" w:w="2160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M-01</w:t>
            </w:r>
          </w:p>
        </w:tc>
        <w:tc>
          <w:tcPr>
            <w:tcW w:type="dxa" w:w="1440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Cerrado</w:t>
            </w:r>
          </w:p>
        </w:tc>
        <w:tc>
          <w:tcPr>
            <w:tcW w:type="dxa" w:w="3888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El caso de estudio dice que el resultado nuevo elimina el anterior; el criterio de aceptación de HU-06 lo conserva en el historial. RFC-B1 adopta la versión con historial.</w:t>
            </w:r>
          </w:p>
        </w:tc>
      </w:tr>
      <w:tr>
        <w:trPr>
          <w:cantSplit/>
        </w:trPr>
        <w:tc>
          <w:tcPr>
            <w:tcW w:type="dxa" w:w="792"/>
            <w:shd w:val="clear" w:color="auto" w:fill="EDEFF3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AUD-11</w:t>
            </w:r>
          </w:p>
        </w:tc>
        <w:tc>
          <w:tcPr>
            <w:tcW w:type="dxa" w:w="1584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Requisito → código</w:t>
            </w:r>
          </w:p>
        </w:tc>
        <w:tc>
          <w:tcPr>
            <w:tcW w:type="dxa" w:w="2160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HU-01 Registrar y actualizar tripulantes</w:t>
            </w:r>
          </w:p>
        </w:tc>
        <w:tc>
          <w:tcPr>
            <w:tcW w:type="dxa" w:w="1440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Aceptado (fuera de alcance)</w:t>
            </w:r>
          </w:p>
        </w:tc>
        <w:tc>
          <w:tcPr>
            <w:tcW w:type="dxa" w:w="3888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Registro administrativo; no cambia la decisión de asignación que valida el prototipo (U3A2, sección 7.1).</w:t>
            </w:r>
          </w:p>
        </w:tc>
      </w:tr>
      <w:tr>
        <w:trPr>
          <w:cantSplit/>
        </w:trPr>
        <w:tc>
          <w:tcPr>
            <w:tcW w:type="dxa" w:w="792"/>
            <w:shd w:val="clear" w:color="auto" w:fill="EDEFF3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AUD-12</w:t>
            </w:r>
          </w:p>
        </w:tc>
        <w:tc>
          <w:tcPr>
            <w:tcW w:type="dxa" w:w="1584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Requisito → código</w:t>
            </w:r>
          </w:p>
        </w:tc>
        <w:tc>
          <w:tcPr>
            <w:tcW w:type="dxa" w:w="2160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HU-02 Registrar y actualizar tripulaciones</w:t>
            </w:r>
          </w:p>
        </w:tc>
        <w:tc>
          <w:tcPr>
            <w:tcW w:type="dxa" w:w="1440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Aceptado (fuera de alcance)</w:t>
            </w:r>
          </w:p>
        </w:tc>
        <w:tc>
          <w:tcPr>
            <w:tcW w:type="dxa" w:w="3888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Registro administrativo; fuera del alcance del prototipo (U3A2, sección 7.1).</w:t>
            </w:r>
          </w:p>
        </w:tc>
      </w:tr>
      <w:tr>
        <w:trPr>
          <w:cantSplit/>
        </w:trPr>
        <w:tc>
          <w:tcPr>
            <w:tcW w:type="dxa" w:w="792"/>
            <w:shd w:val="clear" w:color="auto" w:fill="EDEFF3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AUD-13</w:t>
            </w:r>
          </w:p>
        </w:tc>
        <w:tc>
          <w:tcPr>
            <w:tcW w:type="dxa" w:w="1584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Requisito → código</w:t>
            </w:r>
          </w:p>
        </w:tc>
        <w:tc>
          <w:tcPr>
            <w:tcW w:type="dxa" w:w="2160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HU-03 Registrar y actualizar vuelos</w:t>
            </w:r>
          </w:p>
        </w:tc>
        <w:tc>
          <w:tcPr>
            <w:tcW w:type="dxa" w:w="1440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Aceptado (fuera de alcance)</w:t>
            </w:r>
          </w:p>
        </w:tc>
        <w:tc>
          <w:tcPr>
            <w:tcW w:type="dxa" w:w="3888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Registro administrativo; fuera del alcance del prototipo (U3A2, sección 7.1).</w:t>
            </w:r>
          </w:p>
        </w:tc>
      </w:tr>
      <w:tr>
        <w:trPr>
          <w:cantSplit/>
        </w:trPr>
        <w:tc>
          <w:tcPr>
            <w:tcW w:type="dxa" w:w="792"/>
            <w:shd w:val="clear" w:color="auto" w:fill="EDEFF3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AUD-15</w:t>
            </w:r>
          </w:p>
        </w:tc>
        <w:tc>
          <w:tcPr>
            <w:tcW w:type="dxa" w:w="1584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Requisito → código</w:t>
            </w:r>
          </w:p>
        </w:tc>
        <w:tc>
          <w:tcPr>
            <w:tcW w:type="dxa" w:w="2160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HU-09 Alertar simulación anual pendiente</w:t>
            </w:r>
          </w:p>
        </w:tc>
        <w:tc>
          <w:tcPr>
            <w:tcW w:type="dxa" w:w="1440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Aceptado (fuera de alcance)</w:t>
            </w:r>
          </w:p>
        </w:tc>
        <w:tc>
          <w:tcPr>
            <w:tcW w:type="dxa" w:w="3888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Alerta de simulación anual; requiere calendario y notificaciones (RFC-A3, CCB 13/10/2026).</w:t>
            </w:r>
          </w:p>
        </w:tc>
      </w:tr>
      <w:tr>
        <w:trPr>
          <w:cantSplit/>
        </w:trPr>
        <w:tc>
          <w:tcPr>
            <w:tcW w:type="dxa" w:w="792"/>
            <w:shd w:val="clear" w:color="auto" w:fill="EDEFF3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AUD-16</w:t>
            </w:r>
          </w:p>
        </w:tc>
        <w:tc>
          <w:tcPr>
            <w:tcW w:type="dxa" w:w="1584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Requisito → código</w:t>
            </w:r>
          </w:p>
        </w:tc>
        <w:tc>
          <w:tcPr>
            <w:tcW w:type="dxa" w:w="2160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HU-10 Gestionar catálogo de escenarios</w:t>
            </w:r>
          </w:p>
        </w:tc>
        <w:tc>
          <w:tcPr>
            <w:tcW w:type="dxa" w:w="1440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Aceptado (fuera de alcance)</w:t>
            </w:r>
          </w:p>
        </w:tc>
        <w:tc>
          <w:tcPr>
            <w:tcW w:type="dxa" w:w="3888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Gestión del catálogo; el prototipo trae escenarios fijos.</w:t>
            </w:r>
          </w:p>
        </w:tc>
      </w:tr>
      <w:tr>
        <w:trPr>
          <w:cantSplit/>
        </w:trPr>
        <w:tc>
          <w:tcPr>
            <w:tcW w:type="dxa" w:w="792"/>
            <w:shd w:val="clear" w:color="auto" w:fill="EDEFF3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AUD-17</w:t>
            </w:r>
          </w:p>
        </w:tc>
        <w:tc>
          <w:tcPr>
            <w:tcW w:type="dxa" w:w="1584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Requisito → código</w:t>
            </w:r>
          </w:p>
        </w:tc>
        <w:tc>
          <w:tcPr>
            <w:tcW w:type="dxa" w:w="2160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HU-11 Reportes históricos de desempeño</w:t>
            </w:r>
          </w:p>
        </w:tc>
        <w:tc>
          <w:tcPr>
            <w:tcW w:type="dxa" w:w="1440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Aceptado (fuera de alcance)</w:t>
            </w:r>
          </w:p>
        </w:tc>
        <w:tc>
          <w:tcPr>
            <w:tcW w:type="dxa" w:w="3888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Reportes históricos; dependen del histórico de RFC-B1.</w:t>
            </w:r>
          </w:p>
        </w:tc>
      </w:tr>
      <w:tr>
        <w:trPr>
          <w:cantSplit/>
        </w:trPr>
        <w:tc>
          <w:tcPr>
            <w:tcW w:type="dxa" w:w="792"/>
            <w:shd w:val="clear" w:color="auto" w:fill="EDEFF3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AUD-18</w:t>
            </w:r>
          </w:p>
        </w:tc>
        <w:tc>
          <w:tcPr>
            <w:tcW w:type="dxa" w:w="1584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Requisito → código</w:t>
            </w:r>
          </w:p>
        </w:tc>
        <w:tc>
          <w:tcPr>
            <w:tcW w:type="dxa" w:w="2160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HU-12 Notificación de cambio de asignación</w:t>
            </w:r>
          </w:p>
        </w:tc>
        <w:tc>
          <w:tcPr>
            <w:tcW w:type="dxa" w:w="1440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Aceptado (fuera de alcance)</w:t>
            </w:r>
          </w:p>
        </w:tc>
        <w:tc>
          <w:tcPr>
            <w:tcW w:type="dxa" w:w="3888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Notificaciones; dependen de RFC-A2 (Sprint 5).</w:t>
            </w:r>
          </w:p>
        </w:tc>
      </w:tr>
      <w:tr>
        <w:trPr>
          <w:cantSplit/>
        </w:trPr>
        <w:tc>
          <w:tcPr>
            <w:tcW w:type="dxa" w:w="792"/>
            <w:shd w:val="clear" w:color="auto" w:fill="EDEFF3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AUD-19</w:t>
            </w:r>
          </w:p>
        </w:tc>
        <w:tc>
          <w:tcPr>
            <w:tcW w:type="dxa" w:w="1584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Requisito → código</w:t>
            </w:r>
          </w:p>
        </w:tc>
        <w:tc>
          <w:tcPr>
            <w:tcW w:type="dxa" w:w="2160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RNF-03 Disponibilidad continua</w:t>
            </w:r>
          </w:p>
        </w:tc>
        <w:tc>
          <w:tcPr>
            <w:tcW w:type="dxa" w:w="1440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Aceptado (fuera de alcance)</w:t>
            </w:r>
          </w:p>
        </w:tc>
        <w:tc>
          <w:tcPr>
            <w:tcW w:type="dxa" w:w="3888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Disponibilidad 24/7; no medible en un prototipo local.</w:t>
            </w:r>
          </w:p>
        </w:tc>
      </w:tr>
      <w:tr>
        <w:trPr>
          <w:cantSplit/>
        </w:trPr>
        <w:tc>
          <w:tcPr>
            <w:tcW w:type="dxa" w:w="792"/>
            <w:shd w:val="clear" w:color="auto" w:fill="EDEFF3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AUD-20</w:t>
            </w:r>
          </w:p>
        </w:tc>
        <w:tc>
          <w:tcPr>
            <w:tcW w:type="dxa" w:w="1584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Requisito → código</w:t>
            </w:r>
          </w:p>
        </w:tc>
        <w:tc>
          <w:tcPr>
            <w:tcW w:type="dxa" w:w="2160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RNF-04 Rendimiento en consultas</w:t>
            </w:r>
          </w:p>
        </w:tc>
        <w:tc>
          <w:tcPr>
            <w:tcW w:type="dxa" w:w="1440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Aceptado (fuera de alcance)</w:t>
            </w:r>
          </w:p>
        </w:tc>
        <w:tc>
          <w:tcPr>
            <w:tcW w:type="dxa" w:w="3888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Rendimiento; sin backend no hay tiempos reales que medir.</w:t>
            </w:r>
          </w:p>
        </w:tc>
      </w:tr>
      <w:tr>
        <w:trPr>
          <w:cantSplit/>
        </w:trPr>
        <w:tc>
          <w:tcPr>
            <w:tcW w:type="dxa" w:w="792"/>
            <w:shd w:val="clear" w:color="auto" w:fill="EDEFF3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AUD-21</w:t>
            </w:r>
          </w:p>
        </w:tc>
        <w:tc>
          <w:tcPr>
            <w:tcW w:type="dxa" w:w="1584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Requisito → código</w:t>
            </w:r>
          </w:p>
        </w:tc>
        <w:tc>
          <w:tcPr>
            <w:tcW w:type="dxa" w:w="2160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RNF-05 Integridad de la sincronización con el simulador</w:t>
            </w:r>
          </w:p>
        </w:tc>
        <w:tc>
          <w:tcPr>
            <w:tcW w:type="dxa" w:w="1440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Aceptado (fuera de alcance)</w:t>
            </w:r>
          </w:p>
        </w:tc>
        <w:tc>
          <w:tcPr>
            <w:tcW w:type="dxa" w:w="3888"/>
          </w:tcPr>
          <w:p>
            <w:pPr>
              <w:spacing w:after="40" w:line="252" w:lineRule="auto"/>
            </w:pPr>
            <w:r/>
            <w:r>
              <w:rPr>
                <w:b w:val="0"/>
                <w:sz w:val="14"/>
              </w:rPr>
              <w:t>Sincronización con el simulador; el simulador es externo y el prototipo no se conecta.</w:t>
            </w:r>
          </w:p>
        </w:tc>
      </w:tr>
    </w:tbl>
    <w:p>
      <w:pPr>
        <w:spacing w:after="40"/>
      </w:pPr>
    </w:p>
    <w:p>
      <w:pPr>
        <w:pStyle w:val="Heading2"/>
      </w:pPr>
      <w:r>
        <w:t>4.5 Conclusión y plan de cierre</w:t>
      </w:r>
    </w:p>
    <w:p>
      <w:pPr>
        <w:spacing w:after="40"/>
      </w:pPr>
      <w:r>
        <w:rPr>
          <w:b w:val="0"/>
        </w:rPr>
        <w:t>La cadena está sana en el núcleo que se construyó (asignación, consulta y resultados) y rota donde todavía no hay construcción. Para cerrar el ciclo de los requisitos propongo, en este orden:</w:t>
      </w:r>
    </w:p>
    <w:p>
      <w:pPr>
        <w:spacing w:after="40"/>
        <w:ind w:left="288" w:hanging="288"/>
      </w:pPr>
      <w:r>
        <w:rPr>
          <w:b w:val="0"/>
        </w:rPr>
        <w:t>•  Antes del 16/10/2026: escribir y ejecutar los tres casos de prueba de RFC-A3 (hallazgo de severidad alta) y confirmar que bloquean la asignación.</w:t>
      </w:r>
    </w:p>
    <w:p>
      <w:pPr>
        <w:spacing w:after="40"/>
        <w:ind w:left="288" w:hanging="288"/>
      </w:pPr>
      <w:r>
        <w:rPr>
          <w:b w:val="0"/>
        </w:rPr>
        <w:t>•  Publicar el backlog v1.1 con los criterios de las RFC aprobadas (AUD-03) y agregar la historia de consulta de escenarios (AUD-04).</w:t>
      </w:r>
    </w:p>
    <w:p>
      <w:pPr>
        <w:spacing w:after="40"/>
        <w:ind w:left="288" w:hanging="288"/>
      </w:pPr>
      <w:r>
        <w:rPr>
          <w:b w:val="0"/>
        </w:rPr>
        <w:t>•  Agregar el Vision Board al repositorio como artefacto TRI-VIS (AUD-02).</w:t>
      </w:r>
    </w:p>
    <w:p>
      <w:pPr>
        <w:spacing w:after="40"/>
        <w:ind w:left="288" w:hanging="288"/>
      </w:pPr>
      <w:r>
        <w:rPr>
          <w:b w:val="0"/>
        </w:rPr>
        <w:t>•  En cada sprint, convertir los casos de prueba propuestos en pruebas automáticas y volver a ejecutar la herramienta: los hallazgos de RFC → prueba deben bajar a cero.</w:t>
      </w:r>
    </w:p>
    <w:p>
      <w:pPr>
        <w:pStyle w:val="Heading1"/>
      </w:pPr>
      <w:r>
        <w:t>Notas y supuestos</w:t>
      </w:r>
    </w:p>
    <w:p>
      <w:pPr>
        <w:spacing w:after="40"/>
        <w:ind w:left="288" w:hanging="288"/>
      </w:pPr>
      <w:r>
        <w:rPr>
          <w:b w:val="0"/>
        </w:rPr>
        <w:t>•  El Vision Board propio no está en el repositorio. Las cinco necesidades (NEG-01 a NEG-05) las tomé del Vision Board publicado en la rama tripulaciones del repositorio de referencia y las resumí. La relación de cada necesidad con los requisitos es análisis mío. Queda registrado como hallazgo AUD-02.</w:t>
      </w:r>
    </w:p>
    <w:p>
      <w:pPr>
        <w:spacing w:after="40"/>
        <w:ind w:left="288" w:hanging="288"/>
      </w:pPr>
      <w:r>
        <w:rPr>
          <w:b w:val="0"/>
        </w:rPr>
        <w:t>•  Los casos de prueba que citan las RFC (TC-HU07-10 y similares) son propuestas del documento de la unidad 3. Todavía no existen como pruebas ejecutables; la auditoría los cuenta como ruptura.</w:t>
      </w:r>
    </w:p>
    <w:p>
      <w:pPr>
        <w:spacing w:after="40"/>
        <w:ind w:left="288" w:hanging="288"/>
      </w:pPr>
      <w:r>
        <w:rPr>
          <w:b w:val="0"/>
        </w:rPr>
        <w:t>•  Las decisiones del CCB vienen de una reunión simulada en la que asumí los cinco roles. Las fechas y los plazos son propuestas para el ejercicio.</w:t>
      </w:r>
    </w:p>
    <w:p>
      <w:pPr>
        <w:spacing w:after="40"/>
        <w:ind w:left="288" w:hanging="288"/>
      </w:pPr>
      <w:r>
        <w:rPr>
          <w:b w:val="0"/>
        </w:rPr>
        <w:t>•  La prueba con usuarios del informe U3A2 es una simulación con personas ficticias. Las pruebas automáticas, en cambio, sí se ejecutaron.</w:t>
      </w:r>
    </w:p>
    <w:p>
      <w:pPr>
        <w:spacing w:after="40"/>
        <w:ind w:left="288" w:hanging="288"/>
      </w:pPr>
      <w:r>
        <w:rPr>
          <w:b w:val="0"/>
        </w:rPr>
        <w:t>•  El prototipo cubre 8 de los 18 requisitos. Los demás están marcados como fuera del alcance con su motivo.</w:t>
      </w:r>
    </w:p>
    <w:p>
      <w:pPr>
        <w:spacing w:after="40"/>
        <w:ind w:left="288" w:hanging="288"/>
      </w:pPr>
      <w:r>
        <w:rPr>
          <w:b w:val="0"/>
        </w:rPr>
        <w:t>•  El revisor de cada artefacto queda pendiente hasta que lo asigne el docente.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296" w:bottom="122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7"/>
      </w:rPr>
      <w:t xml:space="preserve">Federico Márquez · 15/10/2026 · Página </w:t>
    </w:r>
    <w:r>
      <w:rPr>
        <w:sz w:val="17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666666"/>
        <w:sz w:val="17"/>
      </w:rPr>
      <w:t>Trazabilidad de un requisito · Sistema de asignación de tripulaciones |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0" w:after="16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386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386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