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40"/>
        <w:jc w:val="center"/>
      </w:pPr>
      <w:r>
        <w:rPr>
          <w:b w:val="0"/>
          <w:sz w:val="22"/>
        </w:rPr>
        <w:t>UNIVERSIDAD PONTIFICIA BOLIVARIANA</w:t>
      </w:r>
    </w:p>
    <w:p>
      <w:pPr>
        <w:spacing w:after="800"/>
        <w:jc w:val="center"/>
      </w:pPr>
      <w:r>
        <w:rPr>
          <w:b w:val="0"/>
          <w:sz w:val="20"/>
        </w:rPr>
        <w:t>Ingeniería de Requisitos · Ingeniería de Sistemas e Informática</w:t>
      </w:r>
    </w:p>
    <w:p>
      <w:pPr>
        <w:spacing w:after="80"/>
        <w:jc w:val="center"/>
      </w:pPr>
      <w:r>
        <w:rPr>
          <w:b/>
          <w:color w:val="1F3864"/>
          <w:sz w:val="52"/>
        </w:rPr>
        <w:t>Trazabilidad de un requisito</w:t>
      </w:r>
    </w:p>
    <w:p>
      <w:pPr>
        <w:spacing w:after="80"/>
        <w:jc w:val="center"/>
      </w:pPr>
      <w:r>
        <w:rPr>
          <w:b w:val="0"/>
          <w:sz w:val="30"/>
        </w:rPr>
        <w:t>Sistema integral de gestión de tripulaciones</w:t>
      </w:r>
    </w:p>
    <w:p>
      <w:pPr>
        <w:spacing w:after="1200"/>
        <w:jc w:val="center"/>
      </w:pPr>
      <w:r>
        <w:rPr>
          <w:b w:val="0"/>
          <w:sz w:val="22"/>
        </w:rPr>
        <w:t>Entrega U4A1 · Misión 9: el guardián del conocimiento · Misión 10: auditoría</w:t>
      </w:r>
    </w:p>
    <w:p>
      <w:pPr>
        <w:spacing w:after="40"/>
        <w:jc w:val="center"/>
      </w:pPr>
      <w:r>
        <w:rPr>
          <w:b/>
        </w:rPr>
        <w:t>Autor:</w:t>
      </w:r>
      <w:r>
        <w:rPr>
          <w:b w:val="0"/>
        </w:rPr>
        <w:t xml:space="preserve"> Federico Márquez</w:t>
      </w:r>
    </w:p>
    <w:p>
      <w:pPr>
        <w:spacing w:after="40"/>
        <w:jc w:val="center"/>
      </w:pPr>
      <w:r>
        <w:rPr>
          <w:b/>
        </w:rPr>
        <w:t>Fecha:</w:t>
      </w:r>
      <w:r>
        <w:rPr>
          <w:b w:val="0"/>
        </w:rPr>
        <w:t xml:space="preserve"> 15/10/2026</w:t>
      </w:r>
    </w:p>
    <w:p>
      <w:pPr>
        <w:spacing w:after="40"/>
        <w:jc w:val="center"/>
      </w:pPr>
      <w:r>
        <w:rPr>
          <w:b/>
        </w:rPr>
        <w:t>Versión del documento:</w:t>
      </w:r>
      <w:r>
        <w:rPr>
          <w:b w:val="0"/>
        </w:rPr>
        <w:t xml:space="preserve"> 1.0 · </w:t>
      </w:r>
      <w:r>
        <w:rPr>
          <w:b/>
        </w:rPr>
        <w:t>Rama del repositorio:</w:t>
      </w:r>
      <w:r>
        <w:rPr>
          <w:b w:val="0"/>
        </w:rPr>
        <w:t xml:space="preserve"> tripulaciones</w:t>
      </w:r>
    </w:p>
    <w:p>
      <w:pPr>
        <w:pStyle w:val="Heading1"/>
      </w:pPr>
      <w:r>
        <w:t>Resumen</w:t>
      </w:r>
    </w:p>
    <w:p>
      <w:pPr>
        <w:spacing w:after="80"/>
      </w:pPr>
      <w:r>
        <w:rPr>
          <w:b w:val="0"/>
        </w:rPr>
        <w:t>Esta entrega cierra el proceso de ingeniería de requisitos del proyecto Tripulaciones. Hice dos cosas: archivé los artefactos con sus metadatos (Misión 9) y audité la cadena completa, de la necesidad al resultado de las pruebas (Misión 10). Todo se genera con un script que lee el código, el backlog, las pruebas y git.</w:t>
      </w:r>
    </w:p>
    <w:tbl>
      <w:tblPr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DC8"/>
          <w:left w:val="single" w:sz="4" w:space="0" w:color="B7BDC8"/>
          <w:bottom w:val="single" w:sz="4" w:space="0" w:color="B7BDC8"/>
          <w:right w:val="single" w:sz="4" w:space="0" w:color="B7BDC8"/>
          <w:insideH w:val="single" w:sz="4" w:space="0" w:color="B7BDC8"/>
          <w:insideV w:val="single" w:sz="4" w:space="0" w:color="B7BDC8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  <w:tblW w:w="9648" w:type="dxa"/>
      </w:tblPr>
      <w:tblGrid>
        <w:gridCol w:w="2304"/>
        <w:gridCol w:w="4896"/>
        <w:gridCol w:w="2448"/>
      </w:tblGrid>
      <w:tr>
        <w:trPr>
          <w:tblHeader/>
          <w:cantSplit/>
        </w:trPr>
        <w:tc>
          <w:tcPr>
            <w:tcW w:type="dxa" w:w="2304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Criterio de la rúbrica</w:t>
            </w:r>
          </w:p>
        </w:tc>
        <w:tc>
          <w:tcPr>
            <w:tcW w:type="dxa" w:w="4896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Qué entrego</w:t>
            </w:r>
          </w:p>
        </w:tc>
        <w:tc>
          <w:tcPr>
            <w:tcW w:type="dxa" w:w="2448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Dónde está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Metadatos</w:t>
            </w:r>
          </w:p>
        </w:tc>
        <w:tc>
          <w:tcPr>
            <w:tcW w:type="dxa" w:w="4896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9 artefactos con ID único, versión, estado final, autor o revisor, fecha de cierre y artefactos relacionados.</w:t>
            </w:r>
          </w:p>
        </w:tc>
        <w:tc>
          <w:tcPr>
            <w:tcW w:type="dxa" w:w="2448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Sección 1. README de la rama y U4A1-Trazabilidad/catalogo_artefactos.json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Herramientas</w:t>
            </w:r>
          </w:p>
        </w:tc>
        <w:tc>
          <w:tcPr>
            <w:tcW w:type="dxa" w:w="4896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Un script que valida los metadatos y genera la matriz y la auditoría, más git como control de versiones.</w:t>
            </w:r>
          </w:p>
        </w:tc>
        <w:tc>
          <w:tcPr>
            <w:tcW w:type="dxa" w:w="2448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Sección 2. U4A1-Trazabilidad/herramienta.py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Matriz de trazabilidad</w:t>
            </w:r>
          </w:p>
        </w:tc>
        <w:tc>
          <w:tcPr>
            <w:tcW w:type="dxa" w:w="4896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Matriz en Excel generada a partir del código del prototipo (marcas @trace), de las pruebas y del backlog.</w:t>
            </w:r>
          </w:p>
        </w:tc>
        <w:tc>
          <w:tcPr>
            <w:tcW w:type="dxa" w:w="2448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Sección 3. U4A1-Trazabilidad/Matriz_trazabilidad.xlsx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Auditoría end-to-end (Misión 10)</w:t>
            </w:r>
          </w:p>
        </w:tc>
        <w:tc>
          <w:tcPr>
            <w:tcW w:type="dxa" w:w="4896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Auditoría con 21 hallazgos. La cadena está completa en 8 de 18 requisitos.</w:t>
            </w:r>
          </w:p>
        </w:tc>
        <w:tc>
          <w:tcPr>
            <w:tcW w:type="dxa" w:w="2448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Sección 4. U4A1-Trazabilidad/Auditoria_trazabilidad.md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Quién puede entender el proyecto leyendo el repositorio.</w:t>
      </w:r>
      <w:r>
        <w:rPr>
          <w:b w:val="0"/>
        </w:rPr>
        <w:t xml:space="preserve"> El README de la rama cuenta el contexto, las necesidades, los requisitos, la validación, la cadena de trazabilidad y las decisiones del CCB, y enlaza cada artefacto. Esa fue la prueba que usé para decidir qué faltaba.</w:t>
      </w:r>
    </w:p>
    <w:p>
      <w:pPr>
        <w:pStyle w:val="Heading1"/>
      </w:pPr>
      <w:r>
        <w:t>Misión 9: el guardián del conocimiento</w:t>
      </w:r>
    </w:p>
    <w:p>
      <w:pPr>
        <w:pStyle w:val="Heading2"/>
      </w:pPr>
      <w:r>
        <w:t>1.1 Metadatos de cada artefacto</w:t>
      </w:r>
    </w:p>
    <w:p>
      <w:pPr>
        <w:spacing w:after="60"/>
      </w:pPr>
      <w:r>
        <w:rPr>
          <w:b w:val="0"/>
        </w:rPr>
        <w:t>Cada artefacto tiene los seis metadatos mínimos. Están en un solo archivo, U4A1-Trazabilidad/catalogo_artefactos.json, y el README de la rama muestra la misma tabla (se genera, no se escribe a mano).</w:t>
      </w:r>
    </w:p>
    <w:tbl>
      <w:tblPr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DC8"/>
          <w:left w:val="single" w:sz="4" w:space="0" w:color="B7BDC8"/>
          <w:bottom w:val="single" w:sz="4" w:space="0" w:color="B7BDC8"/>
          <w:right w:val="single" w:sz="4" w:space="0" w:color="B7BDC8"/>
          <w:insideH w:val="single" w:sz="4" w:space="0" w:color="B7BDC8"/>
          <w:insideV w:val="single" w:sz="4" w:space="0" w:color="B7BDC8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  <w:tblW w:w="9936" w:type="dxa"/>
      </w:tblPr>
      <w:tblGrid>
        <w:gridCol w:w="1152"/>
        <w:gridCol w:w="1728"/>
        <w:gridCol w:w="720"/>
        <w:gridCol w:w="2015"/>
        <w:gridCol w:w="1584"/>
        <w:gridCol w:w="1007"/>
        <w:gridCol w:w="1728"/>
      </w:tblGrid>
      <w:tr>
        <w:trPr>
          <w:tblHeader/>
          <w:cantSplit/>
        </w:trPr>
        <w:tc>
          <w:tcPr>
            <w:tcW w:type="dxa" w:w="1152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728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5"/>
              </w:rPr>
              <w:t>Artefacto</w:t>
            </w:r>
          </w:p>
        </w:tc>
        <w:tc>
          <w:tcPr>
            <w:tcW w:type="dxa" w:w="720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5"/>
              </w:rPr>
              <w:t>Versión</w:t>
            </w:r>
          </w:p>
        </w:tc>
        <w:tc>
          <w:tcPr>
            <w:tcW w:type="dxa" w:w="2016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5"/>
              </w:rPr>
              <w:t>Estado final</w:t>
            </w:r>
          </w:p>
        </w:tc>
        <w:tc>
          <w:tcPr>
            <w:tcW w:type="dxa" w:w="1584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5"/>
              </w:rPr>
              <w:t>Autor o revisor</w:t>
            </w:r>
          </w:p>
        </w:tc>
        <w:tc>
          <w:tcPr>
            <w:tcW w:type="dxa" w:w="1008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5"/>
              </w:rPr>
              <w:t>Fecha de cierre</w:t>
            </w:r>
          </w:p>
        </w:tc>
        <w:tc>
          <w:tcPr>
            <w:tcW w:type="dxa" w:w="1728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5"/>
              </w:rPr>
              <w:t>Artefactos relacionados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TRI-PBL-001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Product Backlog</w:t>
            </w:r>
          </w:p>
        </w:tc>
        <w:tc>
          <w:tcPr>
            <w:tcW w:type="dxa" w:w="720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1.0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Aprobado, 1 iteración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Federico Márquez (autor). Revisor: Pendiente (docente)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13/10/2026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TRI-RFC-002, TRI-PRO-003, TRI-MTZ-007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TRI-RFC-002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Solicitudes de cambio</w:t>
            </w:r>
          </w:p>
        </w:tc>
        <w:tc>
          <w:tcPr>
            <w:tcW w:type="dxa" w:w="720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1.0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Entregado, 1 iteración. Decisiones tomadas en TRI-CCB-006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Federico Márquez (autor). Revisor: Pendiente (docente)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13/10/2026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TRI-PBL-001, TRI-CCB-006, TRI-DOC-005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TRI-PRO-003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Prototipo de baja fidelidad</w:t>
            </w:r>
          </w:p>
        </w:tc>
        <w:tc>
          <w:tcPr>
            <w:tcW w:type="dxa" w:w="720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0.2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Validado con 30 pruebas automáticas; 7 defectos abiertos (DEF-01, DEF-06 a DEF-11)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Federico Márquez (autor). Revisor: Pendiente (docente)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13/10/2026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TRI-PBL-001, TRI-PRU-004, TRI-DOC-005, TRI-MTZ-007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TRI-PRU-004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Pruebas del prototipo</w:t>
            </w:r>
          </w:p>
        </w:tc>
        <w:tc>
          <w:tcPr>
            <w:tcW w:type="dxa" w:w="720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1.0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30 de 30 aprobadas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Federico Márquez (autor). Revisor: Pendiente (docente)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14/10/2026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TRI-PRO-003, TRI-PBL-001, TRI-MTZ-007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TRI-DOC-005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Prototipado y CCB (U3A2)</w:t>
            </w:r>
          </w:p>
        </w:tc>
        <w:tc>
          <w:tcPr>
            <w:tcW w:type="dxa" w:w="720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1.0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Entregado, 1 iteración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Federico Márquez (autor). Revisor: Pendiente (docente)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14/10/2026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TRI-PRO-003, TRI-PRU-004, TRI-CCB-006, TRI-RFC-002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TRI-CCB-006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Decisiones del CCB</w:t>
            </w:r>
          </w:p>
        </w:tc>
        <w:tc>
          <w:tcPr>
            <w:tcW w:type="dxa" w:w="720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1.0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Reunión simulada del 13/10/2026; 6 RFC aprobadas, 4 sin aprobar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Federico Márquez (autor). Revisor: Pendiente (docente)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13/10/2026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TRI-RFC-002, TRI-DOC-005, TRI-MTZ-007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TRI-MTZ-007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Matriz de trazabilidad</w:t>
            </w:r>
          </w:p>
        </w:tc>
        <w:tc>
          <w:tcPr>
            <w:tcW w:type="dxa" w:w="720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1.0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Generada por script; auditada en TRI-AUD-008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Federico Márquez (autor). Revisor: Pendiente (docente)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15/10/2026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TRI-PBL-001, TRI-PRO-003, TRI-PRU-004, TRI-CCB-006, TRI-AUD-008, TRI-SCR-009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TRI-AUD-008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Auditoría de trazabilidad</w:t>
            </w:r>
          </w:p>
        </w:tc>
        <w:tc>
          <w:tcPr>
            <w:tcW w:type="dxa" w:w="720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1.0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Realizada; hallazgos abiertos con responsable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Federico Márquez (autor). Revisor: Pendiente (docente)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15/10/2026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TRI-MTZ-007, TRI-SCR-009, TRI-PBL-001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TRI-SCR-009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Herramienta de trazabilidad</w:t>
            </w:r>
          </w:p>
        </w:tc>
        <w:tc>
          <w:tcPr>
            <w:tcW w:type="dxa" w:w="720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1.0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Operativa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Federico Márquez (autor). Revisor: Pendiente (docente)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15/10/2026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5"/>
              </w:rPr>
              <w:t>TRI-MTZ-007, TRI-AUD-008, TRI-CCB-006</w:t>
            </w:r>
          </w:p>
        </w:tc>
      </w:tr>
    </w:tbl>
    <w:p>
      <w:pPr>
        <w:spacing w:after="40"/>
      </w:pPr>
    </w:p>
    <w:p>
      <w:pPr>
        <w:pStyle w:val="Heading3"/>
      </w:pPr>
      <w:r>
        <w:t>Cómo se asignan los metadatos</w:t>
      </w:r>
    </w:p>
    <w:p>
      <w:pPr>
        <w:spacing w:after="40"/>
        <w:ind w:left="288" w:hanging="288"/>
      </w:pPr>
      <w:r>
        <w:rPr>
          <w:b w:val="0"/>
        </w:rPr>
        <w:t xml:space="preserve">•  </w:t>
      </w:r>
      <w:r>
        <w:rPr>
          <w:b/>
        </w:rPr>
        <w:t>ID único.</w:t>
      </w:r>
      <w:r>
        <w:rPr>
          <w:b w:val="0"/>
        </w:rPr>
        <w:t xml:space="preserve"> Formato PROYECTO-TIPO-NNN (por ejemplo TRI-PRO-003). TIPO es PBL (backlog), RFC, PRO (prototipo), PRU (pruebas), DOC (informe), CCB (acta), MTZ (matriz), AUD (auditoría) o SCR (script). El número no se reutiliza.</w:t>
      </w:r>
    </w:p>
    <w:p>
      <w:pPr>
        <w:spacing w:after="40"/>
        <w:ind w:left="288" w:hanging="288"/>
      </w:pPr>
      <w:r>
        <w:rPr>
          <w:b w:val="0"/>
        </w:rPr>
        <w:t xml:space="preserve">•  </w:t>
      </w:r>
      <w:r>
        <w:rPr>
          <w:b/>
        </w:rPr>
        <w:t>Versión.</w:t>
      </w:r>
      <w:r>
        <w:rPr>
          <w:b w:val="0"/>
        </w:rPr>
        <w:t xml:space="preserve"> 1.0 para lo entregado una vez. El prototipo está en 0.2 porque tuvo dos iteraciones (la 0.1 se conserva como evidencia en pruebas/).</w:t>
      </w:r>
    </w:p>
    <w:p>
      <w:pPr>
        <w:spacing w:after="40"/>
        <w:ind w:left="288" w:hanging="288"/>
      </w:pPr>
      <w:r>
        <w:rPr>
          <w:b w:val="0"/>
        </w:rPr>
        <w:t xml:space="preserve">•  </w:t>
      </w:r>
      <w:r>
        <w:rPr>
          <w:b/>
        </w:rPr>
        <w:t>Estado final.</w:t>
      </w:r>
      <w:r>
        <w:rPr>
          <w:b w:val="0"/>
        </w:rPr>
        <w:t xml:space="preserve"> Dice cómo terminó el artefacto, no solo que existe. Ejemplo: «Validado con 30 pruebas automáticas; 7 defectos abiertos».</w:t>
      </w:r>
    </w:p>
    <w:p>
      <w:pPr>
        <w:spacing w:after="40"/>
        <w:ind w:left="288" w:hanging="288"/>
      </w:pPr>
      <w:r>
        <w:rPr>
          <w:b w:val="0"/>
        </w:rPr>
        <w:t xml:space="preserve">•  </w:t>
      </w:r>
      <w:r>
        <w:rPr>
          <w:b/>
        </w:rPr>
        <w:t>Autor o revisor.</w:t>
      </w:r>
      <w:r>
        <w:rPr>
          <w:b w:val="0"/>
        </w:rPr>
        <w:t xml:space="preserve"> El autor soy yo. El revisor queda pendiente: lo asignará el docente.</w:t>
      </w:r>
    </w:p>
    <w:p>
      <w:pPr>
        <w:spacing w:after="40"/>
        <w:ind w:left="288" w:hanging="288"/>
      </w:pPr>
      <w:r>
        <w:rPr>
          <w:b w:val="0"/>
        </w:rPr>
        <w:t xml:space="preserve">•  </w:t>
      </w:r>
      <w:r>
        <w:rPr>
          <w:b/>
        </w:rPr>
        <w:t>Fecha de cierre.</w:t>
      </w:r>
      <w:r>
        <w:rPr>
          <w:b w:val="0"/>
        </w:rPr>
        <w:t xml:space="preserve"> La del último cambio. Coincide con la fecha de confirmación en git para los artefactos ya subidos.</w:t>
      </w:r>
    </w:p>
    <w:p>
      <w:pPr>
        <w:spacing w:after="40"/>
        <w:ind w:left="288" w:hanging="288"/>
      </w:pPr>
      <w:r>
        <w:rPr>
          <w:b w:val="0"/>
        </w:rPr>
        <w:t xml:space="preserve">•  </w:t>
      </w:r>
      <w:r>
        <w:rPr>
          <w:b/>
        </w:rPr>
        <w:t>Artefactos relacionados.</w:t>
      </w:r>
      <w:r>
        <w:rPr>
          <w:b w:val="0"/>
        </w:rPr>
        <w:t xml:space="preserve"> Los IDs de los artefactos de los que depende o que dependen de él. El script comprueba que cada ID exista.</w:t>
      </w:r>
    </w:p>
    <w:p>
      <w:pPr>
        <w:pStyle w:val="Heading2"/>
      </w:pPr>
      <w:r>
        <w:t>1.2 Organización del repositorio</w:t>
      </w:r>
    </w:p>
    <w:p>
      <w:pPr>
        <w:spacing w:after="60"/>
      </w:pPr>
      <w:r>
        <w:rPr>
          <w:b w:val="0"/>
        </w:rPr>
        <w:t>Una carpeta por tarea del curso. Dentro de cada carpeta está todo lo que esa tarea produjo.</w:t>
      </w:r>
    </w:p>
    <w:tbl>
      <w:tblPr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DC8"/>
          <w:left w:val="single" w:sz="4" w:space="0" w:color="B7BDC8"/>
          <w:bottom w:val="single" w:sz="4" w:space="0" w:color="B7BDC8"/>
          <w:right w:val="single" w:sz="4" w:space="0" w:color="B7BDC8"/>
          <w:insideH w:val="single" w:sz="4" w:space="0" w:color="B7BDC8"/>
          <w:insideV w:val="single" w:sz="4" w:space="0" w:color="B7BDC8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  <w:tblW w:w="9648" w:type="dxa"/>
      </w:tblPr>
      <w:tblGrid>
        <w:gridCol w:w="1872"/>
        <w:gridCol w:w="1728"/>
        <w:gridCol w:w="4176"/>
        <w:gridCol w:w="1872"/>
      </w:tblGrid>
      <w:tr>
        <w:trPr>
          <w:tblHeader/>
          <w:cantSplit/>
        </w:trPr>
        <w:tc>
          <w:tcPr>
            <w:tcW w:type="dxa" w:w="1872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Carpeta</w:t>
            </w:r>
          </w:p>
        </w:tc>
        <w:tc>
          <w:tcPr>
            <w:tcW w:type="dxa" w:w="1728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Tarea</w:t>
            </w:r>
          </w:p>
        </w:tc>
        <w:tc>
          <w:tcPr>
            <w:tcW w:type="dxa" w:w="4176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Qué guarda</w:t>
            </w:r>
          </w:p>
        </w:tc>
        <w:tc>
          <w:tcPr>
            <w:tcW w:type="dxa" w:w="1872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Artefactos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Backlog/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Product Backlog</w:t>
            </w:r>
          </w:p>
        </w:tc>
        <w:tc>
          <w:tcPr>
            <w:tcW w:type="dxa" w:w="4176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Backlog de 18 ítems (HU-01 a HU-12, RNF-01 a RNF-06) en HTML y CSV de ReqView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TRI-PBL-001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U3A1-RFC/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U3A1 · RFC</w:t>
            </w:r>
          </w:p>
        </w:tc>
        <w:tc>
          <w:tcPr>
            <w:tcW w:type="dxa" w:w="4176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10 solicitudes de cambio con su análisis de impacto (PDF y Word)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TRI-RFC-002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U3A2-Prototipado/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U3A2 · Prototipado y CCB</w:t>
            </w:r>
          </w:p>
        </w:tc>
        <w:tc>
          <w:tcPr>
            <w:tcW w:type="dxa" w:w="4176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Informe; prototipo/ (con marcas @trace); pruebas/ (pruebas, resultados, capturas y evidencia de la versión 0.1); trazabilidad/ (decisiones del CCB y matriz de cambios aprobados)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TRI-PRO-003, TRI-PRU-004, TRI-DOC-005, TRI-CCB-006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U4A1-Trazabilidad/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U4A1 · Trazabilidad</w:t>
            </w:r>
          </w:p>
        </w:tc>
        <w:tc>
          <w:tcPr>
            <w:tcW w:type="dxa" w:w="4176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Informe, herramienta, necesidades, catálogo de metadatos, matriz en Excel y auditoría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TRI-MTZ-007, TRI-AUD-008, TRI-SCR-009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README.md</w:t>
            </w:r>
          </w:p>
        </w:tc>
        <w:tc>
          <w:tcPr>
            <w:tcW w:type="dxa" w:w="1728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Índice</w:t>
            </w:r>
          </w:p>
        </w:tc>
        <w:tc>
          <w:tcPr>
            <w:tcW w:type="dxa" w:w="4176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Contexto, necesidades, requisitos, validación, trazabilidad y decisiones del CCB; tabla de metadatos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6"/>
              </w:rPr>
              <w:t>Todos</w:t>
            </w:r>
          </w:p>
        </w:tc>
      </w:tr>
    </w:tbl>
    <w:p>
      <w:pPr>
        <w:spacing w:after="40"/>
      </w:pPr>
    </w:p>
    <w:p>
      <w:r>
        <w:rPr>
          <w:b w:val="0"/>
          <w:sz w:val="20"/>
        </w:rPr>
        <w:t>El README de la rama sigue la estructura de las demás ramas del repositorio de referencia (tabla de versiones y secciones de contexto a gestión de cambios). Le agregué la columna de artefactos relacionados, que la tabla del otro repositorio no tiene, y las carpetas por tarea.</w:t>
      </w:r>
    </w:p>
    <w:p>
      <w:pPr>
        <w:pStyle w:val="Heading1"/>
      </w:pPr>
      <w:r>
        <w:t>Herramientas</w:t>
      </w:r>
    </w:p>
    <w:p>
      <w:pPr>
        <w:pStyle w:val="Heading2"/>
      </w:pPr>
      <w:r>
        <w:t>2.1 Gestión automatizada de artefactos</w:t>
      </w:r>
    </w:p>
    <w:p>
      <w:pPr>
        <w:spacing w:after="40"/>
      </w:pPr>
      <w:r>
        <w:rPr>
          <w:b w:val="0"/>
        </w:rPr>
        <w:t>La herramienta es U4A1-Trazabilidad/herramienta.py (Python, usa openpyxl). Se ejecuta con un comando y no pide editar nada a mano:</w:t>
      </w:r>
    </w:p>
    <w:p>
      <w:pPr>
        <w:spacing w:after="80"/>
        <w:jc w:val="center"/>
      </w:pPr>
      <w:r>
        <w:rPr>
          <w:b w:val="0"/>
          <w:sz w:val="20"/>
        </w:rPr>
        <w:t>python3 U4A1-Trazabilidad/herramienta.py todo</w:t>
      </w:r>
    </w:p>
    <w:tbl>
      <w:tblPr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DC8"/>
          <w:left w:val="single" w:sz="4" w:space="0" w:color="B7BDC8"/>
          <w:bottom w:val="single" w:sz="4" w:space="0" w:color="B7BDC8"/>
          <w:right w:val="single" w:sz="4" w:space="0" w:color="B7BDC8"/>
          <w:insideH w:val="single" w:sz="4" w:space="0" w:color="B7BDC8"/>
          <w:insideV w:val="single" w:sz="4" w:space="0" w:color="B7BDC8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  <w:tblW w:w="9648" w:type="dxa"/>
      </w:tblPr>
      <w:tblGrid>
        <w:gridCol w:w="1728"/>
        <w:gridCol w:w="7920"/>
      </w:tblGrid>
      <w:tr>
        <w:trPr>
          <w:tblHeader/>
          <w:cantSplit/>
        </w:trPr>
        <w:tc>
          <w:tcPr>
            <w:tcW w:type="dxa" w:w="1728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Subcomando</w:t>
            </w:r>
          </w:p>
        </w:tc>
        <w:tc>
          <w:tcPr>
            <w:tcW w:type="dxa" w:w="7920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Qué hace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catalogo</w:t>
            </w:r>
          </w:p>
        </w:tc>
        <w:tc>
          <w:tcPr>
            <w:tcW w:type="dxa" w:w="7920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Comprueba que cada artefacto tenga los seis metadatos, que sus archivos existan, que los artefactos relacionados existan y que estén en git. Actualiza la tabla del README.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matriz</w:t>
            </w:r>
          </w:p>
        </w:tc>
        <w:tc>
          <w:tcPr>
            <w:tcW w:type="dxa" w:w="7920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Genera Matriz_trazabilidad.xlsx (y el CSV y el Markdown de los cambios aprobados) leyendo el código, el backlog, las pruebas y las decisiones del CCB.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auditoria</w:t>
            </w:r>
          </w:p>
        </w:tc>
        <w:tc>
          <w:tcPr>
            <w:tcW w:type="dxa" w:w="7920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Recorre la cadena necesidad → requisito → prueba → código → resultado y escribe Auditoria_trazabilidad.md con las rupturas.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todo</w:t>
            </w:r>
          </w:p>
        </w:tc>
        <w:tc>
          <w:tcPr>
            <w:tcW w:type="dxa" w:w="7920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Hace los tres pasos en ese orden.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 w:val="0"/>
        </w:rPr>
        <w:t>Los datos de entrada son archivos del repositorio, no copias: el código del prototipo, el CSV del backlog, los resultados de las pruebas y tres JSON pequeños (necesidades, decisiones del CCB y catálogo). Si cambia una fuente, se vuelve a ejecutar el comando y todo se actualiza.</w:t>
      </w:r>
    </w:p>
    <w:p>
      <w:pPr>
        <w:pStyle w:val="Heading2"/>
      </w:pPr>
      <w:r>
        <w:t>2.2 Control de versiones</w:t>
      </w:r>
    </w:p>
    <w:p>
      <w:pPr>
        <w:spacing w:after="40"/>
        <w:ind w:left="288" w:hanging="288"/>
      </w:pPr>
      <w:r>
        <w:rPr>
          <w:b w:val="0"/>
        </w:rPr>
        <w:t>•  Todo el proyecto está en git, en el repositorio FEDERICOMAR79/Trazabilidad_requisitos. El proyecto Tripulaciones está en la rama tripulaciones.</w:t>
      </w:r>
    </w:p>
    <w:p>
      <w:pPr>
        <w:spacing w:after="40"/>
        <w:ind w:left="288" w:hanging="288"/>
      </w:pPr>
      <w:r>
        <w:rPr>
          <w:b w:val="0"/>
        </w:rPr>
        <w:t>•  Cada entrega se confirma en un commit propio con un mensaje que dice qué cambió. El historial de un archivo se consulta con git log --oneline -- ruta.</w:t>
      </w:r>
    </w:p>
    <w:p>
      <w:pPr>
        <w:spacing w:after="40"/>
        <w:ind w:left="288" w:hanging="288"/>
      </w:pPr>
      <w:r>
        <w:rPr>
          <w:b w:val="0"/>
        </w:rPr>
        <w:t>•  La herramienta revisa que cada archivo del catálogo esté bajo git y marca un hallazgo si no lo está. Por eso se ejecuta después de git add y antes del commit.</w:t>
      </w:r>
    </w:p>
    <w:p>
      <w:pPr>
        <w:spacing w:after="40"/>
        <w:ind w:left="288" w:hanging="288"/>
      </w:pPr>
      <w:r>
        <w:rPr>
          <w:b w:val="0"/>
        </w:rPr>
        <w:t>•  El versionado de cada artefacto (campo versión) es independiente del historial de git: git guarda cada cambio; la versión marca los hitos entregados.</w:t>
      </w:r>
    </w:p>
    <w:p>
      <w:pPr>
        <w:pStyle w:val="Heading1"/>
      </w:pPr>
      <w:r>
        <w:t>Matriz de trazabilidad</w:t>
      </w:r>
    </w:p>
    <w:p>
      <w:pPr>
        <w:pStyle w:val="Heading2"/>
      </w:pPr>
      <w:r>
        <w:t>3.1 Cómo se genera a partir del código</w:t>
      </w:r>
    </w:p>
    <w:p>
      <w:pPr>
        <w:spacing w:after="40"/>
      </w:pPr>
      <w:r>
        <w:rPr>
          <w:b w:val="0"/>
        </w:rPr>
        <w:t>La matriz no se escribe a mano. Cada función del prototipo lleva un comentario que dice qué requisito implementa:</w:t>
      </w:r>
    </w:p>
    <w:p>
      <w:pPr>
        <w:spacing w:after="60"/>
        <w:jc w:val="center"/>
      </w:pPr>
      <w:r>
        <w:rPr>
          <w:b w:val="0"/>
          <w:sz w:val="19"/>
        </w:rPr>
        <w:t>/* @trace HU-08 RNF-02 */ function abrirConfirmar(...) { ... }</w:t>
      </w:r>
    </w:p>
    <w:p>
      <w:pPr>
        <w:spacing w:after="60"/>
      </w:pPr>
      <w:r>
        <w:rPr>
          <w:b w:val="0"/>
        </w:rPr>
        <w:t>El script lee esas marcas, las cruza con las pruebas (cada prueba declara el requisito que verifica) y con el backlog, y construye la matriz. Si alguien cambia el código y borra la marca, la matriz y la auditoría lo reflejan al regenerarlas.</w:t>
      </w:r>
    </w:p>
    <w:p>
      <w:pPr>
        <w:pStyle w:val="Heading2"/>
      </w:pPr>
      <w:r>
        <w:t>3.2 Qué contiene Matriz_trazabilidad.xlsx</w:t>
      </w:r>
    </w:p>
    <w:tbl>
      <w:tblPr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DC8"/>
          <w:left w:val="single" w:sz="4" w:space="0" w:color="B7BDC8"/>
          <w:bottom w:val="single" w:sz="4" w:space="0" w:color="B7BDC8"/>
          <w:right w:val="single" w:sz="4" w:space="0" w:color="B7BDC8"/>
          <w:insideH w:val="single" w:sz="4" w:space="0" w:color="B7BDC8"/>
          <w:insideV w:val="single" w:sz="4" w:space="0" w:color="B7BDC8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  <w:tblW w:w="9647" w:type="dxa"/>
      </w:tblPr>
      <w:tblGrid>
        <w:gridCol w:w="2304"/>
        <w:gridCol w:w="7343"/>
      </w:tblGrid>
      <w:tr>
        <w:trPr>
          <w:tblHeader/>
          <w:cantSplit/>
        </w:trPr>
        <w:tc>
          <w:tcPr>
            <w:tcW w:type="dxa" w:w="2304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Hoja</w:t>
            </w:r>
          </w:p>
        </w:tc>
        <w:tc>
          <w:tcPr>
            <w:tcW w:type="dxa" w:w="7344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Contenido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Matriz principal</w:t>
            </w:r>
          </w:p>
        </w:tc>
        <w:tc>
          <w:tcPr>
            <w:tcW w:type="dxa" w:w="7344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Una fila por requisito (18): necesidad, actor, prioridad, código, casos de prueba, resultado, estado, RFC aprobadas y notas.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Trazabilidad visual</w:t>
            </w:r>
          </w:p>
        </w:tc>
        <w:tc>
          <w:tcPr>
            <w:tcW w:type="dxa" w:w="7344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Requisitos contra necesidades y funciones del código, con ✓ y el porcentaje de cobertura de cada columna.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Resumen y métricas</w:t>
            </w:r>
          </w:p>
        </w:tc>
        <w:tc>
          <w:tcPr>
            <w:tcW w:type="dxa" w:w="7344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Totales y coberturas con fórmulas de Excel sobre la matriz principal. Más la lista de requisitos sin código.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Registro de RFCs</w:t>
            </w:r>
          </w:p>
        </w:tc>
        <w:tc>
          <w:tcPr>
            <w:tcW w:type="dxa" w:w="7344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Las 10 solicitudes con la decisión del CCB, votos, plazo y responsable.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Catálogo de artefactos</w:t>
            </w:r>
          </w:p>
        </w:tc>
        <w:tc>
          <w:tcPr>
            <w:tcW w:type="dxa" w:w="7344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Los metadatos de los 9 artefactos.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Auditoría</w:t>
            </w:r>
          </w:p>
        </w:tc>
        <w:tc>
          <w:tcPr>
            <w:tcW w:type="dxa" w:w="7344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Los hallazgos de la Misión 10.</w:t>
            </w:r>
          </w:p>
        </w:tc>
      </w:tr>
    </w:tbl>
    <w:p>
      <w:pPr>
        <w:spacing w:after="40"/>
      </w:pPr>
    </w:p>
    <w:p>
      <w:pPr>
        <w:pStyle w:val="Heading2"/>
      </w:pPr>
      <w:r>
        <w:t>3.3 Vista de la matriz</w:t>
      </w:r>
    </w:p>
    <w:tbl>
      <w:tblPr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DC8"/>
          <w:left w:val="single" w:sz="4" w:space="0" w:color="B7BDC8"/>
          <w:bottom w:val="single" w:sz="4" w:space="0" w:color="B7BDC8"/>
          <w:right w:val="single" w:sz="4" w:space="0" w:color="B7BDC8"/>
          <w:insideH w:val="single" w:sz="4" w:space="0" w:color="B7BDC8"/>
          <w:insideV w:val="single" w:sz="4" w:space="0" w:color="B7BDC8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  <w:tblW w:w="9792" w:type="dxa"/>
      </w:tblPr>
      <w:tblGrid>
        <w:gridCol w:w="720"/>
        <w:gridCol w:w="2160"/>
        <w:gridCol w:w="648"/>
        <w:gridCol w:w="1296"/>
        <w:gridCol w:w="1872"/>
        <w:gridCol w:w="1296"/>
        <w:gridCol w:w="864"/>
        <w:gridCol w:w="936"/>
      </w:tblGrid>
      <w:tr>
        <w:trPr>
          <w:tblHeader/>
          <w:cantSplit/>
        </w:trPr>
        <w:tc>
          <w:tcPr>
            <w:tcW w:type="dxa" w:w="720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Req.</w:t>
            </w:r>
          </w:p>
        </w:tc>
        <w:tc>
          <w:tcPr>
            <w:tcW w:type="dxa" w:w="2160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Título</w:t>
            </w:r>
          </w:p>
        </w:tc>
        <w:tc>
          <w:tcPr>
            <w:tcW w:type="dxa" w:w="648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Prior.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Necesidades</w:t>
            </w:r>
          </w:p>
        </w:tc>
        <w:tc>
          <w:tcPr>
            <w:tcW w:type="dxa" w:w="1872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Código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Pruebas</w:t>
            </w:r>
          </w:p>
        </w:tc>
        <w:tc>
          <w:tcPr>
            <w:tcW w:type="dxa" w:w="864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Resultado</w:t>
            </w:r>
          </w:p>
        </w:tc>
        <w:tc>
          <w:tcPr>
            <w:tcW w:type="dxa" w:w="936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Estado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HU-01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Registrar y actualizar tripulantes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NEG-02, NEG-04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 prueba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Aprobado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HU-02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Registrar y actualizar tripulaciones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NEG-02, NEG-04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 prueba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Aprobado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HU-03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Registrar y actualizar vuelos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NEG-02, NEG-04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 prueba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Aprobado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HU-04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Consultar vuelos asignados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NEG-04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vMisVuelos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P15, P16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Pasado 2/2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HU-05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Consultar características de un vuelo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NEG-04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fichaVuelo, vVueloOperador, vTodos, vVueloTripulante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P18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Pasado 1/1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HU-06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Registrar resultado de simulación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NEG-01, NEG-02, NEG-05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vResultado, ligarResultado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P21, P22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Pasado 2/2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HU-07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Recomendar tripulación según escenario más aproximado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NEG-03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distancia, masCercano, ranking, vVueloOperador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P02, P03, P10, P11, P12, P23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Pasado 6/6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HU-08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Asignar tripulación a un vuelo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NEG-03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vVuelos, vVueloOperador, abrirConfirmar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P01, P04, P05, P06, P07, P08, P13, P14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Pasado 8/8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HU-09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Alertar simulación anual pendiente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NEG-01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 prueba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Aprobado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HU-10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Gestionar catálogo de escenarios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NEG-02, NEG-05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 prueba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Aprobado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HU-11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Reportes históricos de desempeño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Baja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NEG-01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 prueba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Aprobado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HU-12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Notificación de cambio de asignación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Baja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NEG-04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 prueba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Aprobado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RNF-01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Seguridad basada en roles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NEG-04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NAV, permitido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P17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Pasado 1/1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RNF-02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Auditoría de asignaciones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NEG-03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abrirConfirmar, vAuditoria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P09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Pasado 1/1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RNF-03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Disponibilidad continua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NEG-04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 prueba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Aprobado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RNF-04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Rendimiento en consultas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NEG-04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 prueba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Aprobado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RNF-05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Integridad de la sincronización con el simulador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NEG-05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 prueba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Aprobado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RNF-06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Usabilidad móvil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Baja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NEG-02</w:t>
            </w:r>
          </w:p>
        </w:tc>
        <w:tc>
          <w:tcPr>
            <w:tcW w:type="dxa" w:w="1872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Estilos para pantallas móviles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P24, P25, P29</w:t>
            </w:r>
          </w:p>
        </w:tc>
        <w:tc>
          <w:tcPr>
            <w:tcW w:type="dxa" w:w="86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Pasado 3/3</w:t>
            </w:r>
          </w:p>
        </w:tc>
        <w:tc>
          <w:tcPr>
            <w:tcW w:type="dxa" w:w="93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Verificado</w:t>
            </w:r>
          </w:p>
        </w:tc>
      </w:tr>
    </w:tbl>
    <w:p>
      <w:pPr>
        <w:spacing w:after="40"/>
      </w:pPr>
    </w:p>
    <w:p>
      <w:r>
        <w:rPr>
          <w:b w:val="0"/>
          <w:i/>
          <w:sz w:val="19"/>
        </w:rPr>
        <w:t>Los resultados salen de las 30 pruebas automáticas (30 de 30 aprobadas). Ocho requisitos están verificados y diez están aprobados pero sin construir en el prototipo.</w:t>
      </w:r>
    </w:p>
    <w:p>
      <w:pPr>
        <w:pStyle w:val="Heading1"/>
      </w:pPr>
      <w:r>
        <w:t>Misión 10: auditoría de trazabilidad</w:t>
      </w:r>
    </w:p>
    <w:p>
      <w:pPr>
        <w:pStyle w:val="Heading2"/>
      </w:pPr>
      <w:r>
        <w:t>4.1 Alcance y método</w:t>
      </w:r>
    </w:p>
    <w:p>
      <w:pPr>
        <w:spacing w:after="60"/>
      </w:pPr>
      <w:r>
        <w:rPr>
          <w:b w:val="0"/>
        </w:rPr>
        <w:t xml:space="preserve">Audité la cadena </w:t>
      </w:r>
      <w:r>
        <w:rPr>
          <w:b/>
        </w:rPr>
        <w:t>necesidad de negocio → requisito → caso de prueba → código → resultado</w:t>
      </w:r>
      <w:r>
        <w:rPr>
          <w:b w:val="0"/>
        </w:rPr>
        <w:t xml:space="preserve"> para los 18 requisitos del backlog. Para cada eslabón, el script comprueba que exista y que apunte al siguiente. También revisa las RFC aprobadas contra el backlog y las pruebas, los metadatos y el control de versiones. Una ruptura es cualquier eslabón que falta, que apunta a algo que no existe o que se contradice con otra fuente.</w:t>
      </w:r>
    </w:p>
    <w:p>
      <w:pPr>
        <w:pStyle w:val="Heading2"/>
      </w:pPr>
      <w:r>
        <w:t>4.2 Resultado</w:t>
      </w:r>
    </w:p>
    <w:tbl>
      <w:tblPr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DC8"/>
          <w:left w:val="single" w:sz="4" w:space="0" w:color="B7BDC8"/>
          <w:bottom w:val="single" w:sz="4" w:space="0" w:color="B7BDC8"/>
          <w:right w:val="single" w:sz="4" w:space="0" w:color="B7BDC8"/>
          <w:insideH w:val="single" w:sz="4" w:space="0" w:color="B7BDC8"/>
          <w:insideV w:val="single" w:sz="4" w:space="0" w:color="B7BDC8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  <w:tblW w:w="9647" w:type="dxa"/>
      </w:tblPr>
      <w:tblGrid>
        <w:gridCol w:w="3456"/>
        <w:gridCol w:w="6192"/>
      </w:tblGrid>
      <w:tr>
        <w:trPr>
          <w:tblHeader/>
          <w:cantSplit/>
        </w:trPr>
        <w:tc>
          <w:tcPr>
            <w:tcW w:type="dxa" w:w="3456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Medida</w:t>
            </w:r>
          </w:p>
        </w:tc>
        <w:tc>
          <w:tcPr>
            <w:tcW w:type="dxa" w:w="6192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Requisitos auditados</w:t>
            </w:r>
          </w:p>
        </w:tc>
        <w:tc>
          <w:tcPr>
            <w:tcW w:type="dxa" w:w="6192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18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Con la cadena completa</w:t>
            </w:r>
          </w:p>
        </w:tc>
        <w:tc>
          <w:tcPr>
            <w:tcW w:type="dxa" w:w="6192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8 de 18: HU-04, HU-05, HU-06, HU-07, HU-08, RNF-01, RNF-02, RNF-06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Con necesidad asociada</w:t>
            </w:r>
          </w:p>
        </w:tc>
        <w:tc>
          <w:tcPr>
            <w:tcW w:type="dxa" w:w="6192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18 de 18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Con código en el prototipo</w:t>
            </w:r>
          </w:p>
        </w:tc>
        <w:tc>
          <w:tcPr>
            <w:tcW w:type="dxa" w:w="6192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8 de 18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Con pruebas, todas aprobadas</w:t>
            </w:r>
          </w:p>
        </w:tc>
        <w:tc>
          <w:tcPr>
            <w:tcW w:type="dxa" w:w="6192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8 de 18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Hallazgos</w:t>
            </w:r>
          </w:p>
        </w:tc>
        <w:tc>
          <w:tcPr>
            <w:tcW w:type="dxa" w:w="6192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21 en total: 10 abiertos y 11 cerrados o aceptados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Severidad de los abiertos</w:t>
            </w:r>
          </w:p>
        </w:tc>
        <w:tc>
          <w:tcPr>
            <w:tcW w:type="dxa" w:w="6192"/>
          </w:tcPr>
          <w:p>
            <w:pPr>
              <w:spacing w:after="40" w:line="252" w:lineRule="auto"/>
            </w:pPr>
            <w:r/>
            <w:r>
              <w:rPr>
                <w:b w:val="0"/>
                <w:sz w:val="17"/>
              </w:rPr>
              <w:t>1 alto, 8 medio, 1 bajo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Lectura.</w:t>
      </w:r>
      <w:r>
        <w:rPr>
          <w:b w:val="0"/>
        </w:rPr>
        <w:t xml:space="preserve"> Todos los requisitos tienen una necesidad: no hay requisitos huérfanos. Los ocho que tienen código también tienen pruebas aprobadas. Los diez sin código son los que quedaron fuera del alcance del prototipo; sus rupturas están aceptadas con motivo. Lo que sí es una ruptura real son los casos de prueba de las RFC aprobadas, que existen solo en el papel, y el backlog, que no recoge todavía las decisiones del CCB.</w:t>
      </w:r>
    </w:p>
    <w:p>
      <w:pPr>
        <w:pStyle w:val="Heading2"/>
      </w:pPr>
      <w:r>
        <w:t>4.3 Hallazgos abiertos</w:t>
      </w:r>
    </w:p>
    <w:tbl>
      <w:tblPr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DC8"/>
          <w:left w:val="single" w:sz="4" w:space="0" w:color="B7BDC8"/>
          <w:bottom w:val="single" w:sz="4" w:space="0" w:color="B7BDC8"/>
          <w:right w:val="single" w:sz="4" w:space="0" w:color="B7BDC8"/>
          <w:insideH w:val="single" w:sz="4" w:space="0" w:color="B7BDC8"/>
          <w:insideV w:val="single" w:sz="4" w:space="0" w:color="B7BDC8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  <w:tblW w:w="9864" w:type="dxa"/>
      </w:tblPr>
      <w:tblGrid>
        <w:gridCol w:w="792"/>
        <w:gridCol w:w="1296"/>
        <w:gridCol w:w="1007"/>
        <w:gridCol w:w="2880"/>
        <w:gridCol w:w="648"/>
        <w:gridCol w:w="1224"/>
        <w:gridCol w:w="2015"/>
      </w:tblGrid>
      <w:tr>
        <w:trPr>
          <w:tblHeader/>
          <w:cantSplit/>
        </w:trPr>
        <w:tc>
          <w:tcPr>
            <w:tcW w:type="dxa" w:w="792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Ruptura</w:t>
            </w:r>
          </w:p>
        </w:tc>
        <w:tc>
          <w:tcPr>
            <w:tcW w:type="dxa" w:w="1008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Elemento</w:t>
            </w:r>
          </w:p>
        </w:tc>
        <w:tc>
          <w:tcPr>
            <w:tcW w:type="dxa" w:w="2880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Detalle</w:t>
            </w:r>
          </w:p>
        </w:tc>
        <w:tc>
          <w:tcPr>
            <w:tcW w:type="dxa" w:w="648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Sev.</w:t>
            </w:r>
          </w:p>
        </w:tc>
        <w:tc>
          <w:tcPr>
            <w:tcW w:type="dxa" w:w="1224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Responsable</w:t>
            </w:r>
          </w:p>
        </w:tc>
        <w:tc>
          <w:tcPr>
            <w:tcW w:type="dxa" w:w="2016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Acción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AUD-01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 → prueba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RFC-A3</w:t>
            </w:r>
          </w:p>
        </w:tc>
        <w:tc>
          <w:tcPr>
            <w:tcW w:type="dxa" w:w="288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3 casos de prueba propuestos sin implementar (TC-HU08-08, TC-HU08-09, TC-RNF01-05).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Alto</w:t>
            </w:r>
          </w:p>
        </w:tc>
        <w:tc>
          <w:tcPr>
            <w:tcW w:type="dxa" w:w="122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QA Lead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Escribirlos al construir el cambio. Plazo: Extraordinaria: antes del Sprint 4 (hasta 16/10/2026).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AUD-02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Artefacto ausente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M-02</w:t>
            </w:r>
          </w:p>
        </w:tc>
        <w:tc>
          <w:tcPr>
            <w:tcW w:type="dxa" w:w="288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El Vision Board (fuente de las necesidades NEG-01 a NEG-05) no está en el repositorio propio.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Medio</w:t>
            </w:r>
          </w:p>
        </w:tc>
        <w:tc>
          <w:tcPr>
            <w:tcW w:type="dxa" w:w="122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Autor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Agregar el Vision Board como artefacto TRI-VIS y enlazarlo desde las necesidades.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AUD-03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Backlog desactualizado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M-03</w:t>
            </w:r>
          </w:p>
        </w:tc>
        <w:tc>
          <w:tcPr>
            <w:tcW w:type="dxa" w:w="288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El backlog (v1.0) no refleja las decisiones del CCB del 13/10/2026 (por ejemplo, el promedio de 3 simulaciones de RFC-B1 y el motivo obligatorio de RFC-A3).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Medio</w:t>
            </w:r>
          </w:p>
        </w:tc>
        <w:tc>
          <w:tcPr>
            <w:tcW w:type="dxa" w:w="122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Analista de requisitos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Publicar backlog v1.1 con los criterios de aceptación de las RFC aprobadas.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AUD-04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Código → requisito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vEvaluacion</w:t>
            </w:r>
          </w:p>
        </w:tc>
        <w:tc>
          <w:tcPr>
            <w:tcW w:type="dxa" w:w="288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La función vEvaluacion del prototipo no tiene marca @trace: implementa una pantalla sin requisito en el backlog (consulta de escenarios y evaluación del piloto, que el caso describe).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Medio</w:t>
            </w:r>
          </w:p>
        </w:tc>
        <w:tc>
          <w:tcPr>
            <w:tcW w:type="dxa" w:w="122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Analista de requisitos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Agregar una historia de usuario al backlog para la consulta de escenarios y marcar la función.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AUD-05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 → prueba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RFC-A1</w:t>
            </w:r>
          </w:p>
        </w:tc>
        <w:tc>
          <w:tcPr>
            <w:tcW w:type="dxa" w:w="288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4 casos de prueba propuestos sin implementar (TC-HU03-05, TC-HU07-10, TC-HU07-11, TC-HU10-04).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Medio</w:t>
            </w:r>
          </w:p>
        </w:tc>
        <w:tc>
          <w:tcPr>
            <w:tcW w:type="dxa" w:w="122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QA Lead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Escribirlos al construir el cambio. Plazo: Sprint 4 (26/10/2026 – 06/11/2026).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AUD-06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 → prueba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RFC-A2</w:t>
            </w:r>
          </w:p>
        </w:tc>
        <w:tc>
          <w:tcPr>
            <w:tcW w:type="dxa" w:w="288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3 casos de prueba propuestos sin implementar (TC-HU08-07, TC-HU12-03, TC-RNF02-04).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Medio</w:t>
            </w:r>
          </w:p>
        </w:tc>
        <w:tc>
          <w:tcPr>
            <w:tcW w:type="dxa" w:w="122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QA Lead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Escribirlos al construir el cambio. Plazo: Sprint 5 (09/11/2026 – 20/11/2026).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AUD-07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 → prueba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RFC-C4</w:t>
            </w:r>
          </w:p>
        </w:tc>
        <w:tc>
          <w:tcPr>
            <w:tcW w:type="dxa" w:w="288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2 casos de prueba propuestos sin implementar (TC-HU09-04, TC-HU06-05).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Medio</w:t>
            </w:r>
          </w:p>
        </w:tc>
        <w:tc>
          <w:tcPr>
            <w:tcW w:type="dxa" w:w="122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QA Lead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Escribirlos al construir el cambio. Plazo: Sprint 4 (26/10/2026 – 06/11/2026).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AUD-08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 → prueba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RFC-B1</w:t>
            </w:r>
          </w:p>
        </w:tc>
        <w:tc>
          <w:tcPr>
            <w:tcW w:type="dxa" w:w="288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6 casos de prueba propuestos sin implementar (TC-HU06-03, TC-HU07-12, TC-HU07-14, TC-HU08-10, TC-HU11-05, TC-RNF05-03).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Medio</w:t>
            </w:r>
          </w:p>
        </w:tc>
        <w:tc>
          <w:tcPr>
            <w:tcW w:type="dxa" w:w="122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QA Lead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Escribirlos al construir el cambio. Plazo: Sprints 4 a 5 (26/10/2026 – 20/11/2026).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AUD-09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 → prueba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RFC-C2</w:t>
            </w:r>
          </w:p>
        </w:tc>
        <w:tc>
          <w:tcPr>
            <w:tcW w:type="dxa" w:w="288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4 casos de prueba propuestos sin implementar (TC-HU07-13, TC-HU08-11, TC-REG-01, TC-HU11-06).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Medio</w:t>
            </w:r>
          </w:p>
        </w:tc>
        <w:tc>
          <w:tcPr>
            <w:tcW w:type="dxa" w:w="122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QA Lead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Escribirlos al construir el cambio. Plazo: Sprints 4 a 6 (26/10/2026 – 04/12/2026).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AUD-14</w:t>
            </w:r>
          </w:p>
        </w:tc>
        <w:tc>
          <w:tcPr>
            <w:tcW w:type="dxa" w:w="129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Prueba → requisito</w:t>
            </w:r>
          </w:p>
        </w:tc>
        <w:tc>
          <w:tcPr>
            <w:tcW w:type="dxa" w:w="100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P19, P20, P26, P27, P28, P30</w:t>
            </w:r>
          </w:p>
        </w:tc>
        <w:tc>
          <w:tcPr>
            <w:tcW w:type="dxa" w:w="288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Pruebas sin requisito del backlog: consulta de escenarios (P19, P20) y pruebas transversales de defectos y calidad (P26 a P28, P30).</w:t>
            </w:r>
          </w:p>
        </w:tc>
        <w:tc>
          <w:tcPr>
            <w:tcW w:type="dxa" w:w="64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Bajo</w:t>
            </w:r>
          </w:p>
        </w:tc>
        <w:tc>
          <w:tcPr>
            <w:tcW w:type="dxa" w:w="122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QA Lead</w:t>
            </w:r>
          </w:p>
        </w:tc>
        <w:tc>
          <w:tcPr>
            <w:tcW w:type="dxa" w:w="2016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Relacionar P19 y P20 con la historia nueva; las demás quedan como pruebas de regresión.</w:t>
            </w:r>
          </w:p>
        </w:tc>
      </w:tr>
    </w:tbl>
    <w:p>
      <w:pPr>
        <w:spacing w:after="40"/>
      </w:pPr>
    </w:p>
    <w:p>
      <w:pPr>
        <w:pStyle w:val="Heading2"/>
      </w:pPr>
      <w:r>
        <w:t>4.4 Hallazgos cerrados o aceptados</w:t>
      </w:r>
    </w:p>
    <w:tbl>
      <w:tblPr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DC8"/>
          <w:left w:val="single" w:sz="4" w:space="0" w:color="B7BDC8"/>
          <w:bottom w:val="single" w:sz="4" w:space="0" w:color="B7BDC8"/>
          <w:right w:val="single" w:sz="4" w:space="0" w:color="B7BDC8"/>
          <w:insideH w:val="single" w:sz="4" w:space="0" w:color="B7BDC8"/>
          <w:insideV w:val="single" w:sz="4" w:space="0" w:color="B7BDC8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  <w:tblW w:w="9864" w:type="dxa"/>
      </w:tblPr>
      <w:tblGrid>
        <w:gridCol w:w="792"/>
        <w:gridCol w:w="1584"/>
        <w:gridCol w:w="2160"/>
        <w:gridCol w:w="1440"/>
        <w:gridCol w:w="3888"/>
      </w:tblGrid>
      <w:tr>
        <w:trPr>
          <w:tblHeader/>
          <w:cantSplit/>
        </w:trPr>
        <w:tc>
          <w:tcPr>
            <w:tcW w:type="dxa" w:w="792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584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Ruptura</w:t>
            </w:r>
          </w:p>
        </w:tc>
        <w:tc>
          <w:tcPr>
            <w:tcW w:type="dxa" w:w="2160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Elemento</w:t>
            </w:r>
          </w:p>
        </w:tc>
        <w:tc>
          <w:tcPr>
            <w:tcW w:type="dxa" w:w="1440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Estado</w:t>
            </w:r>
          </w:p>
        </w:tc>
        <w:tc>
          <w:tcPr>
            <w:tcW w:type="dxa" w:w="3888"/>
            <w:shd w:val="clear" w:color="auto" w:fill="1F3864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Motivo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AUD-10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Contradicción entre fuentes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M-01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Cerrado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El caso de estudio dice que el resultado nuevo elimina el anterior; el criterio de aceptación de HU-06 lo conserva en el historial. RFC-B1 adopta la versión con historial.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AUD-11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Requisito → código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HU-01 Registrar y actualizar tripulantes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Aceptado (fuera de alcance)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Registro administrativo; no cambia la decisión de asignación que valida el prototipo (U3A2, sección 7.1).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AUD-12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Requisito → código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HU-02 Registrar y actualizar tripulaciones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Aceptado (fuera de alcance)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Registro administrativo; fuera del alcance del prototipo (U3A2, sección 7.1).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AUD-13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Requisito → código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HU-03 Registrar y actualizar vuelos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Aceptado (fuera de alcance)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Registro administrativo; fuera del alcance del prototipo (U3A2, sección 7.1).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AUD-15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Requisito → código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HU-09 Alertar simulación anual pendiente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Aceptado (fuera de alcance)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Alerta de simulación anual; requiere calendario y notificaciones (RFC-A3, CCB 13/10/2026).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AUD-16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Requisito → código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HU-10 Gestionar catálogo de escenarios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Aceptado (fuera de alcance)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Gestión del catálogo; el prototipo trae escenarios fijos.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AUD-17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Requisito → código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HU-11 Reportes históricos de desempeño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Aceptado (fuera de alcance)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Reportes históricos; dependen del histórico de RFC-B1.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AUD-18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Requisito → código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HU-12 Notificación de cambio de asignación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Aceptado (fuera de alcance)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Notificaciones; dependen de RFC-A2 (Sprint 5).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AUD-19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Requisito → código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RNF-03 Disponibilidad continua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Aceptado (fuera de alcance)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Disponibilidad 24/7; no medible en un prototipo local.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AUD-20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Requisito → código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RNF-04 Rendimiento en consultas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Aceptado (fuera de alcance)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Rendimiento; sin backend no hay tiempos reales que medir.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DEFF3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AUD-21</w:t>
            </w:r>
          </w:p>
        </w:tc>
        <w:tc>
          <w:tcPr>
            <w:tcW w:type="dxa" w:w="1584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Requisito → código</w:t>
            </w:r>
          </w:p>
        </w:tc>
        <w:tc>
          <w:tcPr>
            <w:tcW w:type="dxa" w:w="216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RNF-05 Integridad de la sincronización con el simulador</w:t>
            </w:r>
          </w:p>
        </w:tc>
        <w:tc>
          <w:tcPr>
            <w:tcW w:type="dxa" w:w="1440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Aceptado (fuera de alcance)</w:t>
            </w:r>
          </w:p>
        </w:tc>
        <w:tc>
          <w:tcPr>
            <w:tcW w:type="dxa" w:w="3888"/>
          </w:tcPr>
          <w:p>
            <w:pPr>
              <w:spacing w:after="40" w:line="252" w:lineRule="auto"/>
            </w:pPr>
            <w:r/>
            <w:r>
              <w:rPr>
                <w:b w:val="0"/>
                <w:sz w:val="14"/>
              </w:rPr>
              <w:t>Sincronización con el simulador; el simulador es externo y el prototipo no se conecta.</w:t>
            </w:r>
          </w:p>
        </w:tc>
      </w:tr>
    </w:tbl>
    <w:p>
      <w:pPr>
        <w:spacing w:after="40"/>
      </w:pPr>
    </w:p>
    <w:p>
      <w:pPr>
        <w:pStyle w:val="Heading2"/>
      </w:pPr>
      <w:r>
        <w:t>4.5 Conclusión y plan de cierre</w:t>
      </w:r>
    </w:p>
    <w:p>
      <w:pPr>
        <w:spacing w:after="40"/>
      </w:pPr>
      <w:r>
        <w:rPr>
          <w:b w:val="0"/>
        </w:rPr>
        <w:t>La cadena está sana en el núcleo que se construyó (asignación, consulta y resultados) y rota donde todavía no hay construcción. Para cerrar el ciclo de los requisitos propongo, en este orden:</w:t>
      </w:r>
    </w:p>
    <w:p>
      <w:pPr>
        <w:spacing w:after="40"/>
        <w:ind w:left="288" w:hanging="288"/>
      </w:pPr>
      <w:r>
        <w:rPr>
          <w:b w:val="0"/>
        </w:rPr>
        <w:t>•  Antes del 16/10/2026: escribir y ejecutar los tres casos de prueba de RFC-A3 (hallazgo de severidad alta) y confirmar que bloquean la asignación.</w:t>
      </w:r>
    </w:p>
    <w:p>
      <w:pPr>
        <w:spacing w:after="40"/>
        <w:ind w:left="288" w:hanging="288"/>
      </w:pPr>
      <w:r>
        <w:rPr>
          <w:b w:val="0"/>
        </w:rPr>
        <w:t>•  Publicar el backlog v1.1 con los criterios de las RFC aprobadas (AUD-03) y agregar la historia de consulta de escenarios (AUD-04).</w:t>
      </w:r>
    </w:p>
    <w:p>
      <w:pPr>
        <w:spacing w:after="40"/>
        <w:ind w:left="288" w:hanging="288"/>
      </w:pPr>
      <w:r>
        <w:rPr>
          <w:b w:val="0"/>
        </w:rPr>
        <w:t>•  Agregar el Vision Board al repositorio como artefacto TRI-VIS (AUD-02).</w:t>
      </w:r>
    </w:p>
    <w:p>
      <w:pPr>
        <w:spacing w:after="40"/>
        <w:ind w:left="288" w:hanging="288"/>
      </w:pPr>
      <w:r>
        <w:rPr>
          <w:b w:val="0"/>
        </w:rPr>
        <w:t>•  En cada sprint, convertir los casos de prueba propuestos en pruebas automáticas y volver a ejecutar la herramienta: los hallazgos de RFC → prueba deben bajar a cero.</w:t>
      </w:r>
    </w:p>
    <w:p>
      <w:pPr>
        <w:pStyle w:val="Heading1"/>
      </w:pPr>
      <w:r>
        <w:t>Notas y supuestos</w:t>
      </w:r>
    </w:p>
    <w:p>
      <w:pPr>
        <w:spacing w:after="40"/>
        <w:ind w:left="288" w:hanging="288"/>
      </w:pPr>
      <w:r>
        <w:rPr>
          <w:b w:val="0"/>
        </w:rPr>
        <w:t>•  El Vision Board propio no está en el repositorio. Las cinco necesidades (NEG-01 a NEG-05) las tomé del Vision Board publicado en la rama tripulaciones del repositorio de referencia y las resumí. La relación de cada necesidad con los requisitos es análisis mío. Queda registrado como hallazgo AUD-02.</w:t>
      </w:r>
    </w:p>
    <w:p>
      <w:pPr>
        <w:spacing w:after="40"/>
        <w:ind w:left="288" w:hanging="288"/>
      </w:pPr>
      <w:r>
        <w:rPr>
          <w:b w:val="0"/>
        </w:rPr>
        <w:t>•  Los casos de prueba que citan las RFC (TC-HU07-10 y similares) son propuestas del documento de la unidad 3. Todavía no existen como pruebas ejecutables; la auditoría los cuenta como ruptura.</w:t>
      </w:r>
    </w:p>
    <w:p>
      <w:pPr>
        <w:spacing w:after="40"/>
        <w:ind w:left="288" w:hanging="288"/>
      </w:pPr>
      <w:r>
        <w:rPr>
          <w:b w:val="0"/>
        </w:rPr>
        <w:t>•  Las decisiones del CCB vienen de una reunión simulada en la que asumí los cinco roles. Las fechas y los plazos son propuestas para el ejercicio.</w:t>
      </w:r>
    </w:p>
    <w:p>
      <w:pPr>
        <w:spacing w:after="40"/>
        <w:ind w:left="288" w:hanging="288"/>
      </w:pPr>
      <w:r>
        <w:rPr>
          <w:b w:val="0"/>
        </w:rPr>
        <w:t>•  La prueba con usuarios del informe U3A2 es una simulación con personas ficticias. Las pruebas automáticas, en cambio, sí se ejecutaron.</w:t>
      </w:r>
    </w:p>
    <w:p>
      <w:pPr>
        <w:spacing w:after="40"/>
        <w:ind w:left="288" w:hanging="288"/>
      </w:pPr>
      <w:r>
        <w:rPr>
          <w:b w:val="0"/>
        </w:rPr>
        <w:t>•  El prototipo cubre 8 de los 18 requisitos. Los demás están marcados como fuera del alcance con su motivo.</w:t>
      </w:r>
    </w:p>
    <w:p>
      <w:pPr>
        <w:spacing w:after="40"/>
        <w:ind w:left="288" w:hanging="288"/>
      </w:pPr>
      <w:r>
        <w:rPr>
          <w:b w:val="0"/>
        </w:rPr>
        <w:t>•  El revisor de cada artefacto queda pendiente hasta que lo asigne el docente.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7"/>
      </w:rPr>
      <w:t xml:space="preserve">Federico Márquez · 15/10/2026 · Página </w:t>
    </w: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666666"/>
        <w:sz w:val="17"/>
      </w:rPr>
      <w:t>Trazabilidad de un requisito · Sistema de asignación de tripulaciones |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