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972"/>
      </w:tblGrid>
      <w:tr>
        <w:tc>
          <w:tcPr>
            <w:tcW w:type="dxa" w:w="9638"/>
            <w:shd w:fill="0B2C4D" w:val="clear"/>
            <w:vAlign w:val="center"/>
          </w:tcPr>
          <w:p>
            <w:pPr>
              <w:spacing w:before="160" w:after="0"/>
              <w:jc w:val="left"/>
            </w:pPr>
            <w:r>
              <w:rPr>
                <w:rFonts w:ascii="Calibri" w:hAnsi="Calibri"/>
                <w:b/>
                <w:color w:val="FFFFFF"/>
                <w:sz w:val="44"/>
              </w:rPr>
              <w:t>DUNDER MIFFLIN</w:t>
            </w:r>
          </w:p>
          <w:p>
            <w:pPr>
              <w:spacing w:before="0" w:after="40"/>
            </w:pPr>
            <w:r>
              <w:rPr>
                <w:b/>
                <w:color w:val="C9A227"/>
                <w:sz w:val="20"/>
              </w:rPr>
              <w:t>PAPER COMPANY · SCRANTON BRANCH</w:t>
            </w:r>
          </w:p>
          <w:p>
            <w:pPr>
              <w:spacing w:before="80" w:after="160"/>
            </w:pPr>
            <w:r>
              <w:rPr>
                <w:i/>
                <w:color w:val="FFFFFF"/>
                <w:sz w:val="28"/>
              </w:rPr>
              <w:t>Day-1 Readiness Pack</w:t>
            </w:r>
          </w:p>
        </w:tc>
      </w:tr>
    </w:tbl>
    <w:p>
      <w:pPr>
        <w:spacing w:after="0"/>
        <w:pBdr>
          <w:bottom w:val="single" w:sz="16" w:space="1" w:color="C9A227"/>
        </w:pBdr>
      </w:pPr>
    </w:p>
    <w:p>
      <w:pPr>
        <w:keepNext/>
        <w:spacing w:before="280" w:after="120"/>
      </w:pPr>
      <w:r>
        <w:rPr>
          <w:b/>
          <w:color w:val="0B2C4D"/>
          <w:sz w:val="40"/>
        </w:rPr>
        <w:t>1. New Hire Summary</w:t>
      </w:r>
    </w:p>
    <w:tbl>
      <w:tblPr>
        <w:tblW w:type="auto" w:w="0"/>
        <w:tblLayout w:type="fixed"/>
        <w:tblLook w:firstColumn="1" w:firstRow="1" w:lastColumn="0" w:lastRow="0" w:noHBand="0" w:noVBand="1" w:val="04A0"/>
      </w:tblPr>
      <w:tblGrid>
        <w:gridCol w:w="4986"/>
        <w:gridCol w:w="4986"/>
      </w:tblGrid>
      <w:tr>
        <w:tc>
          <w:tcPr>
            <w:tcW w:type="dxa" w:w="2551"/>
          </w:tcPr>
          <w:p>
            <w:r/>
            <w:r>
              <w:rPr>
                <w:b/>
                <w:color w:val="0B2C4D"/>
                <w:sz w:val="20"/>
              </w:rPr>
              <w:t>Name</w:t>
            </w:r>
          </w:p>
        </w:tc>
        <w:tc>
          <w:tcPr>
            <w:tcW w:type="dxa" w:w="7087"/>
          </w:tcPr>
          <w:p>
            <w:r/>
            <w:r>
              <w:rPr>
                <w:sz w:val="20"/>
              </w:rPr>
              <w:t>Alex Rivera</w:t>
            </w:r>
          </w:p>
        </w:tc>
      </w:tr>
      <w:tr>
        <w:tc>
          <w:tcPr>
            <w:tcW w:type="dxa" w:w="2551"/>
          </w:tcPr>
          <w:p>
            <w:r/>
            <w:r>
              <w:rPr>
                <w:b/>
                <w:color w:val="0B2C4D"/>
                <w:sz w:val="20"/>
              </w:rPr>
              <w:t>Role</w:t>
            </w:r>
          </w:p>
        </w:tc>
        <w:tc>
          <w:tcPr>
            <w:tcW w:type="dxa" w:w="7087"/>
          </w:tcPr>
          <w:p>
            <w:r/>
            <w:r>
              <w:rPr>
                <w:sz w:val="20"/>
              </w:rPr>
              <w:t>Sales Representative — Paper Products Division</w:t>
            </w:r>
          </w:p>
        </w:tc>
      </w:tr>
      <w:tr>
        <w:tc>
          <w:tcPr>
            <w:tcW w:type="dxa" w:w="2551"/>
          </w:tcPr>
          <w:p>
            <w:r/>
            <w:r>
              <w:rPr>
                <w:b/>
                <w:color w:val="0B2C4D"/>
                <w:sz w:val="20"/>
              </w:rPr>
              <w:t>Department</w:t>
            </w:r>
          </w:p>
        </w:tc>
        <w:tc>
          <w:tcPr>
            <w:tcW w:type="dxa" w:w="7087"/>
          </w:tcPr>
          <w:p>
            <w:r/>
            <w:r>
              <w:rPr>
                <w:sz w:val="20"/>
              </w:rPr>
              <w:t>Sales</w:t>
            </w:r>
          </w:p>
        </w:tc>
      </w:tr>
      <w:tr>
        <w:tc>
          <w:tcPr>
            <w:tcW w:type="dxa" w:w="2551"/>
          </w:tcPr>
          <w:p>
            <w:r/>
            <w:r>
              <w:rPr>
                <w:b/>
                <w:color w:val="0B2C4D"/>
                <w:sz w:val="20"/>
              </w:rPr>
              <w:t>Start Date</w:t>
            </w:r>
          </w:p>
        </w:tc>
        <w:tc>
          <w:tcPr>
            <w:tcW w:type="dxa" w:w="7087"/>
          </w:tcPr>
          <w:p>
            <w:r/>
            <w:r>
              <w:rPr>
                <w:sz w:val="20"/>
              </w:rPr>
              <w:t>Tuesday, June 2, 2026</w:t>
            </w:r>
          </w:p>
        </w:tc>
      </w:tr>
      <w:tr>
        <w:tc>
          <w:tcPr>
            <w:tcW w:type="dxa" w:w="2551"/>
          </w:tcPr>
          <w:p>
            <w:r/>
            <w:r>
              <w:rPr>
                <w:b/>
                <w:color w:val="0B2C4D"/>
                <w:sz w:val="20"/>
              </w:rPr>
              <w:t>Reports To</w:t>
            </w:r>
          </w:p>
        </w:tc>
        <w:tc>
          <w:tcPr>
            <w:tcW w:type="dxa" w:w="7087"/>
          </w:tcPr>
          <w:p>
            <w:r/>
            <w:r>
              <w:rPr>
                <w:sz w:val="20"/>
              </w:rPr>
              <w:t>Michael Scott, Regional Manager</w:t>
            </w:r>
          </w:p>
        </w:tc>
      </w:tr>
      <w:tr>
        <w:tc>
          <w:tcPr>
            <w:tcW w:type="dxa" w:w="2551"/>
          </w:tcPr>
          <w:p>
            <w:r/>
            <w:r>
              <w:rPr>
                <w:b/>
                <w:color w:val="0B2C4D"/>
                <w:sz w:val="20"/>
              </w:rPr>
              <w:t>Location</w:t>
            </w:r>
          </w:p>
        </w:tc>
        <w:tc>
          <w:tcPr>
            <w:tcW w:type="dxa" w:w="7087"/>
          </w:tcPr>
          <w:p>
            <w:r/>
            <w:r>
              <w:rPr>
                <w:sz w:val="20"/>
              </w:rPr>
              <w:t>1725 Slough Avenue, Suite 200, Scranton, PA</w:t>
            </w:r>
          </w:p>
        </w:tc>
      </w:tr>
      <w:tr>
        <w:tc>
          <w:tcPr>
            <w:tcW w:type="dxa" w:w="2551"/>
          </w:tcPr>
          <w:p>
            <w:r/>
            <w:r>
              <w:rPr>
                <w:b/>
                <w:color w:val="0B2C4D"/>
                <w:sz w:val="20"/>
              </w:rPr>
              <w:t>Seniority</w:t>
            </w:r>
          </w:p>
        </w:tc>
        <w:tc>
          <w:tcPr>
            <w:tcW w:type="dxa" w:w="7087"/>
          </w:tcPr>
          <w:p>
            <w:r/>
            <w:r>
              <w:rPr>
                <w:sz w:val="20"/>
              </w:rPr>
              <w:t>Junior (0–2 years experience)</w:t>
            </w:r>
          </w:p>
        </w:tc>
      </w:tr>
      <w:tr>
        <w:tc>
          <w:tcPr>
            <w:tcW w:type="dxa" w:w="2551"/>
          </w:tcPr>
          <w:p>
            <w:r/>
            <w:r>
              <w:rPr>
                <w:b/>
                <w:color w:val="0B2C4D"/>
                <w:sz w:val="20"/>
              </w:rPr>
              <w:t>Corporate Email</w:t>
            </w:r>
          </w:p>
        </w:tc>
        <w:tc>
          <w:tcPr>
            <w:tcW w:type="dxa" w:w="7087"/>
          </w:tcPr>
          <w:p>
            <w:r/>
            <w:r>
              <w:rPr>
                <w:sz w:val="20"/>
              </w:rPr>
              <w:t>alex.rivera@dundermifflin.com</w:t>
            </w:r>
          </w:p>
        </w:tc>
      </w:tr>
      <w:tr>
        <w:tc>
          <w:tcPr>
            <w:tcW w:type="dxa" w:w="2551"/>
          </w:tcPr>
          <w:p>
            <w:r/>
            <w:r>
              <w:rPr>
                <w:b/>
                <w:color w:val="0B2C4D"/>
                <w:sz w:val="20"/>
              </w:rPr>
              <w:t>Buddy</w:t>
            </w:r>
          </w:p>
        </w:tc>
        <w:tc>
          <w:tcPr>
            <w:tcW w:type="dxa" w:w="7087"/>
          </w:tcPr>
          <w:p>
            <w:r/>
            <w:r>
              <w:rPr>
                <w:sz w:val="20"/>
              </w:rPr>
              <w:t>Jim Halpert (primary) · Phyllis Vance (backup)</w:t>
            </w:r>
          </w:p>
        </w:tc>
      </w:tr>
    </w:tbl>
    <w:p>
      <w:pPr>
        <w:spacing w:after="200"/>
      </w:pPr>
      <w:r>
        <w:rPr>
          <w:b w:val="0"/>
          <w:i/>
          <w:sz w:val="22"/>
        </w:rPr>
        <w:t>About Alex: methodical, warm, and slightly confused by everything Michael says — exactly the right energy for Scranton. Interests include amateur origami, competitive sudoku (Northeast regional circuit), birdwatching, recreational bowling, and improv comedy.</w:t>
      </w:r>
    </w:p>
    <w:p>
      <w:pPr>
        <w:keepNext/>
        <w:spacing w:before="240" w:after="120"/>
      </w:pPr>
      <w:r>
        <w:rPr>
          <w:b/>
          <w:color w:val="0B2C4D"/>
          <w:sz w:val="40"/>
        </w:rPr>
        <w:t>2. Offer Terms — Confirmed by Recruiting</w:t>
      </w:r>
    </w:p>
    <w:p>
      <w:pPr>
        <w:spacing w:after="120"/>
      </w:pPr>
      <w:r>
        <w:rPr>
          <w:b w:val="0"/>
          <w:i w:val="0"/>
          <w:sz w:val="22"/>
        </w:rPr>
        <w:t>Offer letter dated 2026-05-15, issued by David Wallace (CFO). Signing deadline: 2026-05-22. The following terms have been verified; flags requiring action are highlighted in Section 3.</w:t>
      </w:r>
    </w:p>
    <w:tbl>
      <w:tblPr>
        <w:tblW w:type="auto" w:w="0"/>
        <w:tblLayout w:type="fixed"/>
        <w:tblLook w:firstColumn="1" w:firstRow="1" w:lastColumn="0" w:lastRow="0" w:noHBand="0" w:noVBand="1" w:val="04A0"/>
      </w:tblPr>
      <w:tblGrid>
        <w:gridCol w:w="4986"/>
        <w:gridCol w:w="4986"/>
      </w:tblGrid>
      <w:tr>
        <w:tc>
          <w:tcPr>
            <w:tcW w:type="dxa" w:w="2551"/>
          </w:tcPr>
          <w:p>
            <w:r/>
            <w:r>
              <w:rPr>
                <w:b/>
                <w:color w:val="0B2C4D"/>
                <w:sz w:val="20"/>
              </w:rPr>
              <w:t>Compensation</w:t>
            </w:r>
          </w:p>
        </w:tc>
        <w:tc>
          <w:tcPr>
            <w:tcW w:type="dxa" w:w="7087"/>
          </w:tcPr>
          <w:p>
            <w:r/>
            <w:r>
              <w:rPr>
                <w:sz w:val="20"/>
              </w:rPr>
              <w:t>Base $42,000/yr (bi-weekly) · 4% uncapped commission, paid monthly</w:t>
            </w:r>
          </w:p>
        </w:tc>
      </w:tr>
      <w:tr>
        <w:tc>
          <w:tcPr>
            <w:tcW w:type="dxa" w:w="2551"/>
          </w:tcPr>
          <w:p>
            <w:r/>
            <w:r>
              <w:rPr>
                <w:b/>
                <w:color w:val="0B2C4D"/>
                <w:sz w:val="20"/>
              </w:rPr>
              <w:t>Signing Bonus</w:t>
            </w:r>
          </w:p>
        </w:tc>
        <w:tc>
          <w:tcPr>
            <w:tcW w:type="dxa" w:w="7087"/>
          </w:tcPr>
          <w:p>
            <w:r/>
            <w:r>
              <w:rPr>
                <w:sz w:val="20"/>
              </w:rPr>
              <w:t>$500 after 90-day probation (delivery method requires confirmation)</w:t>
            </w:r>
          </w:p>
        </w:tc>
      </w:tr>
      <w:tr>
        <w:tc>
          <w:tcPr>
            <w:tcW w:type="dxa" w:w="2551"/>
          </w:tcPr>
          <w:p>
            <w:r/>
            <w:r>
              <w:rPr>
                <w:b/>
                <w:color w:val="0B2C4D"/>
                <w:sz w:val="20"/>
              </w:rPr>
              <w:t>PTO / Sick / Holidays</w:t>
            </w:r>
          </w:p>
        </w:tc>
        <w:tc>
          <w:tcPr>
            <w:tcW w:type="dxa" w:w="7087"/>
          </w:tcPr>
          <w:p>
            <w:r/>
            <w:r>
              <w:rPr>
                <w:sz w:val="20"/>
              </w:rPr>
              <w:t>15 days PTO (accrued monthly) · 5 sick (non-rollover) · 10 federal holidays + 1 floating</w:t>
            </w:r>
          </w:p>
        </w:tc>
      </w:tr>
      <w:tr>
        <w:tc>
          <w:tcPr>
            <w:tcW w:type="dxa" w:w="2551"/>
          </w:tcPr>
          <w:p>
            <w:r/>
            <w:r>
              <w:rPr>
                <w:b/>
                <w:color w:val="0B2C4D"/>
                <w:sz w:val="20"/>
              </w:rPr>
              <w:t>Health Coverage</w:t>
            </w:r>
          </w:p>
        </w:tc>
        <w:tc>
          <w:tcPr>
            <w:tcW w:type="dxa" w:w="7087"/>
          </w:tcPr>
          <w:p>
            <w:r/>
            <w:r>
              <w:rPr>
                <w:sz w:val="20"/>
              </w:rPr>
              <w:t>Group Health Plan: medical + dental enrolled · vision pending (form action required)</w:t>
            </w:r>
          </w:p>
        </w:tc>
      </w:tr>
      <w:tr>
        <w:tc>
          <w:tcPr>
            <w:tcW w:type="dxa" w:w="2551"/>
          </w:tcPr>
          <w:p>
            <w:r/>
            <w:r>
              <w:rPr>
                <w:b/>
                <w:color w:val="0B2C4D"/>
                <w:sz w:val="20"/>
              </w:rPr>
              <w:t>401(k)</w:t>
            </w:r>
          </w:p>
        </w:tc>
        <w:tc>
          <w:tcPr>
            <w:tcW w:type="dxa" w:w="7087"/>
          </w:tcPr>
          <w:p>
            <w:r/>
            <w:r>
              <w:rPr>
                <w:sz w:val="20"/>
              </w:rPr>
              <w:t>Company match up to 3% after 1 year of service</w:t>
            </w:r>
          </w:p>
        </w:tc>
      </w:tr>
      <w:tr>
        <w:tc>
          <w:tcPr>
            <w:tcW w:type="dxa" w:w="2551"/>
          </w:tcPr>
          <w:p>
            <w:r/>
            <w:r>
              <w:rPr>
                <w:b/>
                <w:color w:val="0B2C4D"/>
                <w:sz w:val="20"/>
              </w:rPr>
              <w:t>Life Insurance</w:t>
            </w:r>
          </w:p>
        </w:tc>
        <w:tc>
          <w:tcPr>
            <w:tcW w:type="dxa" w:w="7087"/>
          </w:tcPr>
          <w:p>
            <w:r/>
            <w:r>
              <w:rPr>
                <w:sz w:val="20"/>
              </w:rPr>
              <w:t>Basic coverage, 1× annual salary</w:t>
            </w:r>
          </w:p>
        </w:tc>
      </w:tr>
      <w:tr>
        <w:tc>
          <w:tcPr>
            <w:tcW w:type="dxa" w:w="2551"/>
          </w:tcPr>
          <w:p>
            <w:r/>
            <w:r>
              <w:rPr>
                <w:b/>
                <w:color w:val="0B2C4D"/>
                <w:sz w:val="20"/>
              </w:rPr>
              <w:t>Perks</w:t>
            </w:r>
          </w:p>
        </w:tc>
        <w:tc>
          <w:tcPr>
            <w:tcW w:type="dxa" w:w="7087"/>
          </w:tcPr>
          <w:p>
            <w:r/>
            <w:r>
              <w:rPr>
                <w:sz w:val="20"/>
              </w:rPr>
              <w:t>15% Dunder Mifflin paper discount · Pretzel Day (mandatory) · Dundies eligibility after 90 days · Café Disco access</w:t>
            </w:r>
          </w:p>
        </w:tc>
      </w:tr>
      <w:tr>
        <w:tc>
          <w:tcPr>
            <w:tcW w:type="dxa" w:w="2551"/>
          </w:tcPr>
          <w:p>
            <w:r/>
            <w:r>
              <w:rPr>
                <w:b/>
                <w:color w:val="0B2C4D"/>
                <w:sz w:val="20"/>
              </w:rPr>
              <w:t>Employment Terms</w:t>
            </w:r>
          </w:p>
        </w:tc>
        <w:tc>
          <w:tcPr>
            <w:tcW w:type="dxa" w:w="7087"/>
          </w:tcPr>
          <w:p>
            <w:r/>
            <w:r>
              <w:rPr>
                <w:sz w:val="20"/>
              </w:rPr>
              <w:t>Full-time, at-will · 90-day probation · No remote work</w:t>
            </w:r>
          </w:p>
        </w:tc>
      </w:tr>
      <w:tr>
        <w:tc>
          <w:tcPr>
            <w:tcW w:type="dxa" w:w="2551"/>
          </w:tcPr>
          <w:p>
            <w:r/>
            <w:r>
              <w:rPr>
                <w:b/>
                <w:color w:val="0B2C4D"/>
                <w:sz w:val="20"/>
              </w:rPr>
              <w:t>Restrictive Covenants</w:t>
            </w:r>
          </w:p>
        </w:tc>
        <w:tc>
          <w:tcPr>
            <w:tcW w:type="dxa" w:w="7087"/>
          </w:tcPr>
          <w:p>
            <w:r/>
            <w:r>
              <w:rPr>
                <w:sz w:val="20"/>
              </w:rPr>
              <w:t>12-month non-compete within 50 miles of Scranton (beet farming exempt) · Confidentiality · Workplace Relationship Policy (Annex D — Ryan Howard Clause)</w:t>
            </w:r>
          </w:p>
        </w:tc>
      </w:tr>
      <w:tr>
        <w:tc>
          <w:tcPr>
            <w:tcW w:type="dxa" w:w="2551"/>
          </w:tcPr>
          <w:p>
            <w:r/>
            <w:r>
              <w:rPr>
                <w:b/>
                <w:color w:val="0B2C4D"/>
                <w:sz w:val="20"/>
              </w:rPr>
              <w:t>Performance Reviews</w:t>
            </w:r>
          </w:p>
        </w:tc>
        <w:tc>
          <w:tcPr>
            <w:tcW w:type="dxa" w:w="7087"/>
          </w:tcPr>
          <w:p>
            <w:r/>
            <w:r>
              <w:rPr>
                <w:sz w:val="20"/>
              </w:rPr>
              <w:t>Annual, conducted by Michael Scott; may include interpretive dance segments</w:t>
            </w:r>
          </w:p>
        </w:tc>
      </w:tr>
      <w:tr>
        <w:tc>
          <w:tcPr>
            <w:tcW w:type="dxa" w:w="2551"/>
          </w:tcPr>
          <w:p>
            <w:r/>
            <w:r>
              <w:rPr>
                <w:b/>
                <w:color w:val="0B2C4D"/>
                <w:sz w:val="20"/>
              </w:rPr>
              <w:t>HR Point of Contact</w:t>
            </w:r>
          </w:p>
        </w:tc>
        <w:tc>
          <w:tcPr>
            <w:tcW w:type="dxa" w:w="7087"/>
          </w:tcPr>
          <w:p>
            <w:r/>
            <w:r>
              <w:rPr>
                <w:sz w:val="20"/>
              </w:rPr>
              <w:t>Toby Flenderson (HR Annex — yes, he is available and willing to help)</w:t>
            </w:r>
          </w:p>
        </w:tc>
      </w:tr>
    </w:tbl>
    <w:p>
      <w:pPr>
        <w:keepNext/>
        <w:spacing w:before="240" w:after="120"/>
      </w:pPr>
      <w:r>
        <w:rPr>
          <w:b/>
          <w:color w:val="0B2C4D"/>
          <w:sz w:val="40"/>
        </w:rPr>
        <w:t>3. Pre-Employment Documents &amp; Blockers</w:t>
      </w:r>
    </w:p>
    <w:p>
      <w:pPr>
        <w:keepNext/>
        <w:spacing w:before="120" w:after="80"/>
      </w:pPr>
      <w:r>
        <w:rPr>
          <w:b/>
          <w:color w:val="0B2C4D"/>
          <w:sz w:val="28"/>
        </w:rPr>
        <w:t>Outstanding Documents</w:t>
      </w:r>
    </w:p>
    <w:tbl>
      <w:tblPr>
        <w:tblW w:type="auto" w:w="0"/>
        <w:tblLayout w:type="fixed"/>
        <w:tblLook w:firstColumn="1" w:firstRow="1" w:lastColumn="0" w:lastRow="0" w:noHBand="0" w:noVBand="1" w:val="04A0"/>
      </w:tblPr>
      <w:tblGrid>
        <w:gridCol w:w="3324"/>
        <w:gridCol w:w="3324"/>
        <w:gridCol w:w="3324"/>
      </w:tblGrid>
      <w:tr>
        <w:tc>
          <w:tcPr>
            <w:tcW w:type="dxa" w:w="3685"/>
            <w:shd w:fill="0B2C4D" w:val="clear"/>
          </w:tcPr>
          <w:p>
            <w:r/>
            <w:r>
              <w:rPr>
                <w:b/>
                <w:color w:val="FFFFFF"/>
                <w:sz w:val="20"/>
              </w:rPr>
              <w:t>Document</w:t>
            </w:r>
          </w:p>
        </w:tc>
        <w:tc>
          <w:tcPr>
            <w:tcW w:type="dxa" w:w="4252"/>
            <w:shd w:fill="0B2C4D" w:val="clear"/>
          </w:tcPr>
          <w:p>
            <w:r/>
            <w:r>
              <w:rPr>
                <w:b/>
                <w:color w:val="FFFFFF"/>
                <w:sz w:val="20"/>
              </w:rPr>
              <w:t>Notes</w:t>
            </w:r>
          </w:p>
        </w:tc>
        <w:tc>
          <w:tcPr>
            <w:tcW w:type="dxa" w:w="1701"/>
            <w:shd w:fill="0B2C4D" w:val="clear"/>
          </w:tcPr>
          <w:p>
            <w:r/>
            <w:r>
              <w:rPr>
                <w:b/>
                <w:color w:val="FFFFFF"/>
                <w:sz w:val="20"/>
              </w:rPr>
              <w:t>Status</w:t>
            </w:r>
          </w:p>
        </w:tc>
      </w:tr>
      <w:tr>
        <w:tc>
          <w:tcPr>
            <w:tcW w:type="dxa" w:w="3685"/>
          </w:tcPr>
          <w:p>
            <w:r/>
            <w:r>
              <w:rPr>
                <w:sz w:val="20"/>
              </w:rPr>
              <w:t>Signed offer letter (DocuSign or wet-ink)</w:t>
            </w:r>
          </w:p>
        </w:tc>
        <w:tc>
          <w:tcPr>
            <w:tcW w:type="dxa" w:w="4252"/>
          </w:tcPr>
          <w:p>
            <w:r/>
            <w:r>
              <w:rPr>
                <w:sz w:val="20"/>
              </w:rPr>
              <w:t>Confirm received by 2026-05-22</w:t>
            </w:r>
          </w:p>
        </w:tc>
        <w:tc>
          <w:tcPr>
            <w:tcW w:type="dxa" w:w="1701"/>
          </w:tcPr>
          <w:p>
            <w:r/>
            <w:r>
              <w:rPr>
                <w:sz w:val="20"/>
              </w:rPr>
              <w:t>Pending</w:t>
            </w:r>
          </w:p>
        </w:tc>
      </w:tr>
      <w:tr>
        <w:tc>
          <w:tcPr>
            <w:tcW w:type="dxa" w:w="3685"/>
            <w:shd w:fill="F7F1E3" w:val="clear"/>
          </w:tcPr>
          <w:p>
            <w:r/>
            <w:r>
              <w:rPr>
                <w:sz w:val="20"/>
              </w:rPr>
              <w:t>Commission plan addendum</w:t>
            </w:r>
          </w:p>
        </w:tc>
        <w:tc>
          <w:tcPr>
            <w:tcW w:type="dxa" w:w="4252"/>
            <w:shd w:fill="F7F1E3" w:val="clear"/>
          </w:tcPr>
          <w:p>
            <w:r/>
            <w:r>
              <w:rPr>
                <w:sz w:val="20"/>
              </w:rPr>
              <w:t>Requires separate signature</w:t>
            </w:r>
          </w:p>
        </w:tc>
        <w:tc>
          <w:tcPr>
            <w:tcW w:type="dxa" w:w="1701"/>
            <w:shd w:fill="F7F1E3" w:val="clear"/>
          </w:tcPr>
          <w:p>
            <w:r/>
            <w:r>
              <w:rPr>
                <w:sz w:val="20"/>
              </w:rPr>
              <w:t>Pending</w:t>
            </w:r>
          </w:p>
        </w:tc>
      </w:tr>
      <w:tr>
        <w:tc>
          <w:tcPr>
            <w:tcW w:type="dxa" w:w="3685"/>
          </w:tcPr>
          <w:p>
            <w:r/>
            <w:r>
              <w:rPr>
                <w:sz w:val="20"/>
              </w:rPr>
              <w:t>I-9 (passport or 2-doc combo)</w:t>
            </w:r>
          </w:p>
        </w:tc>
        <w:tc>
          <w:tcPr>
            <w:tcW w:type="dxa" w:w="4252"/>
          </w:tcPr>
          <w:p>
            <w:r/>
            <w:r>
              <w:rPr>
                <w:sz w:val="20"/>
              </w:rPr>
              <w:t>Store in HR annex (NOT Dwight's desk)</w:t>
            </w:r>
          </w:p>
        </w:tc>
        <w:tc>
          <w:tcPr>
            <w:tcW w:type="dxa" w:w="1701"/>
          </w:tcPr>
          <w:p>
            <w:r/>
            <w:r>
              <w:rPr>
                <w:sz w:val="20"/>
              </w:rPr>
              <w:t>Pending</w:t>
            </w:r>
          </w:p>
        </w:tc>
      </w:tr>
      <w:tr>
        <w:tc>
          <w:tcPr>
            <w:tcW w:type="dxa" w:w="3685"/>
            <w:shd w:fill="F7F1E3" w:val="clear"/>
          </w:tcPr>
          <w:p>
            <w:r/>
            <w:r>
              <w:rPr>
                <w:sz w:val="20"/>
              </w:rPr>
              <w:t>Background check (HireRight)</w:t>
            </w:r>
          </w:p>
        </w:tc>
        <w:tc>
          <w:tcPr>
            <w:tcW w:type="dxa" w:w="4252"/>
            <w:shd w:fill="F7F1E3" w:val="clear"/>
          </w:tcPr>
          <w:p>
            <w:r/>
            <w:r>
              <w:rPr>
                <w:sz w:val="20"/>
              </w:rPr>
              <w:t>Must clear before badge issuance</w:t>
            </w:r>
          </w:p>
        </w:tc>
        <w:tc>
          <w:tcPr>
            <w:tcW w:type="dxa" w:w="1701"/>
            <w:shd w:fill="F7F1E3" w:val="clear"/>
          </w:tcPr>
          <w:p>
            <w:r/>
            <w:r>
              <w:rPr>
                <w:sz w:val="20"/>
              </w:rPr>
              <w:t>Pending</w:t>
            </w:r>
          </w:p>
        </w:tc>
      </w:tr>
      <w:tr>
        <w:tc>
          <w:tcPr>
            <w:tcW w:type="dxa" w:w="3685"/>
          </w:tcPr>
          <w:p>
            <w:r/>
            <w:r>
              <w:rPr>
                <w:sz w:val="20"/>
              </w:rPr>
              <w:t>Reference checks (minimum 2)</w:t>
            </w:r>
          </w:p>
        </w:tc>
        <w:tc>
          <w:tcPr>
            <w:tcW w:type="dxa" w:w="4252"/>
          </w:tcPr>
          <w:p>
            <w:r/>
            <w:r>
              <w:rPr>
                <w:sz w:val="20"/>
              </w:rPr>
              <w:t>Prior manager + peer/colleague</w:t>
            </w:r>
          </w:p>
        </w:tc>
        <w:tc>
          <w:tcPr>
            <w:tcW w:type="dxa" w:w="1701"/>
          </w:tcPr>
          <w:p>
            <w:r/>
            <w:r>
              <w:rPr>
                <w:sz w:val="20"/>
              </w:rPr>
              <w:t>Pending</w:t>
            </w:r>
          </w:p>
        </w:tc>
      </w:tr>
      <w:tr>
        <w:tc>
          <w:tcPr>
            <w:tcW w:type="dxa" w:w="3685"/>
            <w:shd w:fill="F7F1E3" w:val="clear"/>
          </w:tcPr>
          <w:p>
            <w:r/>
            <w:r>
              <w:rPr>
                <w:sz w:val="20"/>
              </w:rPr>
              <w:t>Direct deposit form</w:t>
            </w:r>
          </w:p>
        </w:tc>
        <w:tc>
          <w:tcPr>
            <w:tcW w:type="dxa" w:w="4252"/>
            <w:shd w:fill="F7F1E3" w:val="clear"/>
          </w:tcPr>
          <w:p>
            <w:r/>
            <w:r>
              <w:rPr>
                <w:sz w:val="20"/>
              </w:rPr>
              <w:t>Submit before first pay cycle</w:t>
            </w:r>
          </w:p>
        </w:tc>
        <w:tc>
          <w:tcPr>
            <w:tcW w:type="dxa" w:w="1701"/>
            <w:shd w:fill="F7F1E3" w:val="clear"/>
          </w:tcPr>
          <w:p>
            <w:r/>
            <w:r>
              <w:rPr>
                <w:sz w:val="20"/>
              </w:rPr>
              <w:t>Pending</w:t>
            </w:r>
          </w:p>
        </w:tc>
      </w:tr>
      <w:tr>
        <w:tc>
          <w:tcPr>
            <w:tcW w:type="dxa" w:w="3685"/>
          </w:tcPr>
          <w:p>
            <w:r/>
            <w:r>
              <w:rPr>
                <w:sz w:val="20"/>
              </w:rPr>
              <w:t>Benefits enrollment (medical/dental)</w:t>
            </w:r>
          </w:p>
        </w:tc>
        <w:tc>
          <w:tcPr>
            <w:tcW w:type="dxa" w:w="4252"/>
          </w:tcPr>
          <w:p>
            <w:r/>
            <w:r>
              <w:rPr>
                <w:sz w:val="20"/>
              </w:rPr>
              <w:t>Complete within 30-day window</w:t>
            </w:r>
          </w:p>
        </w:tc>
        <w:tc>
          <w:tcPr>
            <w:tcW w:type="dxa" w:w="1701"/>
          </w:tcPr>
          <w:p>
            <w:r/>
            <w:r>
              <w:rPr>
                <w:sz w:val="20"/>
              </w:rPr>
              <w:t>Pending</w:t>
            </w:r>
          </w:p>
        </w:tc>
      </w:tr>
      <w:tr>
        <w:tc>
          <w:tcPr>
            <w:tcW w:type="dxa" w:w="3685"/>
            <w:shd w:fill="F7F1E3" w:val="clear"/>
          </w:tcPr>
          <w:p>
            <w:r/>
            <w:r>
              <w:rPr>
                <w:sz w:val="20"/>
              </w:rPr>
              <w:t>Vision enrollment form</w:t>
            </w:r>
          </w:p>
        </w:tc>
        <w:tc>
          <w:tcPr>
            <w:tcW w:type="dxa" w:w="4252"/>
            <w:shd w:fill="F7F1E3" w:val="clear"/>
          </w:tcPr>
          <w:p>
            <w:r/>
            <w:r>
              <w:rPr>
                <w:sz w:val="20"/>
              </w:rPr>
              <w:t>REISSUE — Kevin lost the original</w:t>
            </w:r>
          </w:p>
        </w:tc>
        <w:tc>
          <w:tcPr>
            <w:tcW w:type="dxa" w:w="1701"/>
            <w:shd w:fill="F7F1E3" w:val="clear"/>
          </w:tcPr>
          <w:p>
            <w:r/>
            <w:r>
              <w:rPr>
                <w:sz w:val="20"/>
              </w:rPr>
              <w:t>BLOCKER</w:t>
            </w:r>
          </w:p>
        </w:tc>
      </w:tr>
      <w:tr>
        <w:tc>
          <w:tcPr>
            <w:tcW w:type="dxa" w:w="3685"/>
          </w:tcPr>
          <w:p>
            <w:r/>
            <w:r>
              <w:rPr>
                <w:sz w:val="20"/>
              </w:rPr>
              <w:t>Emergency contact form</w:t>
            </w:r>
          </w:p>
        </w:tc>
        <w:tc>
          <w:tcPr>
            <w:tcW w:type="dxa" w:w="4252"/>
          </w:tcPr>
          <w:p>
            <w:r/>
            <w:r>
              <w:rPr>
                <w:sz w:val="20"/>
              </w:rPr>
              <w:t>Standard intake</w:t>
            </w:r>
          </w:p>
        </w:tc>
        <w:tc>
          <w:tcPr>
            <w:tcW w:type="dxa" w:w="1701"/>
          </w:tcPr>
          <w:p>
            <w:r/>
            <w:r>
              <w:rPr>
                <w:sz w:val="20"/>
              </w:rPr>
              <w:t>Pending</w:t>
            </w:r>
          </w:p>
        </w:tc>
      </w:tr>
      <w:tr>
        <w:tc>
          <w:tcPr>
            <w:tcW w:type="dxa" w:w="3685"/>
            <w:shd w:fill="F7F1E3" w:val="clear"/>
          </w:tcPr>
          <w:p>
            <w:r/>
            <w:r>
              <w:rPr>
                <w:sz w:val="20"/>
              </w:rPr>
              <w:t>Non-compete &amp; confidentiality</w:t>
            </w:r>
          </w:p>
        </w:tc>
        <w:tc>
          <w:tcPr>
            <w:tcW w:type="dxa" w:w="4252"/>
            <w:shd w:fill="F7F1E3" w:val="clear"/>
          </w:tcPr>
          <w:p>
            <w:r/>
            <w:r>
              <w:rPr>
                <w:sz w:val="20"/>
              </w:rPr>
              <w:t>Confirm signed copy on file</w:t>
            </w:r>
          </w:p>
        </w:tc>
        <w:tc>
          <w:tcPr>
            <w:tcW w:type="dxa" w:w="1701"/>
            <w:shd w:fill="F7F1E3" w:val="clear"/>
          </w:tcPr>
          <w:p>
            <w:r/>
            <w:r>
              <w:rPr>
                <w:sz w:val="20"/>
              </w:rPr>
              <w:t>Pending</w:t>
            </w:r>
          </w:p>
        </w:tc>
      </w:tr>
    </w:tbl>
    <w:p>
      <w:pPr>
        <w:keepNext/>
        <w:spacing w:before="200" w:after="80"/>
      </w:pPr>
      <w:r>
        <w:rPr>
          <w:b/>
          <w:color w:val="0B2C4D"/>
          <w:sz w:val="28"/>
        </w:rPr>
        <w:t>Blockers to June 2 Start Date</w:t>
      </w:r>
    </w:p>
    <w:p>
      <w:pPr>
        <w:spacing w:after="60"/>
        <w:ind w:left="227"/>
      </w:pPr>
      <w:r>
        <w:rPr>
          <w:b/>
          <w:color w:val="B01E1E"/>
          <w:sz w:val="20"/>
        </w:rPr>
        <w:t xml:space="preserve">[CRITICAL] </w:t>
      </w:r>
      <w:r>
        <w:rPr>
          <w:sz w:val="20"/>
        </w:rPr>
        <w:t>Vision enrollment form lost by Kevin Malone. Reissue and obtain Alex's signature before June 2 or coverage window closes.</w:t>
      </w:r>
    </w:p>
    <w:p>
      <w:pPr>
        <w:spacing w:after="60"/>
        <w:ind w:left="227"/>
      </w:pPr>
      <w:r>
        <w:rPr>
          <w:b/>
          <w:color w:val="B01E1E"/>
          <w:sz w:val="20"/>
        </w:rPr>
        <w:t xml:space="preserve">[CRITICAL] </w:t>
      </w:r>
      <w:r>
        <w:rPr>
          <w:sz w:val="20"/>
        </w:rPr>
        <w:t>Background check (HireRight) must clear before a building badge can be issued.</w:t>
      </w:r>
    </w:p>
    <w:p>
      <w:pPr>
        <w:spacing w:after="60"/>
        <w:ind w:left="227"/>
      </w:pPr>
      <w:r>
        <w:rPr>
          <w:b/>
          <w:color w:val="C9A227"/>
          <w:sz w:val="20"/>
        </w:rPr>
        <w:t xml:space="preserve">[ACTION] </w:t>
      </w:r>
      <w:r>
        <w:rPr>
          <w:sz w:val="20"/>
        </w:rPr>
        <w:t>Offer letter must be returned signed by 2026-05-22; without it, start date cannot be confirmed.</w:t>
      </w:r>
    </w:p>
    <w:p>
      <w:pPr>
        <w:spacing w:after="60"/>
        <w:ind w:left="227"/>
      </w:pPr>
      <w:r>
        <w:rPr>
          <w:b/>
          <w:color w:val="C9A227"/>
          <w:sz w:val="20"/>
        </w:rPr>
        <w:t xml:space="preserve">[ACTION] </w:t>
      </w:r>
      <w:r>
        <w:rPr>
          <w:sz w:val="20"/>
        </w:rPr>
        <w:t>Confirm $500 signing bonus is processed as a payroll instrument. Payroll cannot accept a Dundie as compensation.</w:t>
      </w:r>
    </w:p>
    <w:p>
      <w:pPr>
        <w:spacing w:after="60"/>
        <w:ind w:left="227"/>
      </w:pPr>
      <w:r>
        <w:rPr>
          <w:b/>
          <w:color w:val="C9A227"/>
          <w:sz w:val="20"/>
        </w:rPr>
        <w:t xml:space="preserve">[ACTION] </w:t>
      </w:r>
      <w:r>
        <w:rPr>
          <w:sz w:val="20"/>
        </w:rPr>
        <w:t>Confirm start date with Michael Scott by phone (he does not open email).</w:t>
      </w:r>
    </w:p>
    <w:p>
      <w:pPr>
        <w:keepNext/>
        <w:spacing w:before="240" w:after="120"/>
      </w:pPr>
      <w:r>
        <w:rPr>
          <w:b/>
          <w:color w:val="0B2C4D"/>
          <w:sz w:val="40"/>
        </w:rPr>
        <w:t>4. IT Provisioning Checklist</w:t>
      </w:r>
    </w:p>
    <w:p>
      <w:pPr>
        <w:spacing w:after="120"/>
      </w:pPr>
      <w:r>
        <w:rPr>
          <w:b/>
          <w:i w:val="0"/>
          <w:color w:val="0B2C4D"/>
          <w:sz w:val="22"/>
        </w:rPr>
        <w:t>Username: arivera   ·   Email: alex.rivera@dundermifflin.com   ·   IT Helpdesk: 1-800-DM-HELPS</w:t>
      </w:r>
    </w:p>
    <w:p>
      <w:pPr>
        <w:keepNext/>
        <w:spacing w:before="80" w:after="80"/>
      </w:pPr>
      <w:r>
        <w:rPr>
          <w:b/>
          <w:color w:val="0B2C4D"/>
          <w:sz w:val="28"/>
        </w:rPr>
        <w:t>Hardware</w:t>
      </w:r>
    </w:p>
    <w:tbl>
      <w:tblPr>
        <w:tblW w:type="auto" w:w="0"/>
        <w:tblLayout w:type="fixed"/>
        <w:tblLook w:firstColumn="1" w:firstRow="1" w:lastColumn="0" w:lastRow="0" w:noHBand="0" w:noVBand="1" w:val="04A0"/>
      </w:tblPr>
      <w:tblGrid>
        <w:gridCol w:w="3324"/>
        <w:gridCol w:w="3324"/>
        <w:gridCol w:w="3324"/>
      </w:tblGrid>
      <w:tr>
        <w:tc>
          <w:tcPr>
            <w:tcW w:type="dxa" w:w="2551"/>
            <w:shd w:fill="0B2C4D" w:val="clear"/>
          </w:tcPr>
          <w:p>
            <w:r/>
            <w:r>
              <w:rPr>
                <w:b/>
                <w:color w:val="FFFFFF"/>
                <w:sz w:val="20"/>
              </w:rPr>
              <w:t>Item</w:t>
            </w:r>
          </w:p>
        </w:tc>
        <w:tc>
          <w:tcPr>
            <w:tcW w:type="dxa" w:w="5386"/>
            <w:shd w:fill="0B2C4D" w:val="clear"/>
          </w:tcPr>
          <w:p>
            <w:r/>
            <w:r>
              <w:rPr>
                <w:b/>
                <w:color w:val="FFFFFF"/>
                <w:sz w:val="20"/>
              </w:rPr>
              <w:t>Detail</w:t>
            </w:r>
          </w:p>
        </w:tc>
        <w:tc>
          <w:tcPr>
            <w:tcW w:type="dxa" w:w="1701"/>
            <w:shd w:fill="0B2C4D" w:val="clear"/>
          </w:tcPr>
          <w:p>
            <w:r/>
            <w:r>
              <w:rPr>
                <w:b/>
                <w:color w:val="FFFFFF"/>
                <w:sz w:val="20"/>
              </w:rPr>
              <w:t>Status</w:t>
            </w:r>
          </w:p>
        </w:tc>
      </w:tr>
      <w:tr>
        <w:tc>
          <w:tcPr>
            <w:tcW w:type="dxa" w:w="2551"/>
          </w:tcPr>
          <w:p>
            <w:r/>
            <w:r>
              <w:rPr>
                <w:sz w:val="20"/>
              </w:rPr>
              <w:t>Laptop</w:t>
            </w:r>
          </w:p>
        </w:tc>
        <w:tc>
          <w:tcPr>
            <w:tcW w:type="dxa" w:w="5386"/>
          </w:tcPr>
          <w:p>
            <w:r/>
            <w:r>
              <w:rPr>
                <w:sz w:val="20"/>
              </w:rPr>
              <w:t>Dell Latitude 5540 (Windows 11, standard Sales image)</w:t>
            </w:r>
          </w:p>
        </w:tc>
        <w:tc>
          <w:tcPr>
            <w:tcW w:type="dxa" w:w="1701"/>
          </w:tcPr>
          <w:p>
            <w:r/>
            <w:r>
              <w:rPr>
                <w:sz w:val="20"/>
              </w:rPr>
              <w:t>Assigned</w:t>
            </w:r>
          </w:p>
        </w:tc>
      </w:tr>
      <w:tr>
        <w:tc>
          <w:tcPr>
            <w:tcW w:type="dxa" w:w="2551"/>
            <w:shd w:fill="F7F1E3" w:val="clear"/>
          </w:tcPr>
          <w:p>
            <w:r/>
            <w:r>
              <w:rPr>
                <w:sz w:val="20"/>
              </w:rPr>
              <w:t>Monitor</w:t>
            </w:r>
          </w:p>
        </w:tc>
        <w:tc>
          <w:tcPr>
            <w:tcW w:type="dxa" w:w="5386"/>
            <w:shd w:fill="F7F1E3" w:val="clear"/>
          </w:tcPr>
          <w:p>
            <w:r/>
            <w:r>
              <w:rPr>
                <w:sz w:val="20"/>
              </w:rPr>
              <w:t>Dell 24" single monitor</w:t>
            </w:r>
          </w:p>
        </w:tc>
        <w:tc>
          <w:tcPr>
            <w:tcW w:type="dxa" w:w="1701"/>
            <w:shd w:fill="F7F1E3" w:val="clear"/>
          </w:tcPr>
          <w:p>
            <w:r/>
            <w:r>
              <w:rPr>
                <w:sz w:val="20"/>
              </w:rPr>
              <w:t>Assigned</w:t>
            </w:r>
          </w:p>
        </w:tc>
      </w:tr>
      <w:tr>
        <w:tc>
          <w:tcPr>
            <w:tcW w:type="dxa" w:w="2551"/>
          </w:tcPr>
          <w:p>
            <w:r/>
            <w:r>
              <w:rPr>
                <w:sz w:val="20"/>
              </w:rPr>
              <w:t>Keyboard &amp; Mouse</w:t>
            </w:r>
          </w:p>
        </w:tc>
        <w:tc>
          <w:tcPr>
            <w:tcW w:type="dxa" w:w="5386"/>
          </w:tcPr>
          <w:p>
            <w:r/>
            <w:r>
              <w:rPr>
                <w:sz w:val="20"/>
              </w:rPr>
              <w:t>Wired only (wireless banned post-2024 incident)</w:t>
            </w:r>
          </w:p>
        </w:tc>
        <w:tc>
          <w:tcPr>
            <w:tcW w:type="dxa" w:w="1701"/>
          </w:tcPr>
          <w:p>
            <w:r/>
            <w:r>
              <w:rPr>
                <w:sz w:val="20"/>
              </w:rPr>
              <w:t>Assigned</w:t>
            </w:r>
          </w:p>
        </w:tc>
      </w:tr>
      <w:tr>
        <w:tc>
          <w:tcPr>
            <w:tcW w:type="dxa" w:w="2551"/>
            <w:shd w:fill="F7F1E3" w:val="clear"/>
          </w:tcPr>
          <w:p>
            <w:r/>
            <w:r>
              <w:rPr>
                <w:sz w:val="20"/>
              </w:rPr>
              <w:t>Desk Phone</w:t>
            </w:r>
          </w:p>
        </w:tc>
        <w:tc>
          <w:tcPr>
            <w:tcW w:type="dxa" w:w="5386"/>
            <w:shd w:fill="F7F1E3" w:val="clear"/>
          </w:tcPr>
          <w:p>
            <w:r/>
            <w:r>
              <w:rPr>
                <w:sz w:val="20"/>
              </w:rPr>
              <w:t>Cisco IP 8841 — extension assigned by Dwight Schrute</w:t>
            </w:r>
          </w:p>
        </w:tc>
        <w:tc>
          <w:tcPr>
            <w:tcW w:type="dxa" w:w="1701"/>
            <w:shd w:fill="F7F1E3" w:val="clear"/>
          </w:tcPr>
          <w:p>
            <w:r/>
            <w:r>
              <w:rPr>
                <w:sz w:val="20"/>
              </w:rPr>
              <w:t>Pending</w:t>
            </w:r>
          </w:p>
        </w:tc>
      </w:tr>
      <w:tr>
        <w:tc>
          <w:tcPr>
            <w:tcW w:type="dxa" w:w="2551"/>
          </w:tcPr>
          <w:p>
            <w:r/>
            <w:r>
              <w:rPr>
                <w:sz w:val="20"/>
              </w:rPr>
              <w:t>Laptop Bag</w:t>
            </w:r>
          </w:p>
        </w:tc>
        <w:tc>
          <w:tcPr>
            <w:tcW w:type="dxa" w:w="5386"/>
          </w:tcPr>
          <w:p>
            <w:r/>
            <w:r>
              <w:rPr>
                <w:sz w:val="20"/>
              </w:rPr>
              <w:t>Dunder Mifflin branded</w:t>
            </w:r>
          </w:p>
        </w:tc>
        <w:tc>
          <w:tcPr>
            <w:tcW w:type="dxa" w:w="1701"/>
          </w:tcPr>
          <w:p>
            <w:r/>
            <w:r>
              <w:rPr>
                <w:sz w:val="20"/>
              </w:rPr>
              <w:t>Assigned</w:t>
            </w:r>
          </w:p>
        </w:tc>
      </w:tr>
      <w:tr>
        <w:tc>
          <w:tcPr>
            <w:tcW w:type="dxa" w:w="2551"/>
            <w:shd w:fill="F7F1E3" w:val="clear"/>
          </w:tcPr>
          <w:p>
            <w:r/>
            <w:r>
              <w:rPr>
                <w:sz w:val="20"/>
              </w:rPr>
              <w:t>Paper Sample Kit</w:t>
            </w:r>
          </w:p>
        </w:tc>
        <w:tc>
          <w:tcPr>
            <w:tcW w:type="dxa" w:w="5386"/>
            <w:shd w:fill="F7F1E3" w:val="clear"/>
          </w:tcPr>
          <w:p>
            <w:r/>
            <w:r>
              <w:rPr>
                <w:sz w:val="20"/>
              </w:rPr>
              <w:t>Collect from Darryl (Warehouse) on Day 1</w:t>
            </w:r>
          </w:p>
        </w:tc>
        <w:tc>
          <w:tcPr>
            <w:tcW w:type="dxa" w:w="1701"/>
            <w:shd w:fill="F7F1E3" w:val="clear"/>
          </w:tcPr>
          <w:p>
            <w:r/>
            <w:r>
              <w:rPr>
                <w:sz w:val="20"/>
              </w:rPr>
              <w:t>Day 1 pickup</w:t>
            </w:r>
          </w:p>
        </w:tc>
      </w:tr>
      <w:tr>
        <w:tc>
          <w:tcPr>
            <w:tcW w:type="dxa" w:w="2551"/>
          </w:tcPr>
          <w:p>
            <w:r/>
            <w:r>
              <w:rPr>
                <w:sz w:val="20"/>
              </w:rPr>
              <w:t>Building Access Badge</w:t>
            </w:r>
          </w:p>
        </w:tc>
        <w:tc>
          <w:tcPr>
            <w:tcW w:type="dxa" w:w="5386"/>
          </w:tcPr>
          <w:p>
            <w:r/>
            <w:r>
              <w:rPr>
                <w:sz w:val="20"/>
              </w:rPr>
              <w:t>Activate at Reception (NOT Dwight) — 8:45 AM, June 2</w:t>
            </w:r>
          </w:p>
        </w:tc>
        <w:tc>
          <w:tcPr>
            <w:tcW w:type="dxa" w:w="1701"/>
          </w:tcPr>
          <w:p>
            <w:r/>
            <w:r>
              <w:rPr>
                <w:sz w:val="20"/>
              </w:rPr>
              <w:t>Ready for activation</w:t>
            </w:r>
          </w:p>
        </w:tc>
      </w:tr>
      <w:tr>
        <w:tc>
          <w:tcPr>
            <w:tcW w:type="dxa" w:w="2551"/>
            <w:shd w:fill="F7F1E3" w:val="clear"/>
          </w:tcPr>
          <w:p>
            <w:r/>
            <w:r>
              <w:rPr>
                <w:sz w:val="20"/>
              </w:rPr>
              <w:t>Parking Pass (Lot C)</w:t>
            </w:r>
          </w:p>
        </w:tc>
        <w:tc>
          <w:tcPr>
            <w:tcW w:type="dxa" w:w="5386"/>
            <w:shd w:fill="F7F1E3" w:val="clear"/>
          </w:tcPr>
          <w:p>
            <w:r/>
            <w:r>
              <w:rPr>
                <w:sz w:val="20"/>
              </w:rPr>
              <w:t>Dwight manages waitlist (ETA 4–6 weeks)</w:t>
            </w:r>
          </w:p>
        </w:tc>
        <w:tc>
          <w:tcPr>
            <w:tcW w:type="dxa" w:w="1701"/>
            <w:shd w:fill="F7F1E3" w:val="clear"/>
          </w:tcPr>
          <w:p>
            <w:r/>
            <w:r>
              <w:rPr>
                <w:sz w:val="20"/>
              </w:rPr>
              <w:t>Waitlisted</w:t>
            </w:r>
          </w:p>
        </w:tc>
      </w:tr>
    </w:tbl>
    <w:p>
      <w:pPr>
        <w:keepNext/>
        <w:spacing w:before="200" w:after="80"/>
      </w:pPr>
      <w:r>
        <w:rPr>
          <w:b/>
          <w:color w:val="0B2C4D"/>
          <w:sz w:val="28"/>
        </w:rPr>
        <w:t>Accounts &amp; Access</w:t>
      </w:r>
    </w:p>
    <w:tbl>
      <w:tblPr>
        <w:tblW w:type="auto" w:w="0"/>
        <w:tblLayout w:type="fixed"/>
        <w:tblLook w:firstColumn="1" w:firstRow="1" w:lastColumn="0" w:lastRow="0" w:noHBand="0" w:noVBand="1" w:val="04A0"/>
      </w:tblPr>
      <w:tblGrid>
        <w:gridCol w:w="3324"/>
        <w:gridCol w:w="3324"/>
        <w:gridCol w:w="3324"/>
      </w:tblGrid>
      <w:tr>
        <w:tc>
          <w:tcPr>
            <w:tcW w:type="dxa" w:w="2551"/>
            <w:shd w:fill="0B2C4D" w:val="clear"/>
          </w:tcPr>
          <w:p>
            <w:r/>
            <w:r>
              <w:rPr>
                <w:b/>
                <w:color w:val="FFFFFF"/>
                <w:sz w:val="20"/>
              </w:rPr>
              <w:t>System</w:t>
            </w:r>
          </w:p>
        </w:tc>
        <w:tc>
          <w:tcPr>
            <w:tcW w:type="dxa" w:w="5386"/>
            <w:shd w:fill="0B2C4D" w:val="clear"/>
          </w:tcPr>
          <w:p>
            <w:r/>
            <w:r>
              <w:rPr>
                <w:b/>
                <w:color w:val="FFFFFF"/>
                <w:sz w:val="20"/>
              </w:rPr>
              <w:t>Access / Notes</w:t>
            </w:r>
          </w:p>
        </w:tc>
        <w:tc>
          <w:tcPr>
            <w:tcW w:type="dxa" w:w="1701"/>
            <w:shd w:fill="0B2C4D" w:val="clear"/>
          </w:tcPr>
          <w:p>
            <w:r/>
            <w:r>
              <w:rPr>
                <w:b/>
                <w:color w:val="FFFFFF"/>
                <w:sz w:val="20"/>
              </w:rPr>
              <w:t>Status</w:t>
            </w:r>
          </w:p>
        </w:tc>
      </w:tr>
      <w:tr>
        <w:tc>
          <w:tcPr>
            <w:tcW w:type="dxa" w:w="2551"/>
          </w:tcPr>
          <w:p>
            <w:r/>
            <w:r>
              <w:rPr>
                <w:sz w:val="20"/>
              </w:rPr>
              <w:t>Active Directory</w:t>
            </w:r>
          </w:p>
        </w:tc>
        <w:tc>
          <w:tcPr>
            <w:tcW w:type="dxa" w:w="5386"/>
          </w:tcPr>
          <w:p>
            <w:r/>
            <w:r>
              <w:rPr>
                <w:sz w:val="20"/>
              </w:rPr>
              <w:t>Standard user (create first — all SSO downstream)</w:t>
            </w:r>
          </w:p>
        </w:tc>
        <w:tc>
          <w:tcPr>
            <w:tcW w:type="dxa" w:w="1701"/>
          </w:tcPr>
          <w:p>
            <w:r/>
            <w:r>
              <w:rPr>
                <w:sz w:val="20"/>
              </w:rPr>
              <w:t>Day 1</w:t>
            </w:r>
          </w:p>
        </w:tc>
      </w:tr>
      <w:tr>
        <w:tc>
          <w:tcPr>
            <w:tcW w:type="dxa" w:w="2551"/>
            <w:shd w:fill="F7F1E3" w:val="clear"/>
          </w:tcPr>
          <w:p>
            <w:r/>
            <w:r>
              <w:rPr>
                <w:sz w:val="20"/>
              </w:rPr>
              <w:t>Microsoft 365 / Outlook</w:t>
            </w:r>
          </w:p>
        </w:tc>
        <w:tc>
          <w:tcPr>
            <w:tcW w:type="dxa" w:w="5386"/>
            <w:shd w:fill="F7F1E3" w:val="clear"/>
          </w:tcPr>
          <w:p>
            <w:r/>
            <w:r>
              <w:rPr>
                <w:sz w:val="20"/>
              </w:rPr>
              <w:t>Corporate email + SharePoint (Sales folder)</w:t>
            </w:r>
          </w:p>
        </w:tc>
        <w:tc>
          <w:tcPr>
            <w:tcW w:type="dxa" w:w="1701"/>
            <w:shd w:fill="F7F1E3" w:val="clear"/>
          </w:tcPr>
          <w:p>
            <w:r/>
            <w:r>
              <w:rPr>
                <w:sz w:val="20"/>
              </w:rPr>
              <w:t>Auto with AD</w:t>
            </w:r>
          </w:p>
        </w:tc>
      </w:tr>
      <w:tr>
        <w:tc>
          <w:tcPr>
            <w:tcW w:type="dxa" w:w="2551"/>
          </w:tcPr>
          <w:p>
            <w:r/>
            <w:r>
              <w:rPr>
                <w:sz w:val="20"/>
              </w:rPr>
              <w:t>Salesforce CRM</w:t>
            </w:r>
          </w:p>
        </w:tc>
        <w:tc>
          <w:tcPr>
            <w:tcW w:type="dxa" w:w="5386"/>
          </w:tcPr>
          <w:p>
            <w:r/>
            <w:r>
              <w:rPr>
                <w:sz w:val="20"/>
              </w:rPr>
              <w:t>Sales Rep license — Scranton territory group</w:t>
            </w:r>
          </w:p>
        </w:tc>
        <w:tc>
          <w:tcPr>
            <w:tcW w:type="dxa" w:w="1701"/>
          </w:tcPr>
          <w:p>
            <w:r/>
            <w:r>
              <w:rPr>
                <w:sz w:val="20"/>
              </w:rPr>
              <w:t>Day 1</w:t>
            </w:r>
          </w:p>
        </w:tc>
      </w:tr>
      <w:tr>
        <w:tc>
          <w:tcPr>
            <w:tcW w:type="dxa" w:w="2551"/>
            <w:shd w:fill="F7F1E3" w:val="clear"/>
          </w:tcPr>
          <w:p>
            <w:r/>
            <w:r>
              <w:rPr>
                <w:sz w:val="20"/>
              </w:rPr>
              <w:t>Cisco AnyConnect VPN</w:t>
            </w:r>
          </w:p>
        </w:tc>
        <w:tc>
          <w:tcPr>
            <w:tcW w:type="dxa" w:w="5386"/>
            <w:shd w:fill="F7F1E3" w:val="clear"/>
          </w:tcPr>
          <w:p>
            <w:r/>
            <w:r>
              <w:rPr>
                <w:sz w:val="20"/>
              </w:rPr>
              <w:t>Standard remote access</w:t>
            </w:r>
          </w:p>
        </w:tc>
        <w:tc>
          <w:tcPr>
            <w:tcW w:type="dxa" w:w="1701"/>
            <w:shd w:fill="F7F1E3" w:val="clear"/>
          </w:tcPr>
          <w:p>
            <w:r/>
            <w:r>
              <w:rPr>
                <w:sz w:val="20"/>
              </w:rPr>
              <w:t>Auto with AD</w:t>
            </w:r>
          </w:p>
        </w:tc>
      </w:tr>
      <w:tr>
        <w:tc>
          <w:tcPr>
            <w:tcW w:type="dxa" w:w="2551"/>
          </w:tcPr>
          <w:p>
            <w:r/>
            <w:r>
              <w:rPr>
                <w:sz w:val="20"/>
              </w:rPr>
              <w:t>Concur (Expense Reporting)</w:t>
            </w:r>
          </w:p>
        </w:tc>
        <w:tc>
          <w:tcPr>
            <w:tcW w:type="dxa" w:w="5386"/>
          </w:tcPr>
          <w:p>
            <w:r/>
            <w:r>
              <w:rPr>
                <w:sz w:val="20"/>
              </w:rPr>
              <w:t>Standard; approver: Michael Scott</w:t>
            </w:r>
          </w:p>
        </w:tc>
        <w:tc>
          <w:tcPr>
            <w:tcW w:type="dxa" w:w="1701"/>
          </w:tcPr>
          <w:p>
            <w:r/>
            <w:r>
              <w:rPr>
                <w:sz w:val="20"/>
              </w:rPr>
              <w:t>Day 1</w:t>
            </w:r>
          </w:p>
        </w:tc>
      </w:tr>
      <w:tr>
        <w:tc>
          <w:tcPr>
            <w:tcW w:type="dxa" w:w="2551"/>
            <w:shd w:fill="F7F1E3" w:val="clear"/>
          </w:tcPr>
          <w:p>
            <w:r/>
            <w:r>
              <w:rPr>
                <w:sz w:val="20"/>
              </w:rPr>
              <w:t>Building Security System</w:t>
            </w:r>
          </w:p>
        </w:tc>
        <w:tc>
          <w:tcPr>
            <w:tcW w:type="dxa" w:w="5386"/>
            <w:shd w:fill="F7F1E3" w:val="clear"/>
          </w:tcPr>
          <w:p>
            <w:r/>
            <w:r>
              <w:rPr>
                <w:sz w:val="20"/>
              </w:rPr>
              <w:t>Badge activation at reception</w:t>
            </w:r>
          </w:p>
        </w:tc>
        <w:tc>
          <w:tcPr>
            <w:tcW w:type="dxa" w:w="1701"/>
            <w:shd w:fill="F7F1E3" w:val="clear"/>
          </w:tcPr>
          <w:p>
            <w:r/>
            <w:r>
              <w:rPr>
                <w:sz w:val="20"/>
              </w:rPr>
              <w:t>Day 1</w:t>
            </w:r>
          </w:p>
        </w:tc>
      </w:tr>
    </w:tbl>
    <w:p>
      <w:pPr>
        <w:keepNext/>
        <w:spacing w:before="200" w:after="80"/>
      </w:pPr>
      <w:r>
        <w:rPr>
          <w:b/>
          <w:color w:val="0B2C4D"/>
          <w:sz w:val="28"/>
        </w:rPr>
        <w:t>Day-1 Login Path (for Alex)</w:t>
      </w:r>
    </w:p>
    <w:p>
      <w:pPr>
        <w:spacing w:after="60"/>
        <w:ind w:left="227"/>
      </w:pPr>
      <w:r>
        <w:rPr>
          <w:b/>
          <w:color w:val="C9A227"/>
          <w:sz w:val="20"/>
        </w:rPr>
        <w:t xml:space="preserve">1. </w:t>
      </w:r>
      <w:r>
        <w:rPr>
          <w:sz w:val="20"/>
        </w:rPr>
        <w:t>Log in with username arivera and the temporary password in your sealed onboarding envelope. You will be prompted to change it immediately — choose something strong, and please do not write it on a sticky note attached to your monitor.</w:t>
      </w:r>
    </w:p>
    <w:p>
      <w:pPr>
        <w:spacing w:after="60"/>
        <w:ind w:left="227"/>
      </w:pPr>
      <w:r>
        <w:rPr>
          <w:b/>
          <w:color w:val="C9A227"/>
          <w:sz w:val="20"/>
        </w:rPr>
        <w:t xml:space="preserve">2. </w:t>
      </w:r>
      <w:r>
        <w:rPr>
          <w:sz w:val="20"/>
        </w:rPr>
        <w:t>Open Outlook and verify email at alex.rivera@dundermifflin.com. Send a test message to the IT helpdesk to confirm delivery.</w:t>
      </w:r>
    </w:p>
    <w:p>
      <w:pPr>
        <w:spacing w:after="60"/>
        <w:ind w:left="227"/>
      </w:pPr>
      <w:r>
        <w:rPr>
          <w:b/>
          <w:color w:val="C9A227"/>
          <w:sz w:val="20"/>
        </w:rPr>
        <w:t xml:space="preserve">3. </w:t>
      </w:r>
      <w:r>
        <w:rPr>
          <w:sz w:val="20"/>
        </w:rPr>
        <w:t>Launch Salesforce in your browser. Confirm you see the Scranton Sales territory. If you see Utica's accounts, call the helpdesk immediately.</w:t>
      </w:r>
    </w:p>
    <w:p>
      <w:pPr>
        <w:spacing w:after="60"/>
        <w:ind w:left="227"/>
      </w:pPr>
      <w:r>
        <w:rPr>
          <w:b/>
          <w:color w:val="C9A227"/>
          <w:sz w:val="20"/>
        </w:rPr>
        <w:t xml:space="preserve">4. </w:t>
      </w:r>
      <w:r>
        <w:rPr>
          <w:sz w:val="20"/>
        </w:rPr>
        <w:t>Connect to VPN (Cisco AnyConnect) using your AD credentials and confirm order-system access.</w:t>
      </w:r>
    </w:p>
    <w:p>
      <w:pPr>
        <w:spacing w:after="60"/>
        <w:ind w:left="227"/>
      </w:pPr>
      <w:r>
        <w:rPr>
          <w:b/>
          <w:color w:val="C9A227"/>
          <w:sz w:val="20"/>
        </w:rPr>
        <w:t xml:space="preserve">5. </w:t>
      </w:r>
      <w:r>
        <w:rPr>
          <w:sz w:val="20"/>
        </w:rPr>
        <w:t>Log into Concur and complete personal details for expense reimbursement.</w:t>
      </w:r>
    </w:p>
    <w:p>
      <w:pPr>
        <w:spacing w:after="60"/>
        <w:ind w:left="227"/>
      </w:pPr>
      <w:r>
        <w:rPr>
          <w:b/>
          <w:color w:val="C9A227"/>
          <w:sz w:val="20"/>
        </w:rPr>
        <w:t xml:space="preserve">6. </w:t>
      </w:r>
      <w:r>
        <w:rPr>
          <w:sz w:val="20"/>
        </w:rPr>
        <w:t>Collect your paper sample kit from the warehouse. Introduce yourself to Darryl — keep it brief and professional.</w:t>
      </w:r>
    </w:p>
    <w:p>
      <w:pPr>
        <w:spacing w:after="60"/>
        <w:ind w:left="227"/>
      </w:pPr>
      <w:r>
        <w:rPr>
          <w:b/>
          <w:color w:val="C9A227"/>
          <w:sz w:val="20"/>
        </w:rPr>
        <w:t xml:space="preserve">7. </w:t>
      </w:r>
      <w:r>
        <w:rPr>
          <w:sz w:val="20"/>
        </w:rPr>
        <w:t>Get your phone extension from Dwight. He will have a form. Fill out the form.</w:t>
      </w:r>
    </w:p>
    <w:p>
      <w:pPr>
        <w:keepNext/>
        <w:spacing w:before="200" w:after="80"/>
      </w:pPr>
      <w:r>
        <w:rPr>
          <w:b/>
          <w:color w:val="0B2C4D"/>
          <w:sz w:val="28"/>
        </w:rPr>
        <w:t>IT Pre-Flight Notes</w:t>
      </w:r>
    </w:p>
    <w:p>
      <w:pPr>
        <w:pStyle w:val="ListBullet"/>
        <w:spacing w:after="40"/>
      </w:pPr>
      <w:r>
        <w:rPr>
          <w:sz w:val="20"/>
        </w:rPr>
        <w:t>Hold supplier pricing sheet access until Week 3 — Michael Scott has a documented pattern of sharing this on Day 1.</w:t>
      </w:r>
    </w:p>
    <w:p>
      <w:pPr>
        <w:pStyle w:val="ListBullet"/>
        <w:spacing w:after="40"/>
      </w:pPr>
      <w:r>
        <w:rPr>
          <w:sz w:val="20"/>
        </w:rPr>
        <w:t>Confirm phone extension with Dwight one week before start date to avoid "conflicts".</w:t>
      </w:r>
    </w:p>
    <w:p>
      <w:pPr>
        <w:pStyle w:val="ListBullet"/>
        <w:spacing w:after="40"/>
      </w:pPr>
      <w:r>
        <w:rPr>
          <w:sz w:val="20"/>
        </w:rPr>
        <w:t>Coordinate badge activation with Reception for 8:45 AM on June 2.</w:t>
      </w:r>
    </w:p>
    <w:p>
      <w:pPr>
        <w:pStyle w:val="ListBullet"/>
        <w:spacing w:after="40"/>
      </w:pPr>
      <w:r>
        <w:rPr>
          <w:sz w:val="20"/>
        </w:rPr>
        <w:t>Annex door sticks — lift handle and pull. Include in Alex's welcome notes.</w:t>
      </w:r>
    </w:p>
    <w:p>
      <w:pPr>
        <w:pStyle w:val="ListBullet"/>
        <w:spacing w:after="40"/>
      </w:pPr>
      <w:r>
        <w:rPr>
          <w:sz w:val="20"/>
        </w:rPr>
        <w:t>Reminder to Dwight: no software installs from personal USB drives. (Standing policy.)</w:t>
      </w:r>
    </w:p>
    <w:p>
      <w:pPr>
        <w:keepNext/>
        <w:spacing w:before="240" w:after="120"/>
      </w:pPr>
      <w:r>
        <w:rPr>
          <w:b/>
          <w:color w:val="0B2C4D"/>
          <w:sz w:val="40"/>
        </w:rPr>
        <w:t>5. Onboarding Buddy</w:t>
      </w:r>
    </w:p>
    <w:tbl>
      <w:tblPr>
        <w:tblW w:type="auto" w:w="0"/>
        <w:tblLook w:firstColumn="1" w:firstRow="1" w:lastColumn="0" w:lastRow="0" w:noHBand="0" w:noVBand="1" w:val="04A0"/>
      </w:tblPr>
      <w:tblGrid>
        <w:gridCol w:w="9972"/>
      </w:tblGrid>
      <w:tr>
        <w:tc>
          <w:tcPr>
            <w:tcW w:type="dxa" w:w="9972"/>
            <w:shd w:fill="F7F1E3" w:val="clear"/>
          </w:tcPr>
          <w:p>
            <w:pPr>
              <w:spacing w:after="40"/>
            </w:pPr>
            <w:r>
              <w:rPr>
                <w:b/>
                <w:color w:val="0B2C4D"/>
                <w:sz w:val="26"/>
              </w:rPr>
              <w:t>PRIMARY BUDDY · Jim Halpert</w:t>
            </w:r>
          </w:p>
          <w:p>
            <w:pPr>
              <w:spacing w:after="120"/>
            </w:pPr>
            <w:r>
              <w:rPr>
                <w:i/>
                <w:color w:val="4A4A4A"/>
                <w:sz w:val="20"/>
              </w:rPr>
              <w:t>Senior Sales Representative · Sales floor, 6 years on the desk</w:t>
            </w:r>
          </w:p>
        </w:tc>
      </w:tr>
    </w:tbl>
    <w:p>
      <w:pPr>
        <w:spacing w:after="40"/>
      </w:pPr>
      <w:r>
        <w:rPr>
          <w:b/>
          <w:i w:val="0"/>
          <w:color w:val="0B2C4D"/>
          <w:sz w:val="22"/>
        </w:rPr>
        <w:t>Why Jim is the right match</w:t>
      </w:r>
    </w:p>
    <w:p>
      <w:pPr>
        <w:spacing w:after="160"/>
      </w:pPr>
      <w:r>
        <w:rPr>
          <w:b w:val="0"/>
          <w:i w:val="0"/>
          <w:sz w:val="22"/>
        </w:rPr>
        <w:t>Jim is mid-level enough to mentor without intimidating, shares Alex's love of improv comedy, and has an almost supernatural ability to help newcomers decode Michael Scott ("just go with it" is a Scranton survival skill Alex will need immediately). His warm, low-key temperament mirrors Alex's own methodical-but-warm personality.</w:t>
      </w:r>
    </w:p>
    <w:p>
      <w:pPr>
        <w:spacing w:after="40"/>
      </w:pPr>
      <w:r>
        <w:rPr>
          <w:b/>
          <w:i w:val="0"/>
          <w:color w:val="0B2C4D"/>
          <w:sz w:val="22"/>
        </w:rPr>
        <w:t>Week-1 brief for Jim</w:t>
      </w:r>
    </w:p>
    <w:p>
      <w:pPr>
        <w:pStyle w:val="ListBullet"/>
        <w:spacing w:after="40"/>
      </w:pPr>
      <w:r>
        <w:rPr>
          <w:sz w:val="20"/>
        </w:rPr>
        <w:t>Escort Alex through the full sales floor on Day 1 and make key introductions (including a tactful pre-brief on Dwight).</w:t>
      </w:r>
    </w:p>
    <w:p>
      <w:pPr>
        <w:pStyle w:val="ListBullet"/>
        <w:spacing w:after="40"/>
      </w:pPr>
      <w:r>
        <w:rPr>
          <w:sz w:val="20"/>
        </w:rPr>
        <w:t>Walk Alex through one complete sales call cycle — from paper order intake to client follow-up — using a real account as the example.</w:t>
      </w:r>
    </w:p>
    <w:p>
      <w:pPr>
        <w:pStyle w:val="ListBullet"/>
        <w:spacing w:after="40"/>
      </w:pPr>
      <w:r>
        <w:rPr>
          <w:sz w:val="20"/>
        </w:rPr>
        <w:t>Invite Alex to lunch at least twice in week 1; Day-1 lunch should be casual (break room or Cugino's).</w:t>
      </w:r>
    </w:p>
    <w:p>
      <w:pPr>
        <w:pStyle w:val="ListBullet"/>
        <w:spacing w:after="40"/>
      </w:pPr>
      <w:r>
        <w:rPr>
          <w:sz w:val="20"/>
        </w:rPr>
        <w:t>Flag Michael-related moments in real time with a quiet look-to-camera so Alex knows they're not alone.</w:t>
      </w:r>
    </w:p>
    <w:p>
      <w:pPr>
        <w:pStyle w:val="ListBullet"/>
        <w:spacing w:after="40"/>
      </w:pPr>
      <w:r>
        <w:rPr>
          <w:sz w:val="20"/>
        </w:rPr>
        <w:t>Lead with improv comedy as an icebreaker — it's a fast bridge to the rest of the floor.</w:t>
      </w:r>
    </w:p>
    <w:p>
      <w:pPr>
        <w:spacing w:after="40"/>
      </w:pPr>
      <w:r>
        <w:rPr>
          <w:b/>
          <w:i w:val="0"/>
          <w:color w:val="0B2C4D"/>
          <w:sz w:val="22"/>
        </w:rPr>
        <w:t>Suggested Day-1 plan</w:t>
      </w:r>
    </w:p>
    <w:p>
      <w:pPr>
        <w:pStyle w:val="ListBullet"/>
        <w:spacing w:after="40"/>
      </w:pPr>
      <w:r>
        <w:rPr>
          <w:sz w:val="20"/>
        </w:rPr>
        <w:t>Morning (9:30 AM): Office walkthrough led by Jim — Sales, Accounting, Reception. Frame the annex visit (Toby, Ryan) as a quick HR hello.</w:t>
      </w:r>
    </w:p>
    <w:p>
      <w:pPr>
        <w:pStyle w:val="ListBullet"/>
        <w:spacing w:after="40"/>
      </w:pPr>
      <w:r>
        <w:rPr>
          <w:sz w:val="20"/>
        </w:rPr>
        <w:t>Lunch: Break-room with Jim, Phyllis, and Oscar — small, warm, cross-departmental. Kevin may join uninvited; this is fine and often delightful. Label Alex's lunch bag.</w:t>
      </w:r>
    </w:p>
    <w:p>
      <w:pPr>
        <w:pStyle w:val="ListBullet"/>
        <w:spacing w:after="40"/>
      </w:pPr>
      <w:r>
        <w:rPr>
          <w:sz w:val="20"/>
        </w:rPr>
        <w:t>Afternoon: Light paper-product trivia with two other reps — on-theme for Alex's origami interest and a low-pressure way to absorb product knowledge.</w:t>
      </w:r>
    </w:p>
    <w:p>
      <w:pPr>
        <w:spacing w:after="40"/>
      </w:pPr>
      <w:r>
        <w:rPr>
          <w:b/>
          <w:i w:val="0"/>
          <w:color w:val="0B2C4D"/>
          <w:sz w:val="22"/>
        </w:rPr>
        <w:t>Backup buddy</w:t>
      </w:r>
    </w:p>
    <w:p>
      <w:pPr>
        <w:spacing w:after="200"/>
      </w:pPr>
      <w:r>
        <w:rPr>
          <w:b w:val="0"/>
          <w:i w:val="0"/>
          <w:sz w:val="22"/>
        </w:rPr>
        <w:t>Phyllis Vance (Sales Representative). Nurturing, patient, encyclopedic institutional knowledge of the building. Steps in seamlessly if Jim is unavailable — e.g. a Stamford callback, an Athlead 2.0 meeting, or an elaborate Dwight prank spiralling out of control.</w:t>
      </w:r>
    </w:p>
    <w:p>
      <w:pPr>
        <w:keepNext/>
        <w:spacing w:before="240" w:after="120"/>
      </w:pPr>
      <w:r>
        <w:rPr>
          <w:b/>
          <w:color w:val="0B2C4D"/>
          <w:sz w:val="40"/>
        </w:rPr>
        <w:t>6. Welcome Letter &amp; Day-1 Survival Guide</w:t>
      </w:r>
    </w:p>
    <w:p>
      <w:pPr>
        <w:keepNext/>
        <w:spacing w:before="120" w:after="80"/>
      </w:pPr>
      <w:r>
        <w:rPr>
          <w:b/>
          <w:color w:val="0B2C4D"/>
          <w:sz w:val="28"/>
        </w:rPr>
        <w:t>A Note from Michael Scott</w:t>
      </w:r>
    </w:p>
    <w:p>
      <w:pPr>
        <w:spacing w:after="120"/>
      </w:pPr>
      <w:r>
        <w:rPr>
          <w:i/>
          <w:sz w:val="22"/>
        </w:rPr>
        <w:t>Dear Alex,</w:t>
      </w:r>
    </w:p>
    <w:p>
      <w:pPr>
        <w:spacing w:after="120"/>
      </w:pPr>
      <w:r>
        <w:rPr>
          <w:i/>
          <w:sz w:val="22"/>
        </w:rPr>
        <w:t>Welcome to Dunder Mifflin Scranton! I'm Michael Scott, Regional Manager, and I just want to say — you're in the right place. Not everyone can walk into an office and immediately feel the electricity of potential mixed with the aroma of Kevin's chilli (pro tip: he will eventually make it; do not encourage him). But I have a feeling about you, Alex. Paper is in your blood now. Paper and dreams.</w:t>
      </w:r>
    </w:p>
    <w:p>
      <w:pPr>
        <w:spacing w:after="120"/>
      </w:pPr>
      <w:r>
        <w:rPr>
          <w:i/>
          <w:sz w:val="22"/>
        </w:rPr>
        <w:t>You're joining the Sales Division at the right time. These are exciting months for Dunder Mifflin. We're not just selling paper — we're selling promise. We're selling the possibility that every ream of 20-lb bond could change someone's quarterly results. As I like to say, sometimes I'll start a sentence and I don't even know where it's going. I just hope I find it along the way. And Alex, that's what this office is about: finding it together.</w:t>
      </w:r>
    </w:p>
    <w:p>
      <w:pPr>
        <w:spacing w:after="120"/>
      </w:pPr>
      <w:r>
        <w:rPr>
          <w:i/>
          <w:sz w:val="22"/>
        </w:rPr>
        <w:t>I'm thrilled about your background in origami. Frankly, it shows you have patience, precision, and an intimate relationship with paper — qualities I respect deeply. You'll fit right in here, especially during Pretzel Day (it's a whole thing, and yes, it's mandatory). Your improv interests also tell me you're ready for anything. Because let me tell you, working here requires the ability to laugh at yourself, roll with the chaos, and deliver numbers even when Jim's taken your chair again.</w:t>
      </w:r>
    </w:p>
    <w:p>
      <w:pPr>
        <w:spacing w:after="120"/>
      </w:pPr>
      <w:r>
        <w:rPr>
          <w:i/>
          <w:sz w:val="22"/>
        </w:rPr>
        <w:t>You'll report directly to me, and I pride myself on being a boss who is feared and loved in equal measure. I want people to be afraid of how much they love me. That's the Michael Scott guarantee. We have an incredible team, and we're going to make magic together. You're now part of something larger than yourself — something that might be great, or at minimum, unforgettable.</w:t>
      </w:r>
    </w:p>
    <w:p>
      <w:pPr>
        <w:spacing w:after="120"/>
      </w:pPr>
      <w:r>
        <w:rPr>
          <w:i/>
          <w:sz w:val="22"/>
        </w:rPr>
        <w:t>Welcome aboard, Alex. Let's crush this.</w:t>
      </w:r>
    </w:p>
    <w:p>
      <w:pPr>
        <w:spacing w:before="80" w:after="0"/>
      </w:pPr>
      <w:r>
        <w:rPr>
          <w:b/>
          <w:color w:val="0B2C4D"/>
          <w:sz w:val="22"/>
        </w:rPr>
        <w:t>— Michael Scott</w:t>
      </w:r>
    </w:p>
    <w:p>
      <w:pPr>
        <w:spacing w:after="200"/>
      </w:pPr>
      <w:r>
        <w:rPr>
          <w:i/>
          <w:color w:val="4A4A4A"/>
          <w:sz w:val="20"/>
        </w:rPr>
        <w:t>Regional Manager, Dunder Mifflin Scranton Branch</w:t>
      </w:r>
    </w:p>
    <w:p>
      <w:pPr>
        <w:keepNext/>
        <w:spacing w:before="120" w:after="80"/>
      </w:pPr>
      <w:r>
        <w:rPr>
          <w:b/>
          <w:color w:val="0B2C4D"/>
          <w:sz w:val="28"/>
        </w:rPr>
        <w:t>Day-1 Survival Tips</w:t>
      </w:r>
    </w:p>
    <w:p>
      <w:pPr>
        <w:pStyle w:val="ListBullet"/>
        <w:spacing w:after="60"/>
      </w:pPr>
      <w:r>
        <w:rPr>
          <w:b/>
          <w:color w:val="0B2C4D"/>
          <w:sz w:val="22"/>
        </w:rPr>
        <w:t xml:space="preserve">Pretzel Day is non-negotiable. </w:t>
      </w:r>
      <w:r>
        <w:rPr>
          <w:sz w:val="20"/>
        </w:rPr>
        <w:t>It happens once a year (a cart sets up in the annex). You will hear about it. You will be offered at least three pretzels. Eat them. It is not really about the pretzels; it is about community.</w:t>
      </w:r>
    </w:p>
    <w:p>
      <w:pPr>
        <w:pStyle w:val="ListBullet"/>
        <w:spacing w:after="60"/>
      </w:pPr>
      <w:r>
        <w:rPr>
          <w:b/>
          <w:color w:val="0B2C4D"/>
          <w:sz w:val="22"/>
        </w:rPr>
        <w:t xml:space="preserve">The annex door sticks. </w:t>
      </w:r>
      <w:r>
        <w:rPr>
          <w:sz w:val="20"/>
        </w:rPr>
        <w:t>Lift the handle and pull with authority. Dwight (Assistant to the Regional Manager, drives a Beetle, carries a tire pump) will be quietly pleased that you know this.</w:t>
      </w:r>
    </w:p>
    <w:p>
      <w:pPr>
        <w:pStyle w:val="ListBullet"/>
        <w:spacing w:after="60"/>
      </w:pPr>
      <w:r>
        <w:rPr>
          <w:b/>
          <w:color w:val="0B2C4D"/>
          <w:sz w:val="22"/>
        </w:rPr>
        <w:t xml:space="preserve">Bowling league has an opening. </w:t>
      </w:r>
      <w:r>
        <w:rPr>
          <w:sz w:val="20"/>
        </w:rPr>
        <w:t>The company team plays Thursday nights at Pin Pals. Jim, Pam, and Kevin usually play — fair warning, Kevin uses bumpers. Mention it to Jim on Day 1.</w:t>
      </w:r>
    </w:p>
    <w:p>
      <w:pPr>
        <w:pStyle w:val="ListBullet"/>
        <w:spacing w:after="60"/>
      </w:pPr>
      <w:r>
        <w:rPr>
          <w:b/>
          <w:color w:val="0B2C4D"/>
          <w:sz w:val="22"/>
        </w:rPr>
        <w:t xml:space="preserve">Café Disco is real (and possibly structurally questionable). </w:t>
      </w:r>
      <w:r>
        <w:rPr>
          <w:sz w:val="20"/>
        </w:rPr>
        <w:t>The basement holds a disco. Hours vary. Check with someone who looks like they have actually been there.</w:t>
      </w:r>
    </w:p>
    <w:p>
      <w:pPr>
        <w:pStyle w:val="ListBullet"/>
        <w:spacing w:after="60"/>
      </w:pPr>
      <w:r>
        <w:rPr>
          <w:b/>
          <w:color w:val="0B2C4D"/>
          <w:sz w:val="22"/>
        </w:rPr>
        <w:t xml:space="preserve">Channel your sudoku brain on expense reports. </w:t>
      </w:r>
      <w:r>
        <w:rPr>
          <w:sz w:val="20"/>
        </w:rPr>
        <w:t>Do not adopt Kevin's filing philosophy (it involves a lot of hope). Use the Concur template. Dwight audits.</w:t>
      </w:r>
    </w:p>
    <w:p>
      <w:pPr>
        <w:pStyle w:val="ListBullet"/>
        <w:spacing w:after="60"/>
      </w:pPr>
      <w:r>
        <w:rPr>
          <w:b/>
          <w:color w:val="0B2C4D"/>
          <w:sz w:val="22"/>
        </w:rPr>
        <w:t xml:space="preserve">Thursday 9 AM sales meeting. </w:t>
      </w:r>
      <w:r>
        <w:rPr>
          <w:sz w:val="20"/>
        </w:rPr>
        <w:t>Bring your own chair if Jim has taken yours. It is not personal; it is a tradition.</w:t>
      </w:r>
    </w:p>
    <w:p>
      <w:pPr>
        <w:pStyle w:val="ListBullet"/>
        <w:spacing w:after="60"/>
      </w:pPr>
      <w:r>
        <w:rPr>
          <w:b/>
          <w:color w:val="0B2C4D"/>
          <w:sz w:val="22"/>
        </w:rPr>
        <w:t xml:space="preserve">Your hobbies are an asset. </w:t>
      </w:r>
      <w:r>
        <w:rPr>
          <w:sz w:val="20"/>
        </w:rPr>
        <w:t>Origami and paper sales is, objectively, a beautiful combination. Bring binoculars on a Tuesday and you will make a birdwatching friend faster than expected.</w:t>
      </w:r>
    </w:p>
    <w:p>
      <w:pPr>
        <w:keepNext/>
        <w:spacing w:before="160" w:after="80"/>
      </w:pPr>
      <w:r>
        <w:rPr>
          <w:b/>
          <w:color w:val="0B2C4D"/>
          <w:sz w:val="28"/>
        </w:rPr>
        <w:t>Scranton Starter Pack — People &amp; Protocols</w:t>
      </w:r>
    </w:p>
    <w:tbl>
      <w:tblPr>
        <w:tblW w:type="auto" w:w="0"/>
        <w:tblLayout w:type="fixed"/>
        <w:tblLook w:firstColumn="1" w:firstRow="1" w:lastColumn="0" w:lastRow="0" w:noHBand="0" w:noVBand="1" w:val="04A0"/>
      </w:tblPr>
      <w:tblGrid>
        <w:gridCol w:w="4986"/>
        <w:gridCol w:w="4986"/>
      </w:tblGrid>
      <w:tr>
        <w:tc>
          <w:tcPr>
            <w:tcW w:type="dxa" w:w="2551"/>
          </w:tcPr>
          <w:p>
            <w:r/>
            <w:r>
              <w:rPr>
                <w:b/>
                <w:color w:val="0B2C4D"/>
                <w:sz w:val="20"/>
              </w:rPr>
              <w:t>Michael Scott</w:t>
            </w:r>
          </w:p>
        </w:tc>
        <w:tc>
          <w:tcPr>
            <w:tcW w:type="dxa" w:w="7087"/>
          </w:tcPr>
          <w:p>
            <w:r/>
            <w:r>
              <w:rPr>
                <w:sz w:val="20"/>
              </w:rPr>
              <w:t>Your boss. Will tell you something extremely personal within the first hour. It is not a question of if, it is a question of when.</w:t>
            </w:r>
          </w:p>
        </w:tc>
      </w:tr>
      <w:tr>
        <w:tc>
          <w:tcPr>
            <w:tcW w:type="dxa" w:w="2551"/>
          </w:tcPr>
          <w:p>
            <w:r/>
            <w:r>
              <w:rPr>
                <w:b/>
                <w:color w:val="0B2C4D"/>
                <w:sz w:val="20"/>
              </w:rPr>
              <w:t>Dwight K. Schrute</w:t>
            </w:r>
          </w:p>
        </w:tc>
        <w:tc>
          <w:tcPr>
            <w:tcW w:type="dxa" w:w="7087"/>
          </w:tcPr>
          <w:p>
            <w:r/>
            <w:r>
              <w:rPr>
                <w:sz w:val="20"/>
              </w:rPr>
              <w:t>Assistant to the Regional Manager. Will assess you the moment you arrive. Pass the assessment by taking him seriously and knowing the difference between a ream and a case.</w:t>
            </w:r>
          </w:p>
        </w:tc>
      </w:tr>
      <w:tr>
        <w:tc>
          <w:tcPr>
            <w:tcW w:type="dxa" w:w="2551"/>
          </w:tcPr>
          <w:p>
            <w:r/>
            <w:r>
              <w:rPr>
                <w:b/>
                <w:color w:val="0B2C4D"/>
                <w:sz w:val="20"/>
              </w:rPr>
              <w:t>Jim Halpert</w:t>
            </w:r>
          </w:p>
        </w:tc>
        <w:tc>
          <w:tcPr>
            <w:tcW w:type="dxa" w:w="7087"/>
          </w:tcPr>
          <w:p>
            <w:r/>
            <w:r>
              <w:rPr>
                <w:sz w:val="20"/>
              </w:rPr>
              <w:t>Your buddy. Look to him for translation services.</w:t>
            </w:r>
          </w:p>
        </w:tc>
      </w:tr>
      <w:tr>
        <w:tc>
          <w:tcPr>
            <w:tcW w:type="dxa" w:w="2551"/>
          </w:tcPr>
          <w:p>
            <w:r/>
            <w:r>
              <w:rPr>
                <w:b/>
                <w:color w:val="0B2C4D"/>
                <w:sz w:val="20"/>
              </w:rPr>
              <w:t>Pam Beesly</w:t>
            </w:r>
          </w:p>
        </w:tc>
        <w:tc>
          <w:tcPr>
            <w:tcW w:type="dxa" w:w="7087"/>
          </w:tcPr>
          <w:p>
            <w:r/>
            <w:r>
              <w:rPr>
                <w:sz w:val="20"/>
              </w:rPr>
              <w:t>Reception. Knows everyone. Activates your badge. Be kind — she runs more of this office than the org chart admits.</w:t>
            </w:r>
          </w:p>
        </w:tc>
      </w:tr>
      <w:tr>
        <w:tc>
          <w:tcPr>
            <w:tcW w:type="dxa" w:w="2551"/>
          </w:tcPr>
          <w:p>
            <w:r/>
            <w:r>
              <w:rPr>
                <w:b/>
                <w:color w:val="0B2C4D"/>
                <w:sz w:val="20"/>
              </w:rPr>
              <w:t>Darryl Philbin</w:t>
            </w:r>
          </w:p>
        </w:tc>
        <w:tc>
          <w:tcPr>
            <w:tcW w:type="dxa" w:w="7087"/>
          </w:tcPr>
          <w:p>
            <w:r/>
            <w:r>
              <w:rPr>
                <w:sz w:val="20"/>
              </w:rPr>
              <w:t>Runs the warehouse with absolutely earned authority. Be respectful. Do not antagonise him.</w:t>
            </w:r>
          </w:p>
        </w:tc>
      </w:tr>
      <w:tr>
        <w:tc>
          <w:tcPr>
            <w:tcW w:type="dxa" w:w="2551"/>
          </w:tcPr>
          <w:p>
            <w:r/>
            <w:r>
              <w:rPr>
                <w:b/>
                <w:color w:val="0B2C4D"/>
                <w:sz w:val="20"/>
              </w:rPr>
              <w:t>Toby Flenderson</w:t>
            </w:r>
          </w:p>
        </w:tc>
        <w:tc>
          <w:tcPr>
            <w:tcW w:type="dxa" w:w="7087"/>
          </w:tcPr>
          <w:p>
            <w:r/>
            <w:r>
              <w:rPr>
                <w:sz w:val="20"/>
              </w:rPr>
              <w:t>HR, in the annex. Despite the running joke, he is genuinely there to help.</w:t>
            </w:r>
          </w:p>
        </w:tc>
      </w:tr>
      <w:tr>
        <w:tc>
          <w:tcPr>
            <w:tcW w:type="dxa" w:w="2551"/>
          </w:tcPr>
          <w:p>
            <w:r/>
            <w:r>
              <w:rPr>
                <w:b/>
                <w:color w:val="0B2C4D"/>
                <w:sz w:val="20"/>
              </w:rPr>
              <w:t>Kevin Malone</w:t>
            </w:r>
          </w:p>
        </w:tc>
        <w:tc>
          <w:tcPr>
            <w:tcW w:type="dxa" w:w="7087"/>
          </w:tcPr>
          <w:p>
            <w:r/>
            <w:r>
              <w:rPr>
                <w:sz w:val="20"/>
              </w:rPr>
              <w:t>Accounting. Means well. Do not let him file anything important.</w:t>
            </w:r>
          </w:p>
        </w:tc>
      </w:tr>
    </w:tbl>
    <w:p>
      <w:pPr>
        <w:spacing w:before="360"/>
        <w:pBdr>
          <w:bottom w:val="single" w:sz="8" w:space="1" w:color="C9A227"/>
        </w:pBdr>
      </w:pPr>
    </w:p>
    <w:p>
      <w:pPr>
        <w:spacing w:before="80"/>
        <w:jc w:val="center"/>
      </w:pPr>
      <w:r>
        <w:rPr>
          <w:i/>
          <w:color w:val="4A4A4A"/>
          <w:sz w:val="18"/>
        </w:rPr>
        <w:t>Prepared by the Onboarding Team · Dunder Mifflin Scranton Branch · Questions? Toby Flenderson, HR Annex.</w:t>
      </w:r>
    </w:p>
    <w:p>
      <w:pPr>
        <w:spacing w:before="0"/>
        <w:jc w:val="center"/>
      </w:pPr>
      <w:r>
        <w:rPr>
          <w:b/>
          <w:i/>
          <w:color w:val="0B2C4D"/>
          <w:sz w:val="18"/>
        </w:rPr>
        <w:t>"Limitless paper in a paperless world."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A4A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