
<file path=[Content_Types].xml><?xml version="1.0" encoding="utf-8"?>
<Types xmlns="http://schemas.openxmlformats.org/package/2006/content-types">
  <Default ContentType="application/vnd.openxmlformats-officedocument.spreadsheetml.sheet" Extension="xlsx"/>
  <Default ContentType="image/jpeg" Extension="jpg"/>
  <Default ContentType="image/png" Extension="png"/>
  <Default ContentType="application/vnd.openxmlformats-package.relationships+xml" Extension="rels"/>
  <Default ContentType="application/xml" Extension="xml"/>
  <Override ContentType="application/vnd.openxmlformats-officedocument.theme+xml" PartName="/word/theme/theme1.xml"/>
  <Override ContentType="application/vnd.openxmlformats-officedocument.wordprocessingml.settings+xml" PartName="/word/settings.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package.core-properties+xml" PartName="/docProps/core.xml"/>
  <Override ContentType="application/vnd.openxmlformats-officedocument.wordprocessingml.fontTable+xml" PartName="/word/fontTable.xml"/>
  <Override ContentType="application/vnd.openxmlformats-officedocument.drawingml.chart+xml" PartName="/word/charts/chart1.xml"/>
  <Override ContentType="application/vnd.openxmlformats-officedocument.wordprocessingml.comments+xml" PartName="/word/comments.xml"/>
  <Override ContentType="application/vnd.openxmlformats-officedocument.wordprocessingml.styles+xml" PartName="/word/styles.xml"/>
</Types>
</file>

<file path=_rels/.rels><?xml version="1.0" encoding="UTF-8" standalone="yes"?><Relationships xmlns="http://schemas.openxmlformats.org/package/2006/relationships"><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ind w:firstLine="0"/>
        <w:jc w:val="center"/>
        <w:rPr>
          <w:rFonts w:ascii="Arial" w:cs="Arial" w:eastAsia="Arial" w:hAnsi="Arial"/>
        </w:rPr>
      </w:pPr>
      <w:r w:rsidDel="00000000" w:rsidR="00000000" w:rsidRPr="00000000">
        <w:rPr>
          <w:rFonts w:ascii="Arial" w:cs="Arial" w:eastAsia="Arial" w:hAnsi="Arial"/>
          <w:rtl w:val="0"/>
        </w:rPr>
        <w:t xml:space="preserve">INSTITUTO FEDERAL DE EDUCAÇÃO CIENCIAS E TECNOLOGIAS – IFPI CAMPUS ANGICAL</w:t>
      </w:r>
    </w:p>
    <w:p w:rsidR="00000000" w:rsidDel="00000000" w:rsidP="00000000" w:rsidRDefault="00000000" w:rsidRPr="00000000" w14:paraId="00000001">
      <w:pPr>
        <w:ind w:firstLine="0"/>
        <w:jc w:val="center"/>
        <w:rPr>
          <w:rFonts w:ascii="Arial" w:cs="Arial" w:eastAsia="Arial" w:hAnsi="Arial"/>
        </w:rPr>
      </w:pPr>
      <w:r w:rsidDel="00000000" w:rsidR="00000000" w:rsidRPr="00000000">
        <w:rPr>
          <w:rFonts w:ascii="Arial" w:cs="Arial" w:eastAsia="Arial" w:hAnsi="Arial"/>
          <w:rtl w:val="0"/>
        </w:rPr>
        <w:t xml:space="preserve">RAIMUNDO NONATO DAS CHAGAS E SILVA JÚNIOR</w:t>
      </w:r>
    </w:p>
    <w:p w:rsidR="00000000" w:rsidDel="00000000" w:rsidP="00000000" w:rsidRDefault="00000000" w:rsidRPr="00000000" w14:paraId="00000002">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3">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4">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5">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6">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7">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8">
      <w:pPr>
        <w:ind w:firstLine="0"/>
        <w:rPr>
          <w:rFonts w:ascii="Arial" w:cs="Arial" w:eastAsia="Arial" w:hAnsi="Arial"/>
        </w:rPr>
      </w:pPr>
      <w:r w:rsidDel="00000000" w:rsidR="00000000" w:rsidRPr="00000000">
        <w:rPr>
          <w:rtl w:val="0"/>
        </w:rPr>
      </w:r>
    </w:p>
    <w:p w:rsidR="00000000" w:rsidDel="00000000" w:rsidP="00000000" w:rsidRDefault="00000000" w:rsidRPr="00000000" w14:paraId="00000009">
      <w:pPr>
        <w:ind w:firstLine="0"/>
        <w:jc w:val="center"/>
        <w:rPr>
          <w:rFonts w:ascii="Arial" w:cs="Arial" w:eastAsia="Arial" w:hAnsi="Arial"/>
          <w:b w:val="1"/>
        </w:rPr>
      </w:pPr>
      <w:r w:rsidDel="00000000" w:rsidR="00000000" w:rsidRPr="00000000">
        <w:rPr>
          <w:rFonts w:ascii="Arial" w:cs="Arial" w:eastAsia="Arial" w:hAnsi="Arial"/>
          <w:b w:val="1"/>
          <w:rtl w:val="0"/>
        </w:rPr>
        <w:t xml:space="preserve">A UTILIZAÇÃO DO JOGO YOTÉ COMO OBJETO DE ESTUDO E ENSINO DE  PROBABILIDADE </w:t>
      </w:r>
    </w:p>
    <w:p w:rsidR="00000000" w:rsidDel="00000000" w:rsidP="00000000" w:rsidRDefault="00000000" w:rsidRPr="00000000" w14:paraId="0000000A">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B">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C">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D">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E">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F">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10">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11">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12">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13">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14">
      <w:pPr>
        <w:ind w:firstLine="0"/>
        <w:jc w:val="center"/>
        <w:rPr>
          <w:rFonts w:ascii="Arial" w:cs="Arial" w:eastAsia="Arial" w:hAnsi="Arial"/>
        </w:rPr>
      </w:pPr>
      <w:r w:rsidDel="00000000" w:rsidR="00000000" w:rsidRPr="00000000">
        <w:rPr>
          <w:rFonts w:ascii="Arial" w:cs="Arial" w:eastAsia="Arial" w:hAnsi="Arial"/>
          <w:rtl w:val="0"/>
        </w:rPr>
        <w:t xml:space="preserve">ANGICAL DO PIAUÍ/2019</w:t>
      </w:r>
    </w:p>
    <w:p w:rsidR="00000000" w:rsidDel="00000000" w:rsidP="00000000" w:rsidRDefault="00000000" w:rsidRPr="00000000" w14:paraId="00000015">
      <w:pPr>
        <w:ind w:firstLine="0"/>
        <w:rPr>
          <w:rFonts w:ascii="Arial" w:cs="Arial" w:eastAsia="Arial" w:hAnsi="Arial"/>
        </w:rPr>
      </w:pPr>
      <w:r w:rsidDel="00000000" w:rsidR="00000000" w:rsidRPr="00000000">
        <w:rPr>
          <w:rFonts w:ascii="Arial" w:cs="Arial" w:eastAsia="Arial" w:hAnsi="Arial"/>
          <w:b w:val="1"/>
          <w:rtl w:val="0"/>
        </w:rPr>
        <w:t xml:space="preserve">A UTILIZAÇÃO DO JOGO YOTÉ COMO OBJETO DE ESTUDO E ENSINO DE  PROBABILIDADE </w:t>
      </w:r>
      <w:r w:rsidDel="00000000" w:rsidR="00000000" w:rsidRPr="00000000">
        <w:rPr>
          <w:rtl w:val="0"/>
        </w:rPr>
      </w:r>
    </w:p>
    <w:p w:rsidR="00000000" w:rsidDel="00000000" w:rsidP="00000000" w:rsidRDefault="00000000" w:rsidRPr="00000000" w14:paraId="00000016">
      <w:pPr>
        <w:ind w:firstLine="0"/>
        <w:rPr>
          <w:rFonts w:ascii="Arial" w:cs="Arial" w:eastAsia="Arial" w:hAnsi="Arial"/>
          <w:b w:val="1"/>
        </w:rPr>
      </w:pPr>
      <w:r w:rsidDel="00000000" w:rsidR="00000000" w:rsidRPr="00000000">
        <w:rPr>
          <w:rFonts w:ascii="Arial" w:cs="Arial" w:eastAsia="Arial" w:hAnsi="Arial"/>
          <w:b w:val="1"/>
          <w:rtl w:val="0"/>
        </w:rPr>
        <w:t xml:space="preserve">RESUMO</w:t>
      </w:r>
    </w:p>
    <w:p w:rsidR="00000000" w:rsidDel="00000000" w:rsidP="00000000" w:rsidRDefault="00000000" w:rsidRPr="00000000" w14:paraId="00000017">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18">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19">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1A">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1B">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1C">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1D">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1E">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1F">
      <w:pPr>
        <w:ind w:firstLine="0"/>
        <w:rPr>
          <w:rFonts w:ascii="Arial" w:cs="Arial" w:eastAsia="Arial" w:hAnsi="Arial"/>
          <w:b w:val="1"/>
        </w:rPr>
      </w:pPr>
      <w:r w:rsidDel="00000000" w:rsidR="00000000" w:rsidRPr="00000000">
        <w:rPr>
          <w:rFonts w:ascii="Arial" w:cs="Arial" w:eastAsia="Arial" w:hAnsi="Arial"/>
          <w:b w:val="1"/>
          <w:rtl w:val="0"/>
        </w:rPr>
        <w:t xml:space="preserve">ABSTRACT</w:t>
      </w:r>
    </w:p>
    <w:p w:rsidR="00000000" w:rsidDel="00000000" w:rsidP="00000000" w:rsidRDefault="00000000" w:rsidRPr="00000000" w14:paraId="00000020">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21">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22">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23">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24">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25">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26">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27">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28">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29">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2A">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2B">
      <w:pPr>
        <w:ind w:firstLine="0"/>
        <w:rPr>
          <w:rFonts w:ascii="Arial" w:cs="Arial" w:eastAsia="Arial" w:hAnsi="Arial"/>
          <w:b w:val="1"/>
        </w:rPr>
      </w:pPr>
      <w:r w:rsidDel="00000000" w:rsidR="00000000" w:rsidRPr="00000000">
        <w:rPr>
          <w:rFonts w:ascii="Arial" w:cs="Arial" w:eastAsia="Arial" w:hAnsi="Arial"/>
          <w:b w:val="1"/>
          <w:rtl w:val="0"/>
        </w:rPr>
        <w:t xml:space="preserve">1 INTRODUÇÃO</w:t>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No contexto educacional a matemática ganha o título de uma das disciplinas mais difíceis do currículo escolar brasileiro, podemos perceber essa aparente falta de intimidade com a disciplina nos resultados do PISA 2015 em matemática, dos nossos jovens da educação básica. Segundo a Organização para a Cooperação e Desenvolvimento Econômico (OCDE) que lançou o Programa Internacional de Avaliação de Estudantes (PISA) em 1997, um jovem letrado em matemática é capaz de formular, interpretar e empregar a matemática em diferentes contextos, e não somente atingir um mínimo de conhecimentos técnicos e habilidades, tendo em vista tal característica pode-se perceber que poucos alunos brasileiros atingiram esse patamar. Segundo o PISA (2015);</w:t>
      </w:r>
    </w:p>
    <w:p w:rsidR="00000000" w:rsidDel="00000000" w:rsidP="00000000" w:rsidRDefault="00000000" w:rsidRPr="00000000" w14:paraId="0000002D">
      <w:pPr>
        <w:spacing w:line="276" w:lineRule="auto"/>
        <w:ind w:left="226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 desempenho médio dos estudantes em matemática no PISA 2015 foi 377, inferior ao desempenho observado em 2012 (389). Além disso, cerca de 70% deles se situaram abaixo do nível 2 na escala de proficiência do PISA, que varia do nível 1 (menor proficiência) ao nível 6 (maior proficiência).</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Os jogos aplicados ao ensino de matemática podem ser vistos como uma ferramenta de aplicação portátil dos conteúdos matemáticos ensinados em aula.  Em alguns jogos suas as regras e modos de jogar são representações de situações do cotidiano, pois foram baseados nelas, permitindo ao aluno aplicar os mesmos conhecimentos exigidos no dia-a-dia, é o caso do Yoté, um jogo africano de tabuleiro que tem características inspiradas na cultura do Senegal, seu país de origem, como, o trabalho e relações sociais presentes naquele país, afinal este foi criado em uma época em que as pessoas daquele pais viviam apenas da agricultura e do pastoreio e isso pode ser percebido no modo de jogar que dar a ideia de semear e colher. Podemos perceber nesse jogo uma semelhança com o conhecido jogo de damas e xadrez, jogos que demandam um ampliado uso do raciocínio logico estratégico, o jogador observa seu adversário e elabora estratégias para tentar prever as jogadas do outro baseado nas decisões tomadas durante o jogo, neste caso os jogadores fazem uso de noções de probabilidade para analisar e combater a estratégia do adversário, da mesma forma é possível perceber tais conceitos no Yoté. </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Nesse sentido o Yoté pode se caracterizar como base de aplicação desse conteúdo, assim pondo em prática alguns objetivos previstos nos PCNs (2008) como, expressar-se com clareza, utilizando a linguagem matemática; produzir textos analíticos, fazendo uso da linguagem matemática; compreender e emitir juízos próprios de forma analítica e crítica, posicionando-se com argumentação clara e consistente; compreender a Matemática como parte integrante da cultura contemporânea. </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Fonts w:ascii="Arial" w:cs="Arial" w:eastAsia="Arial" w:hAnsi="Arial"/>
          <w:rtl w:val="0"/>
        </w:rPr>
        <w:t xml:space="preserve">Tendo em vista tais características do presente objeto de pesquisa, este trabalho incumbir-se-á de responder ao seguinte questionamento: quais as possibilidades do jogo Yoté para o processo de ensino-aprendizagem de probabilidade? Para tal proposito se dará a realização desse estudo com objetivo de analisar o jogo Yoté e suas possibilidades no ensino e aplicação de conhecimentos de probabilidade, e de forma especifica </w:t>
      </w:r>
      <w:r w:rsidDel="00000000" w:rsidR="00000000" w:rsidRPr="00000000">
        <w:rPr>
          <w:rFonts w:ascii="Arial" w:cs="Arial" w:eastAsia="Arial" w:hAnsi="Arial"/>
          <w:color w:val="000000"/>
          <w:rtl w:val="0"/>
        </w:rPr>
        <w:t xml:space="preserve">destacar as vantagens e desvantagens da utilização do Yoté como ferramenta no ensino de probabilidade; descrever como o jogo pode ser usado no ensino e estudo de probabilidade, </w:t>
      </w:r>
    </w:p>
    <w:p w:rsidR="00000000" w:rsidDel="00000000" w:rsidP="00000000" w:rsidRDefault="00000000" w:rsidRPr="00000000" w14:paraId="00000031">
      <w:pPr>
        <w:ind w:firstLine="0"/>
        <w:rPr>
          <w:rFonts w:ascii="Arial" w:cs="Arial" w:eastAsia="Arial" w:hAnsi="Arial"/>
          <w:color w:val="ff0000"/>
        </w:rPr>
      </w:pPr>
      <w:r w:rsidDel="00000000" w:rsidR="00000000" w:rsidRPr="00000000">
        <w:rPr>
          <w:rFonts w:ascii="Arial" w:cs="Arial" w:eastAsia="Arial" w:hAnsi="Arial"/>
          <w:color w:val="ff0000"/>
          <w:rtl w:val="0"/>
        </w:rPr>
        <w:t xml:space="preserve">Apresentar um pouco do campo de pesquisa na introdução (ifpi, médio parnaiba, angical, alguns aspectos e dados.</w:t>
      </w:r>
    </w:p>
    <w:p w:rsidR="00000000" w:rsidDel="00000000" w:rsidP="00000000" w:rsidRDefault="00000000" w:rsidRPr="00000000" w14:paraId="00000032">
      <w:pPr>
        <w:ind w:firstLine="0"/>
        <w:rPr>
          <w:rFonts w:ascii="Arial" w:cs="Arial" w:eastAsia="Arial" w:hAnsi="Arial"/>
          <w:b w:val="1"/>
        </w:rPr>
      </w:pPr>
      <w:r w:rsidDel="00000000" w:rsidR="00000000" w:rsidRPr="00000000">
        <w:rPr>
          <w:rFonts w:ascii="Arial" w:cs="Arial" w:eastAsia="Arial" w:hAnsi="Arial"/>
          <w:b w:val="1"/>
          <w:rtl w:val="0"/>
        </w:rPr>
        <w:t xml:space="preserve">2 FUNDAMENTAÇÃO TEÓRICA</w:t>
      </w:r>
    </w:p>
    <w:p w:rsidR="00000000" w:rsidDel="00000000" w:rsidP="00000000" w:rsidRDefault="00000000" w:rsidRPr="00000000" w14:paraId="00000033">
      <w:pPr>
        <w:ind w:firstLine="0"/>
        <w:rPr>
          <w:rFonts w:ascii="Arial" w:cs="Arial" w:eastAsia="Arial" w:hAnsi="Arial"/>
          <w:b w:val="1"/>
        </w:rPr>
      </w:pPr>
      <w:r w:rsidDel="00000000" w:rsidR="00000000" w:rsidRPr="00000000">
        <w:rPr>
          <w:rFonts w:ascii="Arial" w:cs="Arial" w:eastAsia="Arial" w:hAnsi="Arial"/>
          <w:b w:val="1"/>
          <w:rtl w:val="0"/>
        </w:rPr>
        <w:t xml:space="preserve">2.1 O JOGO YOTÉ</w:t>
        <w:tab/>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O Yoté é um jogo de origem africana mais comum nas regiões do Senegal e Mali, é um jogo de tabuleiro, com 30 casas e 24 peças, é jogado por duas pessoas uma contra a outra. O modo de jogar se assemelha a colheita ao colocar e tirar as peças, é como se o jogador estivesse plantando e colhendo.</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Jogos de estratégia como o Yoté estão muito ligados às tradições na África, as táticas de jogo são repassados de geração para geração, de pai para filho, avô para neto, tio para sobrinho, e são tidos como verdadeiros segredos de família. As crianças são iniciadas no jogo assim que se mostram aptas ao desenvolvimento do raciocínio logico estratégico. Esse jogo geralmente é mais jogado por homens, em alguns lugares são usados inclusive para resolver conflitos entre eles. Assim como o futebol no Brasil, no Senegal o Yoté é tão popular que os homens fazem ate apostas baseadas nesse jogo.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3991595</wp:posOffset>
                </wp:positionH>
                <wp:positionV relativeFrom="paragraph">
                  <wp:posOffset>1225402</wp:posOffset>
                </wp:positionV>
                <wp:extent cx="1702435" cy="1640103"/>
                <wp:effectExtent b="0" l="0" r="0" t="0"/>
                <wp:wrapSquare wrapText="bothSides" distB="0" distT="0" distL="114300" distR="114300"/>
                <wp:docPr id="39" name=""/>
                <a:graphic>
                  <a:graphicData uri="http://schemas.microsoft.com/office/word/2010/wordprocessingGroup">
                    <wpg:wgp>
                      <wpg:cNvGrpSpPr/>
                      <wpg:grpSpPr>
                        <a:xfrm>
                          <a:off x="0" y="0"/>
                          <a:ext cx="1702435" cy="1640103"/>
                          <a:chOff x="0" y="0"/>
                          <a:chExt cx="1702435" cy="1640103"/>
                        </a:xfrm>
                      </wpg:grpSpPr>
                      <pic:pic>
                        <pic:nvPicPr>
                          <pic:cNvPr descr="C:\Users\Raimundo\AppData\Local\Microsoft\Windows\Temporary Internet Files\Content.Word\Yote-1.jpg" id="1" name="Imagem 1"/>
                          <pic:cNvPicPr>
                            <a:picLocks noChangeAspect="1"/>
                          </pic:cNvPicPr>
                        </pic:nvPicPr>
                        <pic:blipFill rotWithShape="1">
                          <a:blip cstate="print" r:embed="rId1">
                            <a:extLst>
                              <a:ext uri="{28A0092B-C50C-407E-A947-70E740481C1C}"/>
                            </a:extLst>
                          </a:blip>
                          <a:srcRect b="11509" l="3325" r="3836" t="8952"/>
                          <a:stretch/>
                        </pic:blipFill>
                        <pic:spPr bwMode="auto">
                          <a:xfrm>
                            <a:off x="0" y="0"/>
                            <a:ext cx="1701210" cy="1456661"/>
                          </a:xfrm>
                          <a:prstGeom prst="rect">
                            <a:avLst/>
                          </a:prstGeom>
                          <a:noFill/>
                          <a:ln>
                            <a:noFill/>
                          </a:ln>
                          <a:extLst>
                            <a:ext uri="{53640926-AAD7-44D8-BBD7-CCE9431645EC}"/>
                          </a:extLst>
                        </pic:spPr>
                      </pic:pic>
                      <wps:wsp>
                        <wps:cNvSpPr txBox="1"/>
                        <wps:cNvPr id="25" name="Caixa de texto 25"/>
                        <wps:spPr>
                          <a:xfrm>
                            <a:off x="0" y="1381658"/>
                            <a:ext cx="1702435" cy="258445"/>
                          </a:xfrm>
                          <a:prstGeom prst="rect">
                            <a:avLst/>
                          </a:prstGeom>
                          <a:solidFill>
                            <a:prstClr val="white"/>
                          </a:solidFill>
                          <a:ln>
                            <a:noFill/>
                          </a:ln>
                          <a:effectLst/>
                        </wps:spPr>
                        <wps:txbx>
                          <w:txbxContent>
                            <w:p w:rsidR="00322F4E" w:rsidDel="00000000" w:rsidP="00322F4E" w:rsidRDefault="00322F4E" w:rsidRPr="00322F4E" w14:paraId="623779F5" w14:textId="4D94931A">
                              <w:pPr>
                                <w:pStyle w:val="Legenda"/>
                                <w:ind w:firstLine="0"/>
                                <w:jc w:val="center"/>
                                <w:rPr>
                                  <w:rFonts w:ascii="Arial" w:cs="Arial" w:hAnsi="Arial"/>
                                  <w:noProof w:val="1"/>
                                  <w:color w:val="auto"/>
                                  <w:sz w:val="24"/>
                                  <w:szCs w:val="24"/>
                                </w:rPr>
                              </w:pPr>
                              <w:r w:rsidDel="00000000" w:rsidR="00000000" w:rsidRPr="00322F4E">
                                <w:rPr>
                                  <w:color w:val="auto"/>
                                </w:rPr>
                                <w:t xml:space="preserve">Figura </w:t>
                              </w:r>
                              <w:r w:rsidDel="00000000" w:rsidR="00000000" w:rsidRPr="00322F4E">
                                <w:rPr>
                                  <w:color w:val="auto"/>
                                </w:rPr>
                                <w:fldChar w:fldCharType="begin"/>
                              </w:r>
                              <w:r w:rsidDel="00000000" w:rsidR="00000000" w:rsidRPr="00322F4E">
                                <w:rPr>
                                  <w:color w:val="auto"/>
                                </w:rPr>
                                <w:instrText xml:space="preserve"> SEQ Figura \* ARABIC </w:instrText>
                              </w:r>
                              <w:r w:rsidDel="00000000" w:rsidR="00000000" w:rsidRPr="00322F4E">
                                <w:rPr>
                                  <w:color w:val="auto"/>
                                </w:rPr>
                                <w:fldChar w:fldCharType="separate"/>
                              </w:r>
                              <w:r w:rsidDel="00000000" w:rsidR="002100B5" w:rsidRPr="00000000">
                                <w:rPr>
                                  <w:noProof w:val="1"/>
                                  <w:color w:val="auto"/>
                                </w:rPr>
                                <w:t>1</w:t>
                              </w:r>
                              <w:r w:rsidDel="00000000" w:rsidR="00000000" w:rsidRPr="00322F4E">
                                <w:rPr>
                                  <w:color w:val="auto"/>
                                </w:rPr>
                                <w:fldChar w:fldCharType="end"/>
                              </w:r>
                              <w:r w:rsidDel="00000000" w:rsidR="00000000" w:rsidRPr="00322F4E">
                                <w:rPr>
                                  <w:noProof w:val="1"/>
                                  <w:color w:val="auto"/>
                                </w:rPr>
                                <w:t>: Tabuleiro de Yoté</w:t>
                              </w:r>
                            </w:p>
                          </w:txbxContent>
                        </wps:txbx>
                        <wps:bodyPr anchorCtr="0" anchor="t" bIns="0" rtlCol="0" compatLnSpc="1" forceAA="0" fromWordArt="0" horzOverflow="overflow" lIns="0" numCol="1" spcFirstLastPara="0" rIns="0" rot="0" spcCol="0" vert="horz" wrap="square" tIns="0" vertOverflow="overflow">
                          <a:prstTxWarp prst="textNoShape">
                            <a:avLst/>
                          </a:prstTxWarp>
                          <a:sp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3991595</wp:posOffset>
                </wp:positionH>
                <wp:positionV relativeFrom="paragraph">
                  <wp:posOffset>1225402</wp:posOffset>
                </wp:positionV>
                <wp:extent cx="1702435" cy="1640103"/>
                <wp:effectExtent b="0" l="0" r="0" t="0"/>
                <wp:wrapSquare wrapText="bothSides" distB="0" distT="0" distL="114300" distR="114300"/>
                <wp:docPr id="3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702435" cy="1640103"/>
                        </a:xfrm>
                        <a:prstGeom prst="rect"/>
                        <a:ln/>
                      </pic:spPr>
                    </pic:pic>
                  </a:graphicData>
                </a:graphic>
              </wp:anchor>
            </w:drawing>
          </mc:Fallback>
        </mc:AlternateConten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O Yoté desenvolve o sentido de observação, é um jogo que esta bastante envolvido com a utilização de estratégias e trabalha muito com o raciocínio logico da criança do começo ao fim do jogo, vale dizer que ele esta classificado entre “os melhores jogos da infância” pelo Comitê Internacional da UNICEF. </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REGRAS DO JOGO</w:t>
      </w:r>
    </w:p>
    <w:p w:rsidR="00000000" w:rsidDel="00000000" w:rsidP="00000000" w:rsidRDefault="00000000" w:rsidRPr="00000000" w14:paraId="00000038">
      <w:pPr>
        <w:ind w:firstLine="0"/>
        <w:rPr>
          <w:rFonts w:ascii="Arial" w:cs="Arial" w:eastAsia="Arial" w:hAnsi="Arial"/>
        </w:rPr>
      </w:pPr>
      <w:r w:rsidDel="00000000" w:rsidR="00000000" w:rsidRPr="00000000">
        <w:rPr>
          <w:rFonts w:ascii="Arial" w:cs="Arial" w:eastAsia="Arial" w:hAnsi="Arial"/>
          <w:rtl w:val="0"/>
        </w:rPr>
        <w:t xml:space="preserve">É um jogo de confronto estratégico para 2 jogadores. Usa-se um tabuleiro de 30 casas com 24 peças, 12 de cada cor ou tonalidade. Objetivo: Capturar ou bloquear todas as peças do adversário.</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INÍCIO DA PARTIDA</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Cada jogador escolhe uma cor e coloca sua reserva de peças fora do tabuleiro. Os jogadores determinam quem começa. Cada jogador, na sua vez, pode colocar uma peça em uma casa vazia da sua escolha, ou mover uma peça já colocada no tabuleiro. Movimentos: As peças se movimentam de uma casa em direção a uma casa vazia ao lado, no sentido horizontal ou vertical, mas nunca na diagonal.</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 CAPTURA</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4178934</wp:posOffset>
                </wp:positionH>
                <wp:positionV relativeFrom="paragraph">
                  <wp:posOffset>365760</wp:posOffset>
                </wp:positionV>
                <wp:extent cx="1607820" cy="1662430"/>
                <wp:effectExtent b="0" l="0" r="0" t="0"/>
                <wp:wrapSquare wrapText="bothSides" distB="0" distT="0" distL="114300" distR="114300"/>
                <wp:docPr id="36" name=""/>
                <a:graphic>
                  <a:graphicData uri="http://schemas.microsoft.com/office/word/2010/wordprocessingGroup">
                    <wpg:wgp>
                      <wpg:cNvGrpSpPr/>
                      <wpg:grpSpPr>
                        <a:xfrm>
                          <a:off x="0" y="0"/>
                          <a:ext cx="1607820" cy="1662430"/>
                          <a:chOff x="0" y="0"/>
                          <a:chExt cx="3744416" cy="3908323"/>
                        </a:xfrm>
                      </wpg:grpSpPr>
                      <pic:pic>
                        <pic:nvPicPr>
                          <pic:cNvPr id="4" name="Picture 2"/>
                          <pic:cNvPicPr>
                            <a:picLocks noChangeAspect="1" noChangeArrowheads="1"/>
                          </pic:cNvPicPr>
                        </pic:nvPicPr>
                        <pic:blipFill rotWithShape="1">
                          <a:blip r:embed="rId2">
                            <a:extLst>
                              <a:ext uri="{28A0092B-C50C-407E-A947-70E740481C1C}"/>
                            </a:extLst>
                          </a:blip>
                          <a:srcRect b="21005" t="7642"/>
                          <a:stretch/>
                        </pic:blipFill>
                        <pic:spPr bwMode="auto">
                          <a:xfrm>
                            <a:off x="0" y="0"/>
                            <a:ext cx="3744416" cy="3908323"/>
                          </a:xfrm>
                          <a:prstGeom prst="rect">
                            <a:avLst/>
                          </a:prstGeom>
                          <a:noFill/>
                          <a:ln>
                            <a:noFill/>
                          </a:ln>
                          <a:effectLst/>
                          <a:extLst>
                            <a:ext uri="{909E8E84-426E-40DD-AFC4-6F175D3DCCD1}"/>
                            <a:ext uri="{91240B29-F687-4F45-9708-019B960494DF}"/>
                            <a:ext uri="{AF507438-7753-43E0-B8FC-AC1667EBCBE1}"/>
                          </a:extLst>
                        </pic:spPr>
                      </pic:pic>
                      <wps:wsp>
                        <wps:cNvSpPr/>
                        <wps:cNvPr id="5" name="Elipse 5"/>
                        <wps:spPr>
                          <a:xfrm>
                            <a:off x="990714" y="2448672"/>
                            <a:ext cx="432048" cy="432048"/>
                          </a:xfrm>
                          <a:prstGeom prst="ellipse">
                            <a:avLst/>
                          </a:prstGeom>
                          <a:solidFill>
                            <a:schemeClr val="bg1"/>
                          </a:solidFill>
                        </wps:spPr>
                        <wps:style>
                          <a:lnRef idx="0">
                            <a:schemeClr val="accent2"/>
                          </a:lnRef>
                          <a:fillRef idx="3">
                            <a:schemeClr val="accent2"/>
                          </a:fillRef>
                          <a:effectRef idx="3">
                            <a:schemeClr val="accent2"/>
                          </a:effectRef>
                          <a:fontRef idx="minor">
                            <a:schemeClr val="lt1"/>
                          </a:fontRef>
                        </wps:style>
                        <wps:txbx>
                          <w:txbxContent>
                            <w:p w:rsidR="00102414" w:rsidDel="00000000" w:rsidP="00102414" w:rsidRDefault="00102414" w:rsidRPr="00000000" w14:paraId="048F4BDA" w14:textId="77777777"/>
                          </w:txbxContent>
                        </wps:txbx>
                        <wps:bodyPr anchor="ctr" rtlCol="0"/>
                      </wps:wsp>
                      <wps:wsp>
                        <wps:cNvSpPr/>
                        <wps:cNvPr id="6" name="Elipse 6"/>
                        <wps:spPr>
                          <a:xfrm>
                            <a:off x="2942417" y="993498"/>
                            <a:ext cx="432048" cy="432048"/>
                          </a:xfrm>
                          <a:prstGeom prst="ellipse">
                            <a:avLst/>
                          </a:prstGeom>
                          <a:solidFill>
                            <a:schemeClr val="tx1"/>
                          </a:solidFill>
                        </wps:spPr>
                        <wps:style>
                          <a:lnRef idx="0">
                            <a:schemeClr val="accent1"/>
                          </a:lnRef>
                          <a:fillRef idx="3">
                            <a:schemeClr val="accent1"/>
                          </a:fillRef>
                          <a:effectRef idx="3">
                            <a:schemeClr val="accent1"/>
                          </a:effectRef>
                          <a:fontRef idx="minor">
                            <a:schemeClr val="lt1"/>
                          </a:fontRef>
                        </wps:style>
                        <wps:txbx>
                          <w:txbxContent>
                            <w:p w:rsidR="00102414" w:rsidDel="00000000" w:rsidP="00102414" w:rsidRDefault="00102414" w:rsidRPr="00000000" w14:paraId="0A0F25D1" w14:textId="77777777"/>
                          </w:txbxContent>
                        </wps:txbx>
                        <wps:bodyPr anchor="ctr" rtlCol="0"/>
                      </wps:wsp>
                      <wps:wsp>
                        <wps:cNvSpPr/>
                        <wps:cNvPr id="7" name="Elipse 7"/>
                        <wps:spPr>
                          <a:xfrm>
                            <a:off x="980882" y="1745665"/>
                            <a:ext cx="432048" cy="432048"/>
                          </a:xfrm>
                          <a:prstGeom prst="ellipse">
                            <a:avLst/>
                          </a:prstGeom>
                        </wps:spPr>
                        <wps:style>
                          <a:lnRef idx="0">
                            <a:schemeClr val="dk1"/>
                          </a:lnRef>
                          <a:fillRef idx="3">
                            <a:schemeClr val="dk1"/>
                          </a:fillRef>
                          <a:effectRef idx="3">
                            <a:schemeClr val="dk1"/>
                          </a:effectRef>
                          <a:fontRef idx="minor">
                            <a:schemeClr val="lt1"/>
                          </a:fontRef>
                        </wps:style>
                        <wps:txbx>
                          <w:txbxContent>
                            <w:p w:rsidR="00102414" w:rsidDel="00000000" w:rsidP="00102414" w:rsidRDefault="00102414" w:rsidRPr="00000000" w14:paraId="313868A9" w14:textId="77777777"/>
                          </w:txbxContent>
                        </wps:txbx>
                        <wps:bodyPr anchor="ctr" rtlCol="0"/>
                      </wps:wsp>
                      <wps:wsp>
                        <wps:cNvCnPr/>
                        <wps:cNvPr id="8" name="Conector de seta reta 8"/>
                        <wps:spPr>
                          <a:xfrm flipV="1">
                            <a:off x="1206738" y="1425546"/>
                            <a:ext cx="0" cy="1023126"/>
                          </a:xfrm>
                          <a:prstGeom prst="straightConnector1">
                            <a:avLst/>
                          </a:prstGeom>
                          <a:ln>
                            <a:solidFill>
                              <a:srgbClr val="FF0000"/>
                            </a:solidFill>
                            <a:tailEnd type="arrow"/>
                          </a:ln>
                        </wps:spPr>
                        <wps:style>
                          <a:lnRef idx="3">
                            <a:schemeClr val="dk1"/>
                          </a:lnRef>
                          <a:fillRef idx="0">
                            <a:schemeClr val="dk1"/>
                          </a:fillRef>
                          <a:effectRef idx="2">
                            <a:schemeClr val="dk1"/>
                          </a:effectRef>
                          <a:fontRef idx="minor">
                            <a:schemeClr val="tx1"/>
                          </a:fontRef>
                        </wps:style>
                        <wps:bodyPr/>
                      </wps:wsp>
                      <wps:wsp>
                        <wps:cNvSpPr/>
                        <wps:cNvPr id="9" name="Elipse 9"/>
                        <wps:spPr>
                          <a:xfrm>
                            <a:off x="1040408" y="1023261"/>
                            <a:ext cx="372522" cy="372522"/>
                          </a:xfrm>
                          <a:prstGeom prst="ellipse">
                            <a:avLst/>
                          </a:prstGeom>
                          <a:noFill/>
                          <a:ln w="57150">
                            <a:solidFill>
                              <a:srgbClr val="FF0000"/>
                            </a:solidFill>
                          </a:ln>
                        </wps:spPr>
                        <wps:style>
                          <a:lnRef idx="3">
                            <a:schemeClr val="lt1"/>
                          </a:lnRef>
                          <a:fillRef idx="1">
                            <a:schemeClr val="accent6"/>
                          </a:fillRef>
                          <a:effectRef idx="1">
                            <a:schemeClr val="accent6"/>
                          </a:effectRef>
                          <a:fontRef idx="minor">
                            <a:schemeClr val="lt1"/>
                          </a:fontRef>
                        </wps:style>
                        <wps:txbx>
                          <w:txbxContent>
                            <w:p w:rsidR="00102414" w:rsidDel="00000000" w:rsidP="00102414" w:rsidRDefault="00102414" w:rsidRPr="00000000" w14:paraId="0457EB9D" w14:textId="77777777"/>
                          </w:txbxContent>
                        </wps:txbx>
                        <wps:bodyPr anchor="ctr" rtlCol="0"/>
                      </wps:wsp>
                      <wps:wsp>
                        <wps:cNvSpPr/>
                        <wps:cNvPr id="10" name="Multiplicar 10"/>
                        <wps:spPr>
                          <a:xfrm>
                            <a:off x="2760367" y="811448"/>
                            <a:ext cx="796147" cy="796147"/>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102414" w:rsidDel="00000000" w:rsidP="00102414" w:rsidRDefault="00102414" w:rsidRPr="00000000" w14:paraId="7F82DBB7" w14:textId="77777777"/>
                          </w:txbxContent>
                        </wps:txbx>
                        <wps:bodyPr anchor="ctr" rtlCol="0"/>
                      </wps:wsp>
                    </wpg:wgp>
                  </a:graphicData>
                </a:graphic>
              </wp:anchor>
            </w:drawing>
          </mc:Choice>
          <mc:Fallback>
            <w:drawing>
              <wp:anchor allowOverlap="1" behindDoc="0" distB="0" distT="0" distL="114300" distR="114300" hidden="0" layoutInCell="1" locked="0" relativeHeight="0" simplePos="0">
                <wp:simplePos x="0" y="0"/>
                <wp:positionH relativeFrom="column">
                  <wp:posOffset>4178934</wp:posOffset>
                </wp:positionH>
                <wp:positionV relativeFrom="paragraph">
                  <wp:posOffset>365760</wp:posOffset>
                </wp:positionV>
                <wp:extent cx="1607820" cy="1662430"/>
                <wp:effectExtent b="0" l="0" r="0" t="0"/>
                <wp:wrapSquare wrapText="bothSides" distB="0" distT="0" distL="114300" distR="114300"/>
                <wp:docPr id="3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07820" cy="1662430"/>
                        </a:xfrm>
                        <a:prstGeom prst="rect"/>
                        <a:ln/>
                      </pic:spPr>
                    </pic:pic>
                  </a:graphicData>
                </a:graphic>
              </wp:anchor>
            </w:drawing>
          </mc:Fallback>
        </mc:AlternateContent>
      </w:r>
    </w:p>
    <w:p w:rsidR="00000000" w:rsidDel="00000000" w:rsidP="00000000" w:rsidRDefault="00000000" w:rsidRPr="00000000" w14:paraId="0000003C">
      <w:pPr>
        <w:ind w:firstLine="0"/>
        <w:rPr>
          <w:rFonts w:ascii="Arial" w:cs="Arial" w:eastAsia="Arial" w:hAnsi="Arial"/>
        </w:rPr>
      </w:pPr>
      <w:r w:rsidDel="00000000" w:rsidR="00000000" w:rsidRPr="00000000">
        <w:rPr>
          <w:rFonts w:ascii="Arial" w:cs="Arial" w:eastAsia="Arial" w:hAnsi="Arial"/>
          <w:rtl w:val="0"/>
        </w:rPr>
        <w:t xml:space="preserve">A captura ocorre quando uma peça pula por cima da peça do adversário, como no jogo de Damas. A peça que captura deve sair da casa adjacente à peça capturada e chegar, em linha reta, na outra casa adjacente que deve se encontrar vazia. Além de retirar a peça capturada, o jogador retira mais uma peça do adversário de sua livre escolha. Assim, para cada captura, o jogador exclui um total de duas peças do adversário. A captura não é obrigatória. Caso um jogador sofra captura de uma peça e não possua outras sobre o tabuleiro, seu adversário não poderá reivindicar a outra peça a qual teria direito. </w:t>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CAPTURA MÚLTIPLA</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-494918</wp:posOffset>
                </wp:positionH>
                <wp:positionV relativeFrom="paragraph">
                  <wp:posOffset>134163</wp:posOffset>
                </wp:positionV>
                <wp:extent cx="1345565" cy="1404620"/>
                <wp:effectExtent b="24130" l="0" r="6985" t="0"/>
                <wp:wrapSquare wrapText="bothSides" distB="0" distT="0" distL="114300" distR="114300"/>
                <wp:docPr id="38" name=""/>
                <a:graphic>
                  <a:graphicData uri="http://schemas.microsoft.com/office/word/2010/wordprocessingGroup">
                    <wpg:wgp>
                      <wpg:cNvGrpSpPr/>
                      <wpg:grpSpPr>
                        <a:xfrm>
                          <a:off x="0" y="0"/>
                          <a:ext cx="1345565" cy="1404620"/>
                          <a:chOff x="0" y="0"/>
                          <a:chExt cx="3744416" cy="3908323"/>
                        </a:xfrm>
                      </wpg:grpSpPr>
                      <pic:pic>
                        <pic:nvPicPr>
                          <pic:cNvPr id="12" name="Picture 2"/>
                          <pic:cNvPicPr>
                            <a:picLocks noChangeAspect="1" noChangeArrowheads="1"/>
                          </pic:cNvPicPr>
                        </pic:nvPicPr>
                        <pic:blipFill rotWithShape="1">
                          <a:blip r:embed="rId2">
                            <a:extLst>
                              <a:ext uri="{28A0092B-C50C-407E-A947-70E740481C1C}"/>
                            </a:extLst>
                          </a:blip>
                          <a:srcRect b="21005" t="7642"/>
                          <a:stretch/>
                        </pic:blipFill>
                        <pic:spPr bwMode="auto">
                          <a:xfrm>
                            <a:off x="0" y="0"/>
                            <a:ext cx="3744416" cy="3908323"/>
                          </a:xfrm>
                          <a:prstGeom prst="rect">
                            <a:avLst/>
                          </a:prstGeom>
                          <a:noFill/>
                          <a:ln>
                            <a:noFill/>
                          </a:ln>
                          <a:effectLst/>
                          <a:extLst>
                            <a:ext uri="{909E8E84-426E-40DD-AFC4-6F175D3DCCD1}"/>
                            <a:ext uri="{91240B29-F687-4F45-9708-019B960494DF}"/>
                            <a:ext uri="{AF507438-7753-43E0-B8FC-AC1667EBCBE1}"/>
                          </a:extLst>
                        </pic:spPr>
                      </pic:pic>
                      <wps:wsp>
                        <wps:cNvSpPr/>
                        <wps:cNvPr id="13" name="Elipse 13"/>
                        <wps:spPr>
                          <a:xfrm>
                            <a:off x="1000625" y="2410008"/>
                            <a:ext cx="432048" cy="432048"/>
                          </a:xfrm>
                          <a:prstGeom prst="ellipse">
                            <a:avLst/>
                          </a:prstGeom>
                          <a:solidFill>
                            <a:schemeClr val="bg1"/>
                          </a:solidFill>
                        </wps:spPr>
                        <wps:style>
                          <a:lnRef idx="0">
                            <a:schemeClr val="accent2"/>
                          </a:lnRef>
                          <a:fillRef idx="3">
                            <a:schemeClr val="accent2"/>
                          </a:fillRef>
                          <a:effectRef idx="3">
                            <a:schemeClr val="accent2"/>
                          </a:effectRef>
                          <a:fontRef idx="minor">
                            <a:schemeClr val="lt1"/>
                          </a:fontRef>
                        </wps:style>
                        <wps:txbx>
                          <w:txbxContent>
                            <w:p w:rsidR="00102414" w:rsidDel="00000000" w:rsidP="00102414" w:rsidRDefault="00102414" w:rsidRPr="00000000" w14:paraId="74049B33" w14:textId="77777777"/>
                          </w:txbxContent>
                        </wps:txbx>
                        <wps:bodyPr anchor="ctr" rtlCol="0"/>
                      </wps:wsp>
                      <wps:wsp>
                        <wps:cNvSpPr/>
                        <wps:cNvPr id="14" name="Elipse 14"/>
                        <wps:spPr>
                          <a:xfrm>
                            <a:off x="2952328" y="954834"/>
                            <a:ext cx="432048" cy="432048"/>
                          </a:xfrm>
                          <a:prstGeom prst="ellipse">
                            <a:avLst/>
                          </a:prstGeom>
                          <a:solidFill>
                            <a:schemeClr val="tx1"/>
                          </a:solidFill>
                        </wps:spPr>
                        <wps:style>
                          <a:lnRef idx="0">
                            <a:schemeClr val="accent1"/>
                          </a:lnRef>
                          <a:fillRef idx="3">
                            <a:schemeClr val="accent1"/>
                          </a:fillRef>
                          <a:effectRef idx="3">
                            <a:schemeClr val="accent1"/>
                          </a:effectRef>
                          <a:fontRef idx="minor">
                            <a:schemeClr val="lt1"/>
                          </a:fontRef>
                        </wps:style>
                        <wps:txbx>
                          <w:txbxContent>
                            <w:p w:rsidR="00102414" w:rsidDel="00000000" w:rsidP="00102414" w:rsidRDefault="00102414" w:rsidRPr="00000000" w14:paraId="2460A671" w14:textId="77777777"/>
                          </w:txbxContent>
                        </wps:txbx>
                        <wps:bodyPr anchor="ctr" rtlCol="0"/>
                      </wps:wsp>
                      <wps:wsp>
                        <wps:cNvSpPr/>
                        <wps:cNvPr id="15" name="Elipse 15"/>
                        <wps:spPr>
                          <a:xfrm>
                            <a:off x="990793" y="1707001"/>
                            <a:ext cx="432048" cy="432048"/>
                          </a:xfrm>
                          <a:prstGeom prst="ellipse">
                            <a:avLst/>
                          </a:prstGeom>
                        </wps:spPr>
                        <wps:style>
                          <a:lnRef idx="0">
                            <a:schemeClr val="dk1"/>
                          </a:lnRef>
                          <a:fillRef idx="3">
                            <a:schemeClr val="dk1"/>
                          </a:fillRef>
                          <a:effectRef idx="3">
                            <a:schemeClr val="dk1"/>
                          </a:effectRef>
                          <a:fontRef idx="minor">
                            <a:schemeClr val="lt1"/>
                          </a:fontRef>
                        </wps:style>
                        <wps:txbx>
                          <w:txbxContent>
                            <w:p w:rsidR="00102414" w:rsidDel="00000000" w:rsidP="00102414" w:rsidRDefault="00102414" w:rsidRPr="00000000" w14:paraId="22ED93DA" w14:textId="77777777"/>
                          </w:txbxContent>
                        </wps:txbx>
                        <wps:bodyPr anchor="ctr" rtlCol="0"/>
                      </wps:wsp>
                      <wps:wsp>
                        <wps:cNvSpPr/>
                        <wps:cNvPr id="16" name="Elipse 16"/>
                        <wps:spPr>
                          <a:xfrm>
                            <a:off x="2301341" y="2434817"/>
                            <a:ext cx="432048" cy="432048"/>
                          </a:xfrm>
                          <a:prstGeom prst="ellipse">
                            <a:avLst/>
                          </a:prstGeom>
                          <a:solidFill>
                            <a:schemeClr val="bg1"/>
                          </a:solidFill>
                        </wps:spPr>
                        <wps:style>
                          <a:lnRef idx="0">
                            <a:schemeClr val="accent2"/>
                          </a:lnRef>
                          <a:fillRef idx="3">
                            <a:schemeClr val="accent2"/>
                          </a:fillRef>
                          <a:effectRef idx="3">
                            <a:schemeClr val="accent2"/>
                          </a:effectRef>
                          <a:fontRef idx="minor">
                            <a:schemeClr val="lt1"/>
                          </a:fontRef>
                        </wps:style>
                        <wps:txbx>
                          <w:txbxContent>
                            <w:p w:rsidR="00102414" w:rsidDel="00000000" w:rsidP="00102414" w:rsidRDefault="00102414" w:rsidRPr="00000000" w14:paraId="35E46650" w14:textId="77777777"/>
                          </w:txbxContent>
                        </wps:txbx>
                        <wps:bodyPr anchor="ctr" rtlCol="0"/>
                      </wps:wsp>
                      <wps:wsp>
                        <wps:cNvSpPr/>
                        <wps:cNvPr id="17" name="Elipse 17"/>
                        <wps:spPr>
                          <a:xfrm>
                            <a:off x="1637435" y="1011541"/>
                            <a:ext cx="432048" cy="432048"/>
                          </a:xfrm>
                          <a:prstGeom prst="ellipse">
                            <a:avLst/>
                          </a:prstGeom>
                          <a:solidFill>
                            <a:schemeClr val="tx1"/>
                          </a:solidFill>
                        </wps:spPr>
                        <wps:style>
                          <a:lnRef idx="0">
                            <a:schemeClr val="accent1"/>
                          </a:lnRef>
                          <a:fillRef idx="3">
                            <a:schemeClr val="accent1"/>
                          </a:fillRef>
                          <a:effectRef idx="3">
                            <a:schemeClr val="accent1"/>
                          </a:effectRef>
                          <a:fontRef idx="minor">
                            <a:schemeClr val="lt1"/>
                          </a:fontRef>
                        </wps:style>
                        <wps:txbx>
                          <w:txbxContent>
                            <w:p w:rsidR="00102414" w:rsidDel="00000000" w:rsidP="00102414" w:rsidRDefault="00102414" w:rsidRPr="00000000" w14:paraId="2A735C6C" w14:textId="77777777"/>
                          </w:txbxContent>
                        </wps:txbx>
                        <wps:bodyPr anchor="ctr" rtlCol="0"/>
                      </wps:wsp>
                      <wps:wsp>
                        <wps:cNvSpPr/>
                        <wps:cNvPr id="18" name="Elipse 18"/>
                        <wps:spPr>
                          <a:xfrm>
                            <a:off x="1648067" y="3201848"/>
                            <a:ext cx="432048" cy="432048"/>
                          </a:xfrm>
                          <a:prstGeom prst="ellipse">
                            <a:avLst/>
                          </a:prstGeom>
                          <a:solidFill>
                            <a:schemeClr val="tx1"/>
                          </a:solidFill>
                        </wps:spPr>
                        <wps:style>
                          <a:lnRef idx="0">
                            <a:schemeClr val="accent1"/>
                          </a:lnRef>
                          <a:fillRef idx="3">
                            <a:schemeClr val="accent1"/>
                          </a:fillRef>
                          <a:effectRef idx="3">
                            <a:schemeClr val="accent1"/>
                          </a:effectRef>
                          <a:fontRef idx="minor">
                            <a:schemeClr val="lt1"/>
                          </a:fontRef>
                        </wps:style>
                        <wps:txbx>
                          <w:txbxContent>
                            <w:p w:rsidR="00102414" w:rsidDel="00000000" w:rsidP="00102414" w:rsidRDefault="00102414" w:rsidRPr="00000000" w14:paraId="6538052E" w14:textId="77777777"/>
                          </w:txbxContent>
                        </wps:txbx>
                        <wps:bodyPr anchor="ctr" rtlCol="0"/>
                      </wps:wsp>
                      <wps:wsp>
                        <wps:cNvCnPr/>
                        <wps:cNvPr id="19" name="Conector de seta reta 19"/>
                        <wps:spPr>
                          <a:xfrm flipV="1">
                            <a:off x="1197284" y="1398964"/>
                            <a:ext cx="0" cy="1023126"/>
                          </a:xfrm>
                          <a:prstGeom prst="straightConnector1">
                            <a:avLst/>
                          </a:prstGeom>
                          <a:ln w="38100">
                            <a:solidFill>
                              <a:srgbClr val="FF0000"/>
                            </a:solidFill>
                            <a:tailEnd type="arrow"/>
                          </a:ln>
                        </wps:spPr>
                        <wps:style>
                          <a:lnRef idx="3">
                            <a:schemeClr val="dk1"/>
                          </a:lnRef>
                          <a:fillRef idx="0">
                            <a:schemeClr val="dk1"/>
                          </a:fillRef>
                          <a:effectRef idx="2">
                            <a:schemeClr val="dk1"/>
                          </a:effectRef>
                          <a:fontRef idx="minor">
                            <a:schemeClr val="tx1"/>
                          </a:fontRef>
                        </wps:style>
                        <wps:bodyPr/>
                      </wps:wsp>
                      <wps:wsp>
                        <wps:cNvSpPr/>
                        <wps:cNvPr id="20" name="Elipse 20"/>
                        <wps:spPr>
                          <a:xfrm>
                            <a:off x="1030954" y="996679"/>
                            <a:ext cx="372522" cy="372522"/>
                          </a:xfrm>
                          <a:prstGeom prst="ellipse">
                            <a:avLst/>
                          </a:prstGeom>
                          <a:noFill/>
                          <a:ln w="57150">
                            <a:solidFill>
                              <a:srgbClr val="FF0000"/>
                            </a:solidFill>
                          </a:ln>
                        </wps:spPr>
                        <wps:style>
                          <a:lnRef idx="3">
                            <a:schemeClr val="lt1"/>
                          </a:lnRef>
                          <a:fillRef idx="1">
                            <a:schemeClr val="accent6"/>
                          </a:fillRef>
                          <a:effectRef idx="1">
                            <a:schemeClr val="accent6"/>
                          </a:effectRef>
                          <a:fontRef idx="minor">
                            <a:schemeClr val="lt1"/>
                          </a:fontRef>
                        </wps:style>
                        <wps:txbx>
                          <w:txbxContent>
                            <w:p w:rsidR="00102414" w:rsidDel="00000000" w:rsidP="00102414" w:rsidRDefault="00102414" w:rsidRPr="00000000" w14:paraId="70AA54D2" w14:textId="77777777"/>
                          </w:txbxContent>
                        </wps:txbx>
                        <wps:bodyPr anchor="ctr" rtlCol="0"/>
                      </wps:wsp>
                      <wps:wsp>
                        <wps:cNvSpPr/>
                        <wps:cNvPr id="21" name="Multiplicar 21"/>
                        <wps:spPr>
                          <a:xfrm>
                            <a:off x="2750913" y="784866"/>
                            <a:ext cx="796147" cy="796147"/>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102414" w:rsidDel="00000000" w:rsidP="00102414" w:rsidRDefault="00102414" w:rsidRPr="00000000" w14:paraId="74BD8C31" w14:textId="77777777"/>
                          </w:txbxContent>
                        </wps:txbx>
                        <wps:bodyPr anchor="ctr" rtlCol="0"/>
                      </wps:wsp>
                      <wps:wsp>
                        <wps:cNvCnPr/>
                        <wps:cNvPr id="22" name="Conector de seta reta 22"/>
                        <wps:spPr>
                          <a:xfrm>
                            <a:off x="1422841" y="1187893"/>
                            <a:ext cx="878500" cy="0"/>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wps:wsp>
                        <wps:cNvSpPr/>
                        <wps:cNvPr id="23" name="Multiplicar 23"/>
                        <wps:spPr>
                          <a:xfrm>
                            <a:off x="1467918" y="3010615"/>
                            <a:ext cx="796147" cy="796147"/>
                          </a:xfrm>
                          <a:prstGeom prst="mathMultiply">
                            <a:avLst/>
                          </a:prstGeom>
                          <a:solidFill>
                            <a:schemeClr val="bg2">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102414" w:rsidDel="00000000" w:rsidP="00102414" w:rsidRDefault="00102414" w:rsidRPr="00000000" w14:paraId="01F25016" w14:textId="77777777"/>
                          </w:txbxContent>
                        </wps:txbx>
                        <wps:bodyPr anchor="ctr" rtlCol="0"/>
                      </wps:wsp>
                      <wps:wsp>
                        <wps:cNvSpPr/>
                        <wps:cNvPr id="24" name="Elipse 24"/>
                        <wps:spPr>
                          <a:xfrm>
                            <a:off x="2301341" y="1001632"/>
                            <a:ext cx="372522" cy="372522"/>
                          </a:xfrm>
                          <a:prstGeom prst="ellipse">
                            <a:avLst/>
                          </a:prstGeom>
                          <a:noFill/>
                          <a:ln w="57150">
                            <a:solidFill>
                              <a:schemeClr val="bg2">
                                <a:lumMod val="50000"/>
                              </a:schemeClr>
                            </a:solidFill>
                          </a:ln>
                        </wps:spPr>
                        <wps:style>
                          <a:lnRef idx="3">
                            <a:schemeClr val="lt1"/>
                          </a:lnRef>
                          <a:fillRef idx="1">
                            <a:schemeClr val="accent6"/>
                          </a:fillRef>
                          <a:effectRef idx="1">
                            <a:schemeClr val="accent6"/>
                          </a:effectRef>
                          <a:fontRef idx="minor">
                            <a:schemeClr val="lt1"/>
                          </a:fontRef>
                        </wps:style>
                        <wps:txbx>
                          <w:txbxContent>
                            <w:p w:rsidR="00102414" w:rsidDel="00000000" w:rsidP="00102414" w:rsidRDefault="00102414" w:rsidRPr="00000000" w14:paraId="6A057831" w14:textId="77777777"/>
                          </w:txbxContent>
                        </wps:txbx>
                        <wps:bodyPr anchor="ctr" rtlCol="0"/>
                      </wps:wsp>
                    </wpg:wgp>
                  </a:graphicData>
                </a:graphic>
              </wp:anchor>
            </w:drawing>
          </mc:Choice>
          <mc:Fallback>
            <w:drawing>
              <wp:anchor allowOverlap="1" behindDoc="0" distB="0" distT="0" distL="114300" distR="114300" hidden="0" layoutInCell="1" locked="0" relativeHeight="0" simplePos="0">
                <wp:simplePos x="0" y="0"/>
                <wp:positionH relativeFrom="column">
                  <wp:posOffset>-494918</wp:posOffset>
                </wp:positionH>
                <wp:positionV relativeFrom="paragraph">
                  <wp:posOffset>134163</wp:posOffset>
                </wp:positionV>
                <wp:extent cx="1352550" cy="1428750"/>
                <wp:effectExtent b="0" l="0" r="0" t="0"/>
                <wp:wrapSquare wrapText="bothSides" distB="0" distT="0" distL="114300" distR="114300"/>
                <wp:docPr id="3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352550" cy="1428750"/>
                        </a:xfrm>
                        <a:prstGeom prst="rect"/>
                        <a:ln/>
                      </pic:spPr>
                    </pic:pic>
                  </a:graphicData>
                </a:graphic>
              </wp:anchor>
            </w:drawing>
          </mc:Fallback>
        </mc:AlternateContent>
      </w:r>
    </w:p>
    <w:p w:rsidR="00000000" w:rsidDel="00000000" w:rsidP="00000000" w:rsidRDefault="00000000" w:rsidRPr="00000000" w14:paraId="0000003E">
      <w:pPr>
        <w:ind w:firstLine="0"/>
        <w:rPr>
          <w:rFonts w:ascii="Arial" w:cs="Arial" w:eastAsia="Arial" w:hAnsi="Arial"/>
        </w:rPr>
      </w:pPr>
      <w:r w:rsidDel="00000000" w:rsidR="00000000" w:rsidRPr="00000000">
        <w:rPr>
          <w:rFonts w:ascii="Arial" w:cs="Arial" w:eastAsia="Arial" w:hAnsi="Arial"/>
          <w:rtl w:val="0"/>
        </w:rPr>
        <w:t xml:space="preserve">Um jogador pode capturar várias peças do adversário com a mesma peça, até que não haja mais condições de pular. Durante a captura múltipla é obrigatório, depois de cada captura, retirar a segunda peça antes de prosseguir com outras capturas. É permitido retirar uma peça que lhe dê condição de continuar capturando outras peças.</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FINAL DO JOGO</w:t>
      </w:r>
    </w:p>
    <w:p w:rsidR="00000000" w:rsidDel="00000000" w:rsidP="00000000" w:rsidRDefault="00000000" w:rsidRPr="00000000" w14:paraId="00000040">
      <w:pPr>
        <w:ind w:firstLine="0"/>
        <w:rPr>
          <w:rFonts w:ascii="Arial" w:cs="Arial" w:eastAsia="Arial" w:hAnsi="Arial"/>
        </w:rPr>
      </w:pPr>
      <w:r w:rsidDel="00000000" w:rsidR="00000000" w:rsidRPr="00000000">
        <w:rPr>
          <w:rFonts w:ascii="Arial" w:cs="Arial" w:eastAsia="Arial" w:hAnsi="Arial"/>
          <w:rtl w:val="0"/>
        </w:rPr>
        <w:t xml:space="preserve">O jogo termina quando um dos jogadores ficar sem peças ou com as peças bloqueadas. Quando os jogadores concordam que não há mais nenhuma captura possível, vence aquele que capturou mais peças. Se ambos os jogadores ficarem com 3 ou menos peças no tabuleiro, e não seja mais possível efetuar capturas, o jogo termina empatado. </w:t>
      </w:r>
    </w:p>
    <w:p w:rsidR="00000000" w:rsidDel="00000000" w:rsidP="00000000" w:rsidRDefault="00000000" w:rsidRPr="00000000" w14:paraId="00000041">
      <w:pPr>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https://elegbaraguine.wordpress.com/jogos-africanos-a-matematica-na-cultura-africana/</w:t>
      </w:r>
    </w:p>
    <w:p w:rsidR="00000000" w:rsidDel="00000000" w:rsidP="00000000" w:rsidRDefault="00000000" w:rsidRPr="00000000" w14:paraId="00000042">
      <w:pPr>
        <w:ind w:firstLine="0"/>
        <w:rPr>
          <w:rFonts w:ascii="Arial" w:cs="Arial" w:eastAsia="Arial" w:hAnsi="Arial"/>
          <w:b w:val="1"/>
        </w:rPr>
      </w:pPr>
      <w:r w:rsidDel="00000000" w:rsidR="00000000" w:rsidRPr="00000000">
        <w:rPr>
          <w:rFonts w:ascii="Arial" w:cs="Arial" w:eastAsia="Arial" w:hAnsi="Arial"/>
          <w:b w:val="1"/>
          <w:rtl w:val="0"/>
        </w:rPr>
        <w:t xml:space="preserve">2.2 A TEORIA DAS PROBABILIDADES E OS JOGOS</w:t>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A teoria das probabilidades é o ramo da matemática cujo objetivo é pesquisar e desenvolver modelos com a intenção de estudar experimentos, eventos ou fenômenos aleatórios, esses modelos variam conforme sua complexidade, mas apresentam aspectos básicos comuns. Uma das aplicações mais comuns da teoria das probabilidades é no jogo da Mega-Sena, estudiosos se </w:t>
      </w:r>
      <w:r w:rsidDel="00000000" w:rsidR="00000000" w:rsidRPr="00000000">
        <w:rPr>
          <w:rFonts w:ascii="Arial" w:cs="Arial" w:eastAsia="Arial" w:hAnsi="Arial"/>
          <w:color w:val="ff0000"/>
          <w:rtl w:val="0"/>
        </w:rPr>
        <w:t xml:space="preserve">utilizam</w:t>
      </w:r>
      <w:r w:rsidDel="00000000" w:rsidR="00000000" w:rsidRPr="00000000">
        <w:rPr>
          <w:rFonts w:ascii="Arial" w:cs="Arial" w:eastAsia="Arial" w:hAnsi="Arial"/>
          <w:rtl w:val="0"/>
        </w:rPr>
        <w:t xml:space="preserve"> de cálculos baseados em amostras, para tentar prever um possível resultado, ou explicitar quais as reais chances que uma pessoa tem de ganhar o premio máximo, ou seja, qual a probabilidade de seis números escolhidos por determinada pessoa serem sorteados dentre os sessenta números. </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color w:val="ff0000"/>
          <w:rtl w:val="0"/>
        </w:rPr>
        <w:t xml:space="preserve">A probabilidade é um dos conteúdos matemáticos presentes no Exame Nacional do Ensino Médio (ENEM), que nessa área de estudo prevê nas habilidades, 28, 29 e 30, que o aluno saiba</w:t>
      </w:r>
      <w:r w:rsidDel="00000000" w:rsidR="00000000" w:rsidRPr="00000000">
        <w:rPr>
          <w:rFonts w:ascii="Arial" w:cs="Arial" w:eastAsia="Arial" w:hAnsi="Arial"/>
          <w:rtl w:val="0"/>
        </w:rPr>
        <w:t xml:space="preserve">, respectivamente, resolver situação-problema que envolva conhecimentos de estatística e probabilidade; utilizar conhecimentos de estatística e probabilidade como recurso para a construção de argumentação; e avaliar propostas de intervenção na realidade utilizando conhecimentos de estatística e probabilidade.</w:t>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A probabilidade se divide em três tipos diferentes, clássica, empírica e subjetiva. A probabilidade clássica é usada quando o cada resultado no espaço amostral tem a mesma probabilidade de acontecer, a probabilidade empírica é baseada em observações obtidas em experimentos aleatórios, e a probabilidade subjetiva é normalmente baseada em eventos do passado. </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Hoje a probabilidade transcende o campo da matemática e pode ser aplicada em diversas áreas de conhecimento, e em eventos do dia-a-dia, Segundo Smole (2003);</w:t>
      </w:r>
    </w:p>
    <w:p w:rsidR="00000000" w:rsidDel="00000000" w:rsidP="00000000" w:rsidRDefault="00000000" w:rsidRPr="00000000" w14:paraId="00000047">
      <w:pPr>
        <w:ind w:left="2268" w:firstLine="0"/>
        <w:rPr>
          <w:rFonts w:ascii="Arial" w:cs="Arial" w:eastAsia="Arial" w:hAnsi="Arial"/>
        </w:rPr>
      </w:pPr>
      <w:r w:rsidDel="00000000" w:rsidR="00000000" w:rsidRPr="00000000">
        <w:rPr>
          <w:rFonts w:ascii="Arial" w:cs="Arial" w:eastAsia="Arial" w:hAnsi="Arial"/>
          <w:sz w:val="20"/>
          <w:szCs w:val="20"/>
          <w:rtl w:val="0"/>
        </w:rPr>
        <w:t xml:space="preserve">Atualmente as aplicações do calculo de probabilidades ultrapassam largamente as relacionadas com jogo de azar (dados, cartas, loterias, rifas ...), por onde a teoria das probabilidades começou a ganhar força e aos quais ela é associada habitualmente. É comum o uso das probabilidades em áreas como Política, Medicina, Biologia etc.</w:t>
      </w:r>
      <w:r w:rsidDel="00000000" w:rsidR="00000000" w:rsidRPr="00000000">
        <w:rPr>
          <w:rtl w:val="0"/>
        </w:rPr>
      </w:r>
    </w:p>
    <w:p w:rsidR="00000000" w:rsidDel="00000000" w:rsidP="00000000" w:rsidRDefault="00000000" w:rsidRPr="00000000" w14:paraId="00000048">
      <w:pPr>
        <w:rPr>
          <w:rFonts w:ascii="Arial" w:cs="Arial" w:eastAsia="Arial" w:hAnsi="Arial"/>
          <w:color w:val="ff0000"/>
        </w:rPr>
      </w:pPr>
      <w:r w:rsidDel="00000000" w:rsidR="00000000" w:rsidRPr="00000000">
        <w:rPr>
          <w:rFonts w:ascii="Arial" w:cs="Arial" w:eastAsia="Arial" w:hAnsi="Arial"/>
          <w:rtl w:val="0"/>
        </w:rPr>
        <w:t xml:space="preserve">Smole (2003) destaca que a aplicação da probabilidade esta associado mais comumente aos jogos de azar, mas é possível percebe-la também em outros tipos de jogos que envolvem diversas variáveis que podem influenciar possíveis resultados como, por exemplo, no futebol, onde muitos, mesmo sem perceber, em uma roda de conversa sobre o esporte se arriscam a fazer previsões sobre possíveis resultados baseados em eventos passados, podemos dizer que nesse caso a probabilidade se manifesta de maneira natural em uma simples conversa sobre um esporte.</w:t>
      </w:r>
      <w:r w:rsidDel="00000000" w:rsidR="00000000" w:rsidRPr="00000000">
        <w:rPr>
          <w:rFonts w:ascii="Arial" w:cs="Arial" w:eastAsia="Arial" w:hAnsi="Arial"/>
          <w:color w:val="ff0000"/>
          <w:rtl w:val="0"/>
        </w:rPr>
        <w:t xml:space="preserve"> </w:t>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A utilização de materiais concretos no ensino da matemática tem ganhado força no meio dos estudos sobre a educação matemática, e vêm sendo amplamente usados para expor e explicar conteúdos matemáticos, a utilização de jogos, softwares e outros recursos didáticos estão sendo utilizados como forma de potencialização do ensino para que o maior número, possível de alunos possam assimilar os conteúdos. No caso dos jogos por exemplo, Grando (2000), diz que eles são uma forma de fazer com que o aluno se torne um sujeito no processo de ensino aprendizagem, despertando e aprimorando a imaginação do aluno, tornando-o capaz de interpretar, refletir e aplicar os conhecimentos adquiridos na escola lhe proporcionando prazer em aprender.  </w:t>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O uso de jogos no processo de ensino e aprendizagem permite que o aluno desenvolva capacidades psicológicas de criatividade, e exercício da mente. Podemos destacar alguns jogos que podem ser inseridos no ensino de probabilidade, tais como, o pôquer, gamão, xadrez e damas por exemplo, como também em alguns esportes. No caso do pôquer existem algumas situações que recorrem aos conceitos de probabilidade, um desses casos esta relacionado ao “Par de Ases” que é uma das mãos mais desejadas do pôquer, pelo motivo de que, se nenhum dos jogadores acertarem a combinação de cartas da mesa o “par de ases” vencera qualquer outro par, sendo assim, “qual a probabilidade de um jogador receber um par de ases?” e a resposta a essa pergunta é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221</m:t>
            </m:r>
          </m:den>
        </m:f>
      </m:oMath>
      <w:r w:rsidDel="00000000" w:rsidR="00000000" w:rsidRPr="00000000">
        <w:rPr>
          <w:rFonts w:ascii="Arial" w:cs="Arial" w:eastAsia="Arial" w:hAnsi="Arial"/>
          <w:rtl w:val="0"/>
        </w:rPr>
        <w:t xml:space="preserve">. O uso da probabilidade no pôquer se difere do seu uso no xadrez, damas e o Yoté, uma vez que no pôquer não é possível mapear a saída da próxima carta, enquanto que nestes outros podemos mapear todas as jogadas que podem ser feitas e assim pensar em uma contra estratégia. </w:t>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A probabilidade aplicada aos esportes pode servir em diversas situações como, estimar o publico pagante de uma partida, calcular as chances de um time vencer uma partida, e ate determinar o futuro financeiro de uma equipe caso contrate um grande jogador. Para isso existem estudos que se encarregam de levantar e analisar dados no intuito de buscar tais previsões. Tanto nos esportes como nos jogos, de tabuleiro ou de azar, podemos lançar mão dessa “bola de cristal” matemática que é a probabilidade para termos um maior conhecimento e domínio durante uma partida. </w:t>
      </w:r>
    </w:p>
    <w:p w:rsidR="00000000" w:rsidDel="00000000" w:rsidP="00000000" w:rsidRDefault="00000000" w:rsidRPr="00000000" w14:paraId="0000004C">
      <w:pPr>
        <w:ind w:firstLine="0"/>
        <w:rPr>
          <w:rFonts w:ascii="Arial" w:cs="Arial" w:eastAsia="Arial" w:hAnsi="Arial"/>
          <w:b w:val="1"/>
        </w:rPr>
      </w:pPr>
      <w:r w:rsidDel="00000000" w:rsidR="00000000" w:rsidRPr="00000000">
        <w:rPr>
          <w:rFonts w:ascii="Arial" w:cs="Arial" w:eastAsia="Arial" w:hAnsi="Arial"/>
          <w:b w:val="1"/>
          <w:rtl w:val="0"/>
        </w:rPr>
        <w:t xml:space="preserve">2.3 O YOTÉ E SUA APLICAÇÃO NA MATEMATICA</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O Yoté pode ser inserido no contexto matemático em diversas áreas desse campo de conhecimento, é fácil perceber nas formas do tabuleiro a possibilidade de ser aplicado no ensino de geometria espacial e plana, se analisarmos mais a fundo suas regras e modo de jogar podemos perceber a possibilidade de suas utilização no ensino de contagem, se fizermos um levantamento dos movimentos que mais se repetem durante uma partida, qual o tempo médio de duração, e quais as decisões mais tomadas durante o jogo estaremos aplicando conhecimentos de estatística e probabilidade. </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Visto que o Yoté é um jogo de estratégia, ao jogar estamos constantemente formulando estratégias para galgar a vitória, e para isso nos baseamos nos movimentos do adversário, na nossa mente fazemos um levantamento de eventos que ocorrem durante uma partida e a partir daí nos arriscamos a fazer previsões, planos de como atacar e defender. Tais previsões são possíveis ao aplicar a conhecimentos de probabilidade, em especial a probabilidade empírica, que se baseia em analisar um certo numero de eventos aleatórios. </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O jogo Yoté pode ser aplicado ao ensino de probabilidade, pois ela pode ser aplicada ao jogo tanto durante uma partida, como vimos no paragrafo anterior, como também antes da partida. Se um jogador observar as jogadas do seu adversário durante algumas partida contra outros jogadores e anotar em uma tabela todos os seus movimentos em cada partida ele poderá descobrir a probabilidade de seu adversário fazer determinada jogada e criar a melhor estratégia para derrota-lo quando estiver jogando contra ele. </w:t>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É considerado um jogo de elite que exige dos jogadores, rapidez de raciocínio e bons conhecimentos de estratégia e possui a peculiaridade de permitir uma grande variedade de movimentos. Tem a característica de provocar rápidos desequilíbrios no decorrer das partidas pois, para cada peça capturada do adversário (“saltando” sobre ela, como na “dama”) uma outra peça qualquer do adversário é retirada, e pode transformar uma pequena desvantagem em uma vitória inebriante ou em uma derrota humilhante. </w:t>
      </w:r>
    </w:p>
    <w:p w:rsidR="00000000" w:rsidDel="00000000" w:rsidP="00000000" w:rsidRDefault="00000000" w:rsidRPr="00000000" w14:paraId="00000051">
      <w:pPr>
        <w:ind w:firstLine="0"/>
        <w:rPr>
          <w:rFonts w:ascii="Arial" w:cs="Arial" w:eastAsia="Arial" w:hAnsi="Arial"/>
          <w:b w:val="1"/>
        </w:rPr>
      </w:pPr>
      <w:r w:rsidDel="00000000" w:rsidR="00000000" w:rsidRPr="00000000">
        <w:rPr>
          <w:rFonts w:ascii="Arial" w:cs="Arial" w:eastAsia="Arial" w:hAnsi="Arial"/>
          <w:b w:val="1"/>
          <w:rtl w:val="0"/>
        </w:rPr>
        <w:t xml:space="preserve">3 METODOLOGIA</w:t>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Nesta etapa trataremos de descrever o caminho que será percorrido para alcançar os objetivos estabelecidos anteriormente. A pesquisa tem caráter descritivo, pois busca descrever as características de jogo de um determinado grupo, segundo Gil (2008) uma das peculiaridades deste método está na utilização de técnicas padronizadas de coleta de dados, tais como o questionário e a observação sistemática. </w:t>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O estudo se configura em uma abordagem qualitativa, pois busca analisar as possibilidades do jogo Yoté no ensino de probabilidade baseado na opinião dos sujeitos da pesquisa, </w:t>
      </w:r>
      <w:commentRangeStart w:id="0"/>
      <w:r w:rsidDel="00000000" w:rsidR="00000000" w:rsidRPr="00000000">
        <w:rPr>
          <w:rFonts w:ascii="Arial" w:cs="Arial" w:eastAsia="Arial" w:hAnsi="Arial"/>
          <w:rtl w:val="0"/>
        </w:rPr>
        <w:t xml:space="preserve">Malhotra (2006</w:t>
      </w:r>
      <w:commentRangeEnd w:id="0"/>
      <w:r w:rsidDel="00000000" w:rsidR="00000000" w:rsidRPr="00000000">
        <w:commentReference w:id="0"/>
      </w:r>
      <w:r w:rsidDel="00000000" w:rsidR="00000000" w:rsidRPr="00000000">
        <w:rPr>
          <w:rFonts w:ascii="Arial" w:cs="Arial" w:eastAsia="Arial" w:hAnsi="Arial"/>
          <w:rtl w:val="0"/>
        </w:rPr>
        <w:t xml:space="preserve">) define esse método como uma “metodologia de pesquisa não estruturada e exploratória, baseada em pequenas amostras que proporcionam percepções e compreensão do contexto do problema”. O tipo da pesquisa se define como </w:t>
      </w:r>
      <w:commentRangeStart w:id="1"/>
      <w:r w:rsidDel="00000000" w:rsidR="00000000" w:rsidRPr="00000000">
        <w:rPr>
          <w:rFonts w:ascii="Arial" w:cs="Arial" w:eastAsia="Arial" w:hAnsi="Arial"/>
          <w:rtl w:val="0"/>
        </w:rPr>
        <w:t xml:space="preserve">pesquisa de campo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4">
      <w:pPr>
        <w:rPr>
          <w:rFonts w:ascii="Arial" w:cs="Arial" w:eastAsia="Arial" w:hAnsi="Arial"/>
        </w:rPr>
      </w:pPr>
      <w:bookmarkStart w:colFirst="0" w:colLast="0" w:name="_gjdgxs" w:id="0"/>
      <w:bookmarkEnd w:id="0"/>
      <w:r w:rsidDel="00000000" w:rsidR="00000000" w:rsidRPr="00000000">
        <w:rPr>
          <w:rFonts w:ascii="Arial" w:cs="Arial" w:eastAsia="Arial" w:hAnsi="Arial"/>
          <w:rtl w:val="0"/>
        </w:rPr>
        <w:t xml:space="preserve">A coleta de dados se deu em duas etapas a primeira por meio de um questionário, segundo </w:t>
      </w:r>
      <w:commentRangeStart w:id="2"/>
      <w:r w:rsidDel="00000000" w:rsidR="00000000" w:rsidRPr="00000000">
        <w:rPr>
          <w:rFonts w:ascii="Arial" w:cs="Arial" w:eastAsia="Arial" w:hAnsi="Arial"/>
          <w:rtl w:val="0"/>
        </w:rPr>
        <w:t xml:space="preserve">Gil (1999, p.128), </w:t>
      </w:r>
      <w:commentRangeEnd w:id="2"/>
      <w:r w:rsidDel="00000000" w:rsidR="00000000" w:rsidRPr="00000000">
        <w:commentReference w:id="2"/>
      </w:r>
      <w:r w:rsidDel="00000000" w:rsidR="00000000" w:rsidRPr="00000000">
        <w:rPr>
          <w:rFonts w:ascii="Arial" w:cs="Arial" w:eastAsia="Arial" w:hAnsi="Arial"/>
          <w:rtl w:val="0"/>
        </w:rPr>
        <w:t xml:space="preserve">pode ser definido “como a técnica de investigação composta por um número mais ou menos elevado de questões apresentadas por escrito às pessoas, tendo por objetivo o conhecimento de opiniões, crenças, sentimentos, interesses, expectativas, situações vivenciadas etc.”.</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A segunda foi feita por meio de uma sequência didática, que Zabala (1998 p.18) define como: </w:t>
      </w:r>
    </w:p>
    <w:p w:rsidR="00000000" w:rsidDel="00000000" w:rsidP="00000000" w:rsidRDefault="00000000" w:rsidRPr="00000000" w14:paraId="00000056">
      <w:pPr>
        <w:spacing w:line="276" w:lineRule="auto"/>
        <w:ind w:left="226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Um conjunto de atividades ordenadas, estruturadas e articuladas para a realização de certos objetivos educacionais, que têm um princípio e um fim conhecidos tanto pelos professores como pelos alunos (...)</w:t>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 Onde foram seguidos os seguintes procedimentos: divisão da turma em grupos; apresentação do jogo para a turma; vivência com o jogo; coleta de dados sobre o jogo; análise estatística dos dados coletados; discussão em grupo para identificar a regularidade dos fenômenos e criar estratégias de jogos com o uso da probabilidade; campeonato de Yoté, onde os alunos irão pôr em prática as estratégias criadas. </w:t>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No primeiro momento os alunos foram apresentados ao jogo por meio de uma apresentação de </w:t>
      </w:r>
      <w:r w:rsidDel="00000000" w:rsidR="00000000" w:rsidRPr="00000000">
        <w:rPr>
          <w:rFonts w:ascii="Arial" w:cs="Arial" w:eastAsia="Arial" w:hAnsi="Arial"/>
          <w:i w:val="1"/>
          <w:rtl w:val="0"/>
        </w:rPr>
        <w:t xml:space="preserve">slides</w:t>
      </w:r>
      <w:r w:rsidDel="00000000" w:rsidR="00000000" w:rsidRPr="00000000">
        <w:rPr>
          <w:rFonts w:ascii="Arial" w:cs="Arial" w:eastAsia="Arial" w:hAnsi="Arial"/>
          <w:rtl w:val="0"/>
        </w:rPr>
        <w:t xml:space="preserve"> onde destacados a origem, as regras e o modo de jogar. No segundo encontro os alunos passaram a contato com o jogo para se familiarizarem e entenderem melhor como funcionam as regras, após essa etapa a turma foi dividida em grupos e passaram a observar algumas partidas e anotarem essas informações em uma tabela para analisarem as estratégias calcular a probabilidade das jogadas e elaborar novas estratégias.</w:t>
      </w:r>
    </w:p>
    <w:p w:rsidR="00000000" w:rsidDel="00000000" w:rsidP="00000000" w:rsidRDefault="00000000" w:rsidRPr="00000000" w14:paraId="00000059">
      <w:pPr>
        <w:ind w:firstLine="0"/>
        <w:rPr>
          <w:rFonts w:ascii="Arial" w:cs="Arial" w:eastAsia="Arial" w:hAnsi="Arial"/>
          <w:b w:val="1"/>
        </w:rPr>
      </w:pPr>
      <w:r w:rsidDel="00000000" w:rsidR="00000000" w:rsidRPr="00000000">
        <w:rPr>
          <w:rFonts w:ascii="Arial" w:cs="Arial" w:eastAsia="Arial" w:hAnsi="Arial"/>
          <w:b w:val="1"/>
          <w:rtl w:val="0"/>
        </w:rPr>
        <w:t xml:space="preserve">4 DISCUSSAO E RESULTADOS</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Iniciamos a discussão das atividades realizadas com a analise dos dados obtidos através de um questionário online na plataforma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Google Forms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precedido por uma apresentação de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slides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destacando a origem e regras do jogo, com os alunos do ultimo período do curso de licenciatura em matemática do Instituto Federal de Educação, Ciências e Tecnologias – IFPI, campus Angical do Piauí, que já cursaram a disciplina de Probabilidade presente na grade curricular do curso. O mesmo é composto por onze questões, sendo quatro de múltipla escolha com duas alternativas “sim” e “não”, trazia questões acerca do conhecimento prévio dos formandos em relação ao jogo e suas opiniões sobre a sua utilização no ensino de matemática e em especial no ensino de probabilidade, como por exemplo:</w:t>
      </w:r>
    </w:p>
    <w:p w:rsidR="00000000" w:rsidDel="00000000" w:rsidP="00000000" w:rsidRDefault="00000000" w:rsidRPr="00000000" w14:paraId="0000005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Você conhecia o jogo Yoté?</w:t>
      </w:r>
    </w:p>
    <w:p w:rsidR="00000000" w:rsidDel="00000000" w:rsidP="00000000" w:rsidRDefault="00000000" w:rsidRPr="00000000" w14:paraId="0000005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Você já jogou Yoté?</w:t>
      </w:r>
    </w:p>
    <w:p w:rsidR="00000000" w:rsidDel="00000000" w:rsidP="00000000" w:rsidRDefault="00000000" w:rsidRPr="00000000" w14:paraId="0000005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Você acha que esse jogo poderia ser aplicado no ensino de matemática?</w:t>
      </w:r>
    </w:p>
    <w:p w:rsidR="00000000" w:rsidDel="00000000" w:rsidP="00000000" w:rsidRDefault="00000000" w:rsidRPr="00000000" w14:paraId="0000005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Você acha que esse jogo pode ser utilizado no ensino de probabilidade no ensino médio?</w:t>
      </w:r>
    </w:p>
    <w:p w:rsidR="00000000" w:rsidDel="00000000" w:rsidP="00000000" w:rsidRDefault="00000000" w:rsidRPr="00000000" w14:paraId="0000005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Como você utilizaria este jogo no ensino de probabilidade?</w:t>
      </w:r>
    </w:p>
    <w:p w:rsidR="00000000" w:rsidDel="00000000" w:rsidP="00000000" w:rsidRDefault="00000000" w:rsidRPr="00000000" w14:paraId="0000006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854"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Quais as vantagens e desvantagens você poderia destacar em relação à utilização do Yoté no ensino de probabilidade?</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Oito alunos responderam ao questionário dentre eles 25% não conheciam o jogo e os outros 75% já o conheciam (gráfico 1), E 61% já jogaram pelo menos uma vez os outros 39% não haviam jogado ainda (gráfico 2). </w:t>
      </w:r>
      <w:r w:rsidDel="00000000" w:rsidR="00000000" w:rsidRPr="00000000">
        <w:rPr>
          <w:rFonts w:ascii="Arial" w:cs="Arial" w:eastAsia="Arial" w:hAnsi="Arial"/>
          <w:b w:val="0"/>
          <w:i w:val="0"/>
          <w:smallCaps w:val="0"/>
          <w:strike w:val="0"/>
          <w:color w:val="000000"/>
          <w:sz w:val="24"/>
          <w:szCs w:val="24"/>
          <w:u w:val="none"/>
          <w:shd w:fill="auto" w:val="clear"/>
          <w:vertAlign w:val="baseline"/>
        </w:rPr>
        <mc:AlternateContent>
          <mc:Choice Requires="wps">
            <w:drawing>
              <wp:inline distB="0" distT="0" distL="0" distR="0">
                <wp:extent cx="4805916" cy="2775098"/>
                <wp:effectExtent b="6350" l="0" r="13970" t="0"/>
                <wp:docPr id="37" name=""/>
                <a:graphic>
                  <a:graphicData uri="http://schemas.microsoft.com/office/word/2010/wordprocessingGroup">
                    <wpg:wgp>
                      <wpg:cNvGrpSpPr/>
                      <wpg:grpSpPr>
                        <a:xfrm>
                          <a:off x="0" y="0"/>
                          <a:ext cx="4805916" cy="2775098"/>
                          <a:chOff x="0" y="0"/>
                          <a:chExt cx="6538403" cy="2218661"/>
                        </a:xfrm>
                      </wpg:grpSpPr>
                      <wpg:grpSp>
                        <wpg:cNvGrpSpPr/>
                        <wpg:cNvPr id="37" name="Grupo 37"/>
                        <wpg:grpSpPr>
                          <a:xfrm>
                            <a:off x="0" y="10633"/>
                            <a:ext cx="3668232" cy="2208028"/>
                            <a:chOff x="0" y="0"/>
                            <a:chExt cx="3668232" cy="2208028"/>
                          </a:xfrm>
                        </wpg:grpSpPr>
                        <wps:wsp>
                          <wps:cNvSpPr txBox="1"/>
                          <wps:cNvPr id="32" name="Caixa de texto 32"/>
                          <wps:spPr>
                            <a:xfrm>
                              <a:off x="1477925" y="1903228"/>
                              <a:ext cx="790575" cy="304800"/>
                            </a:xfrm>
                            <a:prstGeom prst="rect">
                              <a:avLst/>
                            </a:prstGeom>
                            <a:noFill/>
                            <a:ln>
                              <a:noFill/>
                            </a:ln>
                            <a:effectLst/>
                          </wps:spPr>
                          <wps:txbx>
                            <w:txbxContent>
                              <w:p w:rsidR="002F2848" w:rsidDel="00000000" w:rsidP="002F2848" w:rsidRDefault="002F2848" w:rsidRPr="002F2848" w14:paraId="5CB138CE" w14:textId="77777777">
                                <w:pPr>
                                  <w:pStyle w:val="Legenda"/>
                                  <w:ind w:firstLine="0"/>
                                  <w:jc w:val="center"/>
                                  <w:rPr>
                                    <w:rFonts w:ascii="Arial" w:cs="Arial" w:hAnsi="Arial"/>
                                    <w:noProof w:val="1"/>
                                    <w:color w:val="auto"/>
                                    <w:sz w:val="24"/>
                                    <w:szCs w:val="24"/>
                                  </w:rPr>
                                </w:pPr>
                                <w:proofErr w:type="spellStart"/>
                                <w:proofErr w:type="gramStart"/>
                                <w:r w:rsidDel="00000000" w:rsidR="00000000" w:rsidRPr="002F2848">
                                  <w:rPr>
                                    <w:color w:val="auto"/>
                                    <w:sz w:val="24"/>
                                    <w:szCs w:val="24"/>
                                  </w:rPr>
                                  <w:t>grafico</w:t>
                                </w:r>
                                <w:proofErr w:type="spellEnd"/>
                                <w:proofErr w:type="gramEnd"/>
                                <w:r w:rsidDel="00000000" w:rsidR="00000000" w:rsidRPr="002F2848">
                                  <w:rPr>
                                    <w:color w:val="auto"/>
                                    <w:sz w:val="24"/>
                                    <w:szCs w:val="24"/>
                                  </w:rPr>
                                  <w:t xml:space="preserve"> 1</w:t>
                                </w:r>
                              </w:p>
                            </w:txbxContent>
                          </wps:txbx>
                          <wps:bodyPr anchorCtr="0" anchor="t" bIns="0" rtlCol="0" compatLnSpc="1" forceAA="0" fromWordArt="0" horzOverflow="overflow" lIns="0" numCol="1" spcFirstLastPara="0" rIns="0" rot="0" spcCol="0" vert="horz" wrap="square" tIns="0" vertOverflow="overflow">
                            <a:prstTxWarp prst="textNoShape">
                              <a:avLst/>
                            </a:prstTxWarp>
                            <a:noAutofit/>
                          </wps:bodyPr>
                        </wps:wsp>
                      </wpg:grpSp>
                      <wpg:grpSp>
                        <wpg:cNvGrpSpPr/>
                        <wpg:cNvPr id="36" name="Grupo 36"/>
                        <wpg:grpSpPr>
                          <a:xfrm>
                            <a:off x="3296093" y="0"/>
                            <a:ext cx="3242310" cy="2196268"/>
                            <a:chOff x="0" y="0"/>
                            <a:chExt cx="3242930" cy="2196268"/>
                          </a:xfrm>
                        </wpg:grpSpPr>
                        <wps:wsp>
                          <wps:cNvSpPr txBox="1"/>
                          <wps:cNvPr id="34" name="Caixa de texto 34"/>
                          <wps:spPr>
                            <a:xfrm>
                              <a:off x="0" y="1902841"/>
                              <a:ext cx="3237745" cy="293427"/>
                            </a:xfrm>
                            <a:prstGeom prst="rect">
                              <a:avLst/>
                            </a:prstGeom>
                            <a:noFill/>
                            <a:ln>
                              <a:noFill/>
                            </a:ln>
                            <a:effectLst/>
                          </wps:spPr>
                          <wps:txbx>
                            <w:txbxContent>
                              <w:p w:rsidR="002F2848" w:rsidDel="00000000" w:rsidP="002F2848" w:rsidRDefault="002F2848" w:rsidRPr="002F2848" w14:paraId="15DD13C0" w14:textId="77777777">
                                <w:pPr>
                                  <w:pStyle w:val="Legenda"/>
                                  <w:ind w:firstLine="0"/>
                                  <w:jc w:val="center"/>
                                  <w:rPr>
                                    <w:noProof w:val="1"/>
                                    <w:color w:val="auto"/>
                                    <w:sz w:val="24"/>
                                    <w:szCs w:val="24"/>
                                  </w:rPr>
                                </w:pPr>
                                <w:r w:rsidDel="00000000" w:rsidR="00000000" w:rsidRPr="002F2848">
                                  <w:rPr>
                                    <w:noProof w:val="1"/>
                                    <w:color w:val="auto"/>
                                    <w:sz w:val="24"/>
                                    <w:szCs w:val="24"/>
                                  </w:rPr>
                                  <w:t>grafico 2</w:t>
                                </w:r>
                              </w:p>
                            </w:txbxContent>
                          </wps:txbx>
                          <wps:bodyPr anchorCtr="0" anchor="t" bIns="0" rtlCol="0" compatLnSpc="1" forceAA="0" fromWordArt="0" horzOverflow="overflow" lIns="0" numCol="1" spcFirstLastPara="0" rIns="0" rot="0" spcCol="0" vert="horz" wrap="square" tIns="0" vertOverflow="overflow">
                            <a:prstTxWarp prst="textNoShape">
                              <a:avLst/>
                            </a:prstTxWarp>
                            <a:noAutofit/>
                          </wps:bodyPr>
                        </wps:wsp>
                      </wpg:grpSp>
                    </wpg:wgp>
                  </a:graphicData>
                </a:graphic>
              </wp:inline>
            </w:drawing>
          </mc:Choice>
          <mc:Fallback>
            <w:drawing>
              <wp:inline distB="0" distT="0" distL="0" distR="0">
                <wp:extent cx="4819886" cy="2781448"/>
                <wp:effectExtent b="0" l="0" r="0" t="0"/>
                <wp:docPr id="3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819886" cy="278144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3">
      <w:pPr>
        <w:keepNext w:val="1"/>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Todos os indivíduos concordaram que o jogo pode sim ser utilizado no ensino de matemática, nas áreas de geometria, matrizes, conjuntos, funções e também no ensino das operações básicas no ensino fundamental, maioria destacou o seu uso no ensino de analise combinatório como podemos ver na tabela 1.</w:t>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Pr>
        <w:drawing>
          <wp:inline distB="0" distT="0" distL="0" distR="0">
            <wp:extent cx="3571875" cy="2628900"/>
            <wp:effectExtent b="19050" l="0" r="9525" t="0"/>
            <wp:docPr id="40" name=""/>
            <a:graphic>
              <a:graphicData uri="http://schemas.openxmlformats.org/drawingml/2006/chart">
                <c:chart r:id="rId13"/>
              </a:graphicData>
            </a:graphic>
          </wp:inline>
        </w:drawing>
      </w: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Mesmo a maioria não destacando o seu uso no ensino de probabilidade ao listar os conteúdos matemáticos, todos responderam positivamente ao serem questionados sobre o seu uso no ensino de probabilidade, destacando como os mesmos aplicariam o jogo durante uma aula sobre o assunto, nesse ponto podemos sintetizar as respostas da seguinte forma, os alunos podem calcular as possibilidades ou probabilidades de movimentos durante o jogo, podendo elaborar um planejamento estratégico para obter a vitória.</w:t>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Os resultados esperados em uma aula com o Yoté são positivos, espera-se que o aluno possa perceber a matemática presente no jogo, e enxergar que a probabilidade esta presente no nosso cotidiano e não é somente um conteúdo isolado do currículo escolar, cabe destacar também a valorização do uso de jogos de origem africana no ensino da matemática como previsto na lei 10.639, que prevê a inserção da cultura africana e afro brasileira em todo o currículo escolar. </w:t>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Por ser uma ferramenta lúdica para o ensino de matemática podemos destacar algumas vantagens da sua utilização no contexto educacional baseadas nas respostas dos discentes que responderam ao questionário, dentre elas, o jogo permite que os alunos visualizem os problemas propostos, promove a interação entre teoria e pratica interação entre os alunos, desenvolvimento da capacidade cognitiva do aluno, além de gerar um clima de descontração e deixar a aula mais leve e divertida. Como toda ferramenta didática o jogo também tem suas desvantagens a principal delas, segundo os entrevistados, é a falta de conhecimento em relação ao jogo pois a sua utilização em sala não algo comum, o que tornaria a aula um pouco mais extensa pois grande parte do tempo seria para explicar o que é, de onde vem e como jogar.</w:t>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O uso de jogos no ensino de matemática caracteriza-se como uma ferramenta interessante, pois facilita o aprendizado do aluno, uma vez que prendem a atenção do aluno e incentivam sua participação ativa no processo de ensino aprendizagem, geram um clima de competição amigável que faz com que o aluno procure conhecer mais sobre o assunto para se dar bem, as desvantagens podem aparecer uma vez que o comportamento dos alunos pode ser contrario ao esperado e o que seria para ser uma aula diferente, atraente e interessante pode se transformar em caos e bagunça em sala de aula, a aceitação do jogo pelos alunos também pode variar de turma para turma.  </w:t>
      </w:r>
    </w:p>
    <w:p w:rsidR="00000000" w:rsidDel="00000000" w:rsidP="00000000" w:rsidRDefault="00000000" w:rsidRPr="00000000" w14:paraId="0000006B">
      <w:pPr>
        <w:rPr>
          <w:rFonts w:ascii="Arial" w:cs="Arial" w:eastAsia="Arial" w:hAnsi="Arial"/>
        </w:rPr>
      </w:pPr>
      <w:r w:rsidDel="00000000" w:rsidR="00000000" w:rsidRPr="00000000">
        <w:rPr>
          <w:rtl w:val="0"/>
        </w:rPr>
      </w:r>
    </w:p>
    <w:p w:rsidR="00000000" w:rsidDel="00000000" w:rsidP="00000000" w:rsidRDefault="00000000" w:rsidRPr="00000000" w14:paraId="0000006C">
      <w:pPr>
        <w:ind w:left="1440" w:hanging="305.99999999999994"/>
        <w:rPr>
          <w:rFonts w:ascii="Arial" w:cs="Arial" w:eastAsia="Arial" w:hAnsi="Arial"/>
          <w:b w:val="1"/>
        </w:rPr>
      </w:pPr>
      <w:r w:rsidDel="00000000" w:rsidR="00000000" w:rsidRPr="00000000">
        <w:rPr>
          <w:rtl w:val="0"/>
        </w:rPr>
      </w:r>
    </w:p>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rPr>
          <w:rtl w:val="0"/>
        </w:rPr>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ind w:firstLine="0"/>
        <w:rPr>
          <w:rFonts w:ascii="Arial" w:cs="Arial" w:eastAsia="Arial" w:hAnsi="Arial"/>
          <w:b w:val="1"/>
        </w:rPr>
      </w:pPr>
      <w:r w:rsidDel="00000000" w:rsidR="00000000" w:rsidRPr="00000000">
        <w:rPr>
          <w:rFonts w:ascii="Arial" w:cs="Arial" w:eastAsia="Arial" w:hAnsi="Arial"/>
          <w:b w:val="1"/>
          <w:rtl w:val="0"/>
        </w:rPr>
        <w:t xml:space="preserve">REFERENCIAS</w:t>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ZABALA, Antoni.,  A prática educativa: como ensinar. Trad. Ernani F. da Rosa  – Porto Alegre: ArtMed, 1998. </w:t>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Brasil no PISA 2015 : análises e reflexões sobre o desempenho dos estudantes brasileiros / OCDE-Organização para a Cooperação e Desenvolvimento Econômico. — São Paulo : Fundação Santillana, 2016.</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Brasil, Ministerio da Educação e do desporto, Secretaria de Educação Fundamental. Parâmetros curriculares nacionais. Brasilia: MEC/SEF, 2008.</w:t>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Smole, Katia Cristina Stocco, Matemática – Volume 2 – ensino médio, - 3. ed. Reform. – São Paulo: Saraiva, 2003.</w:t>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 GRANDO, Regina Célia. Tese de doutorado:  O Conhecimento Matemático e o uso de Jogos na Sala de Aula. Universidade Estadual De Campinas. Campinas, SP: [s.n.], 2000.</w:t>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GIL, Antônio Carlos. Métodos e técnicas de pesquisa social / Antonio Carlos Gil. - 6. ed. - São Paulo : Atlas, 2008.</w:t>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sectPr>
      <w:pgSz w:h="16838" w:w="11906"/>
      <w:pgMar w:bottom="1134" w:top="1701" w:left="1701"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Raimundo" w:id="0" w:date="2009-05-21T00:34:00Z">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Procurar Referencia</w:t>
      </w:r>
    </w:p>
  </w:comment>
  <w:comment w:author="Raimundo" w:id="2" w:date="2009-05-21T00:34:00Z">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Procurar Referencia</w:t>
      </w:r>
    </w:p>
  </w:comment>
  <w:comment w:author="Raimundo" w:id="1" w:date="2009-05-21T00:46:00Z">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Procurar referencia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mbria Math"/>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pt-BR"/>
      </w:rPr>
    </w:rPrDefault>
    <w:pPrDefault>
      <w:pPr>
        <w:spacing w:after="200" w:line="360" w:lineRule="auto"/>
        <w:ind w:firstLine="1134"/>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rPr>
  </w:style>
  <w:style w:type="paragraph" w:styleId="Ttulo5">
    <w:name w:val="heading 5"/>
    <w:basedOn w:val="Normal"/>
    <w:next w:val="Normal"/>
    <w:pPr>
      <w:keepNext w:val="1"/>
      <w:keepLines w:val="1"/>
      <w:spacing w:after="40" w:before="220"/>
      <w:outlineLvl w:val="4"/>
    </w:pPr>
    <w:rPr>
      <w:b w:val="1"/>
      <w:sz w:val="22"/>
      <w:szCs w:val="22"/>
    </w:rPr>
  </w:style>
  <w:style w:type="paragraph" w:styleId="Ttulo6">
    <w:name w:val="heading 6"/>
    <w:basedOn w:val="Normal"/>
    <w:next w:val="Normal"/>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character" w:styleId="Refdecomentrio">
    <w:name w:val="annotation reference"/>
    <w:basedOn w:val="Fontepargpadro"/>
    <w:uiPriority w:val="99"/>
    <w:semiHidden w:val="1"/>
    <w:unhideWhenUsed w:val="1"/>
    <w:rsid w:val="002F15C8"/>
    <w:rPr>
      <w:sz w:val="16"/>
      <w:szCs w:val="16"/>
    </w:rPr>
  </w:style>
  <w:style w:type="paragraph" w:styleId="Textodecomentrio">
    <w:name w:val="annotation text"/>
    <w:basedOn w:val="Normal"/>
    <w:link w:val="TextodecomentrioChar"/>
    <w:uiPriority w:val="99"/>
    <w:semiHidden w:val="1"/>
    <w:unhideWhenUsed w:val="1"/>
    <w:rsid w:val="002F15C8"/>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2F15C8"/>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2F15C8"/>
    <w:rPr>
      <w:b w:val="1"/>
      <w:bCs w:val="1"/>
    </w:rPr>
  </w:style>
  <w:style w:type="character" w:styleId="AssuntodocomentrioChar" w:customStyle="1">
    <w:name w:val="Assunto do comentário Char"/>
    <w:basedOn w:val="TextodecomentrioChar"/>
    <w:link w:val="Assuntodocomentrio"/>
    <w:uiPriority w:val="99"/>
    <w:semiHidden w:val="1"/>
    <w:rsid w:val="002F15C8"/>
    <w:rPr>
      <w:b w:val="1"/>
      <w:bCs w:val="1"/>
      <w:sz w:val="20"/>
      <w:szCs w:val="20"/>
    </w:rPr>
  </w:style>
  <w:style w:type="paragraph" w:styleId="Textodebalo">
    <w:name w:val="Balloon Text"/>
    <w:basedOn w:val="Normal"/>
    <w:link w:val="TextodebaloChar"/>
    <w:uiPriority w:val="99"/>
    <w:semiHidden w:val="1"/>
    <w:unhideWhenUsed w:val="1"/>
    <w:rsid w:val="002F15C8"/>
    <w:pPr>
      <w:spacing w:after="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2F15C8"/>
    <w:rPr>
      <w:rFonts w:ascii="Segoe UI" w:cs="Segoe UI" w:hAnsi="Segoe UI"/>
      <w:sz w:val="18"/>
      <w:szCs w:val="18"/>
    </w:rPr>
  </w:style>
  <w:style w:type="paragraph" w:styleId="PargrafodaLista">
    <w:name w:val="List Paragraph"/>
    <w:basedOn w:val="Normal"/>
    <w:uiPriority w:val="34"/>
    <w:qFormat w:val="1"/>
    <w:rsid w:val="00D35096"/>
    <w:pPr>
      <w:ind w:left="720"/>
      <w:contextualSpacing w:val="1"/>
    </w:pPr>
  </w:style>
  <w:style w:type="paragraph" w:styleId="Cabealho">
    <w:name w:val="header"/>
    <w:basedOn w:val="Normal"/>
    <w:link w:val="CabealhoChar"/>
    <w:uiPriority w:val="99"/>
    <w:unhideWhenUsed w:val="1"/>
    <w:rsid w:val="00D35096"/>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D35096"/>
  </w:style>
  <w:style w:type="paragraph" w:styleId="Rodap">
    <w:name w:val="footer"/>
    <w:basedOn w:val="Normal"/>
    <w:link w:val="RodapChar"/>
    <w:uiPriority w:val="99"/>
    <w:unhideWhenUsed w:val="1"/>
    <w:rsid w:val="00D35096"/>
    <w:pPr>
      <w:tabs>
        <w:tab w:val="center" w:pos="4252"/>
        <w:tab w:val="right" w:pos="8504"/>
      </w:tabs>
      <w:spacing w:after="0" w:line="240" w:lineRule="auto"/>
    </w:pPr>
  </w:style>
  <w:style w:type="character" w:styleId="RodapChar" w:customStyle="1">
    <w:name w:val="Rodapé Char"/>
    <w:basedOn w:val="Fontepargpadro"/>
    <w:link w:val="Rodap"/>
    <w:uiPriority w:val="99"/>
    <w:rsid w:val="00D35096"/>
  </w:style>
  <w:style w:type="paragraph" w:styleId="Textodenotadefim">
    <w:name w:val="endnote text"/>
    <w:basedOn w:val="Normal"/>
    <w:link w:val="TextodenotadefimChar"/>
    <w:uiPriority w:val="99"/>
    <w:semiHidden w:val="1"/>
    <w:unhideWhenUsed w:val="1"/>
    <w:rsid w:val="00D35096"/>
    <w:pPr>
      <w:spacing w:after="0" w:line="240" w:lineRule="auto"/>
    </w:pPr>
    <w:rPr>
      <w:sz w:val="20"/>
      <w:szCs w:val="20"/>
    </w:rPr>
  </w:style>
  <w:style w:type="character" w:styleId="TextodenotadefimChar" w:customStyle="1">
    <w:name w:val="Texto de nota de fim Char"/>
    <w:basedOn w:val="Fontepargpadro"/>
    <w:link w:val="Textodenotadefim"/>
    <w:uiPriority w:val="99"/>
    <w:semiHidden w:val="1"/>
    <w:rsid w:val="00D35096"/>
    <w:rPr>
      <w:sz w:val="20"/>
      <w:szCs w:val="20"/>
    </w:rPr>
  </w:style>
  <w:style w:type="character" w:styleId="Refdenotadefim">
    <w:name w:val="endnote reference"/>
    <w:basedOn w:val="Fontepargpadro"/>
    <w:uiPriority w:val="99"/>
    <w:semiHidden w:val="1"/>
    <w:unhideWhenUsed w:val="1"/>
    <w:rsid w:val="00D35096"/>
    <w:rPr>
      <w:vertAlign w:val="superscript"/>
    </w:rPr>
  </w:style>
  <w:style w:type="paragraph" w:styleId="Textodenotaderodap">
    <w:name w:val="footnote text"/>
    <w:basedOn w:val="Normal"/>
    <w:link w:val="TextodenotaderodapChar"/>
    <w:uiPriority w:val="99"/>
    <w:semiHidden w:val="1"/>
    <w:unhideWhenUsed w:val="1"/>
    <w:rsid w:val="00D35096"/>
    <w:pPr>
      <w:spacing w:after="0" w:line="240" w:lineRule="auto"/>
    </w:pPr>
    <w:rPr>
      <w:sz w:val="20"/>
      <w:szCs w:val="20"/>
    </w:rPr>
  </w:style>
  <w:style w:type="character" w:styleId="TextodenotaderodapChar" w:customStyle="1">
    <w:name w:val="Texto de nota de rodapé Char"/>
    <w:basedOn w:val="Fontepargpadro"/>
    <w:link w:val="Textodenotaderodap"/>
    <w:uiPriority w:val="99"/>
    <w:semiHidden w:val="1"/>
    <w:rsid w:val="00D35096"/>
    <w:rPr>
      <w:sz w:val="20"/>
      <w:szCs w:val="20"/>
    </w:rPr>
  </w:style>
  <w:style w:type="character" w:styleId="Refdenotaderodap">
    <w:name w:val="footnote reference"/>
    <w:basedOn w:val="Fontepargpadro"/>
    <w:uiPriority w:val="99"/>
    <w:semiHidden w:val="1"/>
    <w:unhideWhenUsed w:val="1"/>
    <w:rsid w:val="00D35096"/>
    <w:rPr>
      <w:vertAlign w:val="superscript"/>
    </w:rPr>
  </w:style>
  <w:style w:type="character" w:styleId="TextodoEspaoReservado">
    <w:name w:val="Placeholder Text"/>
    <w:basedOn w:val="Fontepargpadro"/>
    <w:uiPriority w:val="99"/>
    <w:semiHidden w:val="1"/>
    <w:rsid w:val="006D58D4"/>
    <w:rPr>
      <w:color w:val="808080"/>
    </w:rPr>
  </w:style>
  <w:style w:type="paragraph" w:styleId="Legenda">
    <w:name w:val="caption"/>
    <w:basedOn w:val="Normal"/>
    <w:next w:val="Normal"/>
    <w:uiPriority w:val="35"/>
    <w:unhideWhenUsed w:val="1"/>
    <w:qFormat w:val="1"/>
    <w:rsid w:val="00D274C1"/>
    <w:pPr>
      <w:spacing w:line="240" w:lineRule="auto"/>
    </w:pPr>
    <w:rPr>
      <w:b w:val="1"/>
      <w:bCs w:val="1"/>
      <w:color w:val="4f81bd" w:themeColor="accent1"/>
      <w:sz w:val="18"/>
      <w:szCs w:val="18"/>
    </w:rPr>
  </w:style>
  <w:style w:type="paragraph" w:styleId="SemEspaamento">
    <w:name w:val="No Spacing"/>
    <w:uiPriority w:val="1"/>
    <w:qFormat w:val="1"/>
    <w:rsid w:val="00AC058C"/>
    <w:pPr>
      <w:spacing w:after="0" w:line="240" w:lineRule="auto"/>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5" Type="http://schemas.openxmlformats.org/officeDocument/2006/relationships/settings" Target="settings.xml"/><Relationship Id="rId12" Type="http://schemas.openxmlformats.org/officeDocument/2006/relationships/image" Target="media/image3.png"/><Relationship Id="rId11" Type="http://schemas.openxmlformats.org/officeDocument/2006/relationships/image" Target="media/image5.png"/><Relationship Id="rId7" Type="http://schemas.openxmlformats.org/officeDocument/2006/relationships/numbering" Target="numbering.xml"/><Relationship Id="rId2" Type="http://schemas.openxmlformats.org/officeDocument/2006/relationships/image" Target="media/image1.jpg"/><Relationship Id="rId10" Type="http://schemas.openxmlformats.org/officeDocument/2006/relationships/image" Target="media/image2.png"/><Relationship Id="rId13" Type="http://schemas.openxmlformats.org/officeDocument/2006/relationships/chart" Target="charts/chart1.xml"/><Relationship Id="rId8" Type="http://schemas.openxmlformats.org/officeDocument/2006/relationships/styles" Target="styles.xml"/><Relationship Id="rId4" Type="http://schemas.openxmlformats.org/officeDocument/2006/relationships/comments" Target="comments.xml"/><Relationship Id="rId3" Type="http://schemas.openxmlformats.org/officeDocument/2006/relationships/theme" Target="theme/theme1.xml"/><Relationship Id="rId9" Type="http://schemas.openxmlformats.org/officeDocument/2006/relationships/image" Target="media/image7.png"/><Relationship Id="rId6" Type="http://schemas.openxmlformats.org/officeDocument/2006/relationships/fontTable" Target="fontTable.xml"/><Relationship Id="rId1" Type="http://schemas.openxmlformats.org/officeDocument/2006/relationships/image" Target="media/image6.jp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tabela 1</a:t>
            </a:r>
          </a:p>
        </c:rich>
      </c:tx>
      <c:overlay val="0"/>
    </c:title>
    <c:autoTitleDeleted val="0"/>
    <c:plotArea>
      <c:layout/>
      <c:barChart>
        <c:barDir val="col"/>
        <c:grouping val="clustered"/>
        <c:varyColors val="0"/>
        <c:ser>
          <c:idx val="0"/>
          <c:order val="0"/>
          <c:tx>
            <c:strRef>
              <c:f>Plan1!$B$1</c:f>
              <c:strCache>
                <c:ptCount val="1"/>
                <c:pt idx="0">
                  <c:v>areas de aplicação</c:v>
                </c:pt>
              </c:strCache>
            </c:strRef>
          </c:tx>
          <c:invertIfNegative val="0"/>
          <c:cat>
            <c:strRef>
              <c:f>Plan1!$A$2:$A$8</c:f>
              <c:strCache>
                <c:ptCount val="7"/>
                <c:pt idx="0">
                  <c:v>gometria</c:v>
                </c:pt>
                <c:pt idx="1">
                  <c:v>matrizes</c:v>
                </c:pt>
                <c:pt idx="2">
                  <c:v>conjuntos</c:v>
                </c:pt>
                <c:pt idx="3">
                  <c:v>funçoes</c:v>
                </c:pt>
                <c:pt idx="4">
                  <c:v>op. Basicas</c:v>
                </c:pt>
                <c:pt idx="5">
                  <c:v>contagem </c:v>
                </c:pt>
                <c:pt idx="6">
                  <c:v>probabilidade</c:v>
                </c:pt>
              </c:strCache>
            </c:strRef>
          </c:cat>
          <c:val>
            <c:numRef>
              <c:f>Plan1!$B$2:$B$8</c:f>
              <c:numCache>
                <c:formatCode>General</c:formatCode>
                <c:ptCount val="7"/>
                <c:pt idx="0">
                  <c:v>5</c:v>
                </c:pt>
                <c:pt idx="1">
                  <c:v>2</c:v>
                </c:pt>
                <c:pt idx="2">
                  <c:v>1</c:v>
                </c:pt>
                <c:pt idx="3">
                  <c:v>1</c:v>
                </c:pt>
                <c:pt idx="4">
                  <c:v>1</c:v>
                </c:pt>
                <c:pt idx="5">
                  <c:v>6</c:v>
                </c:pt>
                <c:pt idx="6">
                  <c:v>5</c:v>
                </c:pt>
              </c:numCache>
            </c:numRef>
          </c:val>
        </c:ser>
        <c:dLbls>
          <c:showLegendKey val="0"/>
          <c:showVal val="0"/>
          <c:showCatName val="0"/>
          <c:showSerName val="0"/>
          <c:showPercent val="0"/>
          <c:showBubbleSize val="0"/>
        </c:dLbls>
        <c:gapWidth val="75"/>
        <c:overlap val="-25"/>
        <c:axId val="103672832"/>
        <c:axId val="103850752"/>
      </c:barChart>
      <c:catAx>
        <c:axId val="103672832"/>
        <c:scaling>
          <c:orientation val="minMax"/>
        </c:scaling>
        <c:delete val="0"/>
        <c:axPos val="b"/>
        <c:majorTickMark val="none"/>
        <c:minorTickMark val="none"/>
        <c:tickLblPos val="nextTo"/>
        <c:crossAx val="103850752"/>
        <c:crosses val="autoZero"/>
        <c:auto val="1"/>
        <c:lblAlgn val="ctr"/>
        <c:lblOffset val="100"/>
        <c:noMultiLvlLbl val="0"/>
      </c:catAx>
      <c:valAx>
        <c:axId val="103850752"/>
        <c:scaling>
          <c:orientation val="minMax"/>
        </c:scaling>
        <c:delete val="0"/>
        <c:axPos val="l"/>
        <c:majorGridlines/>
        <c:numFmt formatCode="General" sourceLinked="1"/>
        <c:majorTickMark val="none"/>
        <c:minorTickMark val="none"/>
        <c:tickLblPos val="nextTo"/>
        <c:spPr>
          <a:ln w="9525">
            <a:noFill/>
          </a:ln>
        </c:spPr>
        <c:crossAx val="103672832"/>
        <c:crosses val="autoZero"/>
        <c:crossBetween val="between"/>
      </c:valAx>
    </c:plotArea>
    <c:legend>
      <c:legendPos val="b"/>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2018-11-14T01:19:00Z</dcterms:created>
  <dc:creator>Raimundo</dc:creator>
</cp:coreProperties>
</file>