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43C" w:rsidRDefault="003D4B58" w:rsidP="00A4443C">
      <w:pPr>
        <w:pStyle w:val="Heading1"/>
        <w:jc w:val="center"/>
        <w:rPr>
          <w:color w:val="385623" w:themeColor="accent6" w:themeShade="80"/>
        </w:rPr>
      </w:pPr>
      <w:r w:rsidRPr="00A4443C">
        <w:rPr>
          <w:color w:val="385623" w:themeColor="accent6" w:themeShade="80"/>
        </w:rPr>
        <w:t>Preparation of 16S rRNA amplicons for sequencing (Illumina MiSeq</w:t>
      </w:r>
      <w:r w:rsidR="00A4443C">
        <w:rPr>
          <w:color w:val="385623" w:themeColor="accent6" w:themeShade="80"/>
        </w:rPr>
        <w:t xml:space="preserve"> - </w:t>
      </w:r>
      <w:r w:rsidRPr="00A4443C">
        <w:rPr>
          <w:color w:val="385623" w:themeColor="accent6" w:themeShade="80"/>
        </w:rPr>
        <w:t>paired end)</w:t>
      </w:r>
    </w:p>
    <w:p w:rsidR="003D4B58" w:rsidRPr="00A4443C" w:rsidRDefault="00A4443C" w:rsidP="00A4443C">
      <w:pPr>
        <w:pStyle w:val="Heading1"/>
        <w:jc w:val="center"/>
        <w:rPr>
          <w:color w:val="385623" w:themeColor="accent6" w:themeShade="80"/>
        </w:rPr>
      </w:pPr>
      <w:r>
        <w:rPr>
          <w:color w:val="385623" w:themeColor="accent6" w:themeShade="80"/>
        </w:rPr>
        <w:t>-----</w:t>
      </w:r>
      <w:r w:rsidRPr="00A4443C">
        <w:rPr>
          <w:color w:val="385623" w:themeColor="accent6" w:themeShade="80"/>
        </w:rPr>
        <w:t xml:space="preserve"> FEM lab, NUIG</w:t>
      </w:r>
      <w:r>
        <w:rPr>
          <w:color w:val="385623" w:themeColor="accent6" w:themeShade="80"/>
        </w:rPr>
        <w:t xml:space="preserve"> -----</w:t>
      </w:r>
    </w:p>
    <w:p w:rsidR="00EA1722" w:rsidRPr="00EA1722" w:rsidRDefault="00EA1722" w:rsidP="00EA1722"/>
    <w:p w:rsidR="003D4B58" w:rsidRPr="00EA1722" w:rsidRDefault="003D4B58" w:rsidP="00EA1722">
      <w:pPr>
        <w:spacing w:line="276" w:lineRule="auto"/>
        <w:rPr>
          <w:rFonts w:ascii="Avenir" w:hAnsi="Avenir"/>
        </w:rPr>
      </w:pPr>
      <w:r w:rsidRPr="00EA1722">
        <w:rPr>
          <w:rFonts w:ascii="Avenir" w:hAnsi="Avenir"/>
        </w:rPr>
        <w:t>Here, b</w:t>
      </w:r>
      <w:r w:rsidRPr="00EA1722">
        <w:rPr>
          <w:rFonts w:ascii="Avenir" w:hAnsi="Avenir"/>
        </w:rPr>
        <w:t xml:space="preserve">arcoded, universal bacterial archaeal primers 515F/806R (Caporaso </w:t>
      </w:r>
      <w:r w:rsidRPr="00EA1722">
        <w:rPr>
          <w:rFonts w:ascii="Avenir" w:hAnsi="Avenir"/>
          <w:i/>
        </w:rPr>
        <w:t xml:space="preserve">et al.  </w:t>
      </w:r>
      <w:r w:rsidRPr="00EA1722">
        <w:rPr>
          <w:rFonts w:ascii="Avenir" w:hAnsi="Avenir"/>
        </w:rPr>
        <w:t>2011)</w:t>
      </w:r>
      <w:r w:rsidR="00951A92">
        <w:rPr>
          <w:rFonts w:ascii="Avenir" w:hAnsi="Avenir"/>
        </w:rPr>
        <w:t>,</w:t>
      </w:r>
      <w:r w:rsidRPr="00EA1722">
        <w:rPr>
          <w:rFonts w:ascii="Avenir" w:hAnsi="Avenir"/>
        </w:rPr>
        <w:t xml:space="preserve"> </w:t>
      </w:r>
      <w:r w:rsidR="00951A92">
        <w:rPr>
          <w:rFonts w:ascii="Avenir" w:hAnsi="Avenir"/>
        </w:rPr>
        <w:t xml:space="preserve">with barcodes and Illumina adaptors, </w:t>
      </w:r>
      <w:r w:rsidRPr="00EA1722">
        <w:rPr>
          <w:rFonts w:ascii="Avenir" w:hAnsi="Avenir"/>
        </w:rPr>
        <w:t>are</w:t>
      </w:r>
      <w:r w:rsidRPr="00EA1722">
        <w:rPr>
          <w:rFonts w:ascii="Avenir" w:hAnsi="Avenir"/>
        </w:rPr>
        <w:t xml:space="preserve"> used to amplify the V4 region of 16S rRNA genes from DNA and</w:t>
      </w:r>
      <w:r w:rsidRPr="00EA1722">
        <w:rPr>
          <w:rFonts w:ascii="Avenir" w:hAnsi="Avenir"/>
        </w:rPr>
        <w:t>/or</w:t>
      </w:r>
      <w:r w:rsidRPr="00EA1722">
        <w:rPr>
          <w:rFonts w:ascii="Avenir" w:hAnsi="Avenir"/>
        </w:rPr>
        <w:t xml:space="preserve"> corresponding transcripts from cDNA. </w:t>
      </w:r>
      <w:r w:rsidR="00040452">
        <w:rPr>
          <w:rFonts w:ascii="Avenir" w:hAnsi="Avenir"/>
        </w:rPr>
        <w:t>These primer sequences and</w:t>
      </w:r>
      <w:r w:rsidRPr="00EA1722">
        <w:rPr>
          <w:rFonts w:ascii="Avenir" w:hAnsi="Avenir"/>
        </w:rPr>
        <w:t xml:space="preserve"> details </w:t>
      </w:r>
      <w:r w:rsidR="00040452">
        <w:rPr>
          <w:rFonts w:ascii="Avenir" w:hAnsi="Avenir"/>
        </w:rPr>
        <w:t xml:space="preserve">of ordering them </w:t>
      </w:r>
      <w:r w:rsidRPr="00EA1722">
        <w:rPr>
          <w:rFonts w:ascii="Avenir" w:hAnsi="Avenir"/>
        </w:rPr>
        <w:t>are available from the Earth Microbiome Project:</w:t>
      </w:r>
    </w:p>
    <w:p w:rsidR="003D4B58" w:rsidRDefault="00260F7C" w:rsidP="00EA1722">
      <w:pPr>
        <w:spacing w:line="276" w:lineRule="auto"/>
        <w:rPr>
          <w:rFonts w:ascii="Avenir" w:hAnsi="Avenir"/>
        </w:rPr>
      </w:pPr>
      <w:hyperlink r:id="rId5" w:history="1">
        <w:r w:rsidRPr="00EF3BAB">
          <w:rPr>
            <w:rStyle w:val="Hyperlink"/>
            <w:rFonts w:ascii="Avenir" w:hAnsi="Avenir"/>
          </w:rPr>
          <w:t>http://www.earthmicrobiome.org/protocols-and-standards/16s/</w:t>
        </w:r>
      </w:hyperlink>
      <w:r w:rsidR="003D4B58" w:rsidRPr="00EA1722">
        <w:rPr>
          <w:rFonts w:ascii="Avenir" w:hAnsi="Avenir"/>
        </w:rPr>
        <w:t xml:space="preserve"> </w:t>
      </w:r>
    </w:p>
    <w:p w:rsidR="00260F7C" w:rsidRPr="00EA1722" w:rsidRDefault="00260F7C" w:rsidP="00EA1722">
      <w:pPr>
        <w:spacing w:line="276" w:lineRule="auto"/>
        <w:rPr>
          <w:rFonts w:ascii="Avenir" w:hAnsi="Avenir"/>
        </w:rPr>
      </w:pPr>
      <w:r>
        <w:rPr>
          <w:rFonts w:ascii="Avenir" w:hAnsi="Avenir"/>
        </w:rPr>
        <w:t xml:space="preserve">High Fidelity taq polymerase should be used to reduce PCR errors and NEB’s High Fidelity Q5 Taq always works really well. </w:t>
      </w:r>
    </w:p>
    <w:p w:rsidR="003D4B58" w:rsidRPr="00EA1722" w:rsidRDefault="003D4B58" w:rsidP="00EA1722">
      <w:pPr>
        <w:spacing w:line="276" w:lineRule="auto"/>
        <w:rPr>
          <w:rFonts w:ascii="Avenir" w:hAnsi="Avenir"/>
        </w:rPr>
      </w:pPr>
    </w:p>
    <w:p w:rsidR="00EA1722" w:rsidRDefault="00EA1722" w:rsidP="00EA1722">
      <w:pPr>
        <w:pStyle w:val="ListParagraph"/>
        <w:numPr>
          <w:ilvl w:val="0"/>
          <w:numId w:val="1"/>
        </w:numPr>
        <w:spacing w:line="276" w:lineRule="auto"/>
        <w:rPr>
          <w:rFonts w:ascii="Avenir" w:hAnsi="Avenir"/>
        </w:rPr>
      </w:pPr>
      <w:r>
        <w:rPr>
          <w:rFonts w:ascii="Avenir" w:hAnsi="Avenir"/>
        </w:rPr>
        <w:t xml:space="preserve">Quantify the DNA and/or cDNA of each sample (for cDNA, this is done by quantifying the RNA, normalising to lowest concentratino then reverse transcribing and assuming 1 ng RNA -&gt; 1 ng DNA) using the appropriate Qubit </w:t>
      </w:r>
      <w:r w:rsidR="00260F7C">
        <w:rPr>
          <w:rFonts w:ascii="Avenir" w:hAnsi="Avenir"/>
        </w:rPr>
        <w:t xml:space="preserve">– broad or high sensitivity </w:t>
      </w:r>
      <w:r>
        <w:rPr>
          <w:rFonts w:ascii="Avenir" w:hAnsi="Avenir"/>
        </w:rPr>
        <w:t xml:space="preserve">(Nanodrop not accurate enough). </w:t>
      </w:r>
    </w:p>
    <w:p w:rsidR="00EA1722" w:rsidRDefault="00EA1722" w:rsidP="00EA1722">
      <w:pPr>
        <w:pStyle w:val="ListParagraph"/>
        <w:spacing w:line="276" w:lineRule="auto"/>
        <w:rPr>
          <w:rFonts w:ascii="Avenir" w:hAnsi="Avenir"/>
        </w:rPr>
      </w:pPr>
      <w:r>
        <w:rPr>
          <w:rFonts w:ascii="Avenir" w:hAnsi="Avenir"/>
        </w:rPr>
        <w:t>So, all samples will have the same amount (ng) of template per PCR reaction - &gt; VERY IMPORTANT as not doing this will bias diversity analysis later.</w:t>
      </w:r>
    </w:p>
    <w:p w:rsidR="00EA1722" w:rsidRDefault="003D4B58" w:rsidP="00EA1722">
      <w:pPr>
        <w:pStyle w:val="ListParagraph"/>
        <w:numPr>
          <w:ilvl w:val="0"/>
          <w:numId w:val="1"/>
        </w:numPr>
        <w:spacing w:line="276" w:lineRule="auto"/>
        <w:rPr>
          <w:rFonts w:ascii="Avenir" w:hAnsi="Avenir"/>
        </w:rPr>
      </w:pPr>
      <w:r w:rsidRPr="00EA1722">
        <w:rPr>
          <w:rFonts w:ascii="Avenir" w:hAnsi="Avenir"/>
        </w:rPr>
        <w:t xml:space="preserve">Each </w:t>
      </w:r>
      <w:r w:rsidR="00EA1722">
        <w:rPr>
          <w:rFonts w:ascii="Avenir" w:hAnsi="Avenir"/>
        </w:rPr>
        <w:t xml:space="preserve">sample should be amplified in triplicate to </w:t>
      </w:r>
      <w:r w:rsidR="00EA1722" w:rsidRPr="00EA1722">
        <w:rPr>
          <w:rFonts w:ascii="Avenir" w:hAnsi="Avenir"/>
        </w:rPr>
        <w:t xml:space="preserve">reduce PCR based bias (Goodrich </w:t>
      </w:r>
      <w:r w:rsidR="00EA1722" w:rsidRPr="00EA1722">
        <w:rPr>
          <w:rFonts w:ascii="Avenir" w:hAnsi="Avenir"/>
          <w:i/>
        </w:rPr>
        <w:t>et al.</w:t>
      </w:r>
      <w:r w:rsidR="00EA1722" w:rsidRPr="00EA1722">
        <w:rPr>
          <w:rFonts w:ascii="Avenir" w:hAnsi="Avenir"/>
        </w:rPr>
        <w:t xml:space="preserve"> 2014)</w:t>
      </w:r>
      <w:r w:rsidR="00EA1722">
        <w:rPr>
          <w:rFonts w:ascii="Avenir" w:hAnsi="Avenir"/>
        </w:rPr>
        <w:t xml:space="preserve"> </w:t>
      </w:r>
      <w:r w:rsidR="008B3509">
        <w:rPr>
          <w:rFonts w:ascii="Avenir" w:hAnsi="Avenir"/>
        </w:rPr>
        <w:t>with</w:t>
      </w:r>
      <w:r w:rsidR="00EA1722">
        <w:rPr>
          <w:rFonts w:ascii="Avenir" w:hAnsi="Avenir"/>
        </w:rPr>
        <w:t xml:space="preserve"> each 25 </w:t>
      </w:r>
      <w:r w:rsidR="00EA1722" w:rsidRPr="00EA1722">
        <w:rPr>
          <w:rFonts w:ascii="Avenir" w:hAnsi="Avenir"/>
        </w:rPr>
        <w:sym w:font="Symbol" w:char="F06D"/>
      </w:r>
      <w:r w:rsidR="00EA1722" w:rsidRPr="00EA1722">
        <w:rPr>
          <w:rFonts w:ascii="Avenir" w:hAnsi="Avenir"/>
        </w:rPr>
        <w:t xml:space="preserve">l </w:t>
      </w:r>
      <w:r w:rsidR="008B3509">
        <w:rPr>
          <w:rFonts w:ascii="Avenir" w:hAnsi="Avenir"/>
        </w:rPr>
        <w:t>reaction containing</w:t>
      </w:r>
      <w:r w:rsidR="00EA1722">
        <w:rPr>
          <w:rFonts w:ascii="Avenir" w:hAnsi="Avenir"/>
        </w:rPr>
        <w:t>:</w:t>
      </w:r>
    </w:p>
    <w:p w:rsidR="00EA1722" w:rsidRDefault="003D4B58" w:rsidP="00EA1722">
      <w:pPr>
        <w:pStyle w:val="ListParagraph"/>
        <w:numPr>
          <w:ilvl w:val="1"/>
          <w:numId w:val="1"/>
        </w:numPr>
        <w:spacing w:line="276" w:lineRule="auto"/>
        <w:rPr>
          <w:rFonts w:ascii="Avenir" w:hAnsi="Avenir"/>
        </w:rPr>
      </w:pPr>
      <w:r w:rsidRPr="00EA1722">
        <w:rPr>
          <w:rFonts w:ascii="Avenir" w:hAnsi="Avenir"/>
        </w:rPr>
        <w:t xml:space="preserve">1 x Q5 Reaction Buffer (NEB); </w:t>
      </w:r>
    </w:p>
    <w:p w:rsidR="00EA1722" w:rsidRDefault="003D4B58" w:rsidP="00EA1722">
      <w:pPr>
        <w:pStyle w:val="ListParagraph"/>
        <w:numPr>
          <w:ilvl w:val="1"/>
          <w:numId w:val="1"/>
        </w:numPr>
        <w:spacing w:line="276" w:lineRule="auto"/>
        <w:rPr>
          <w:rFonts w:ascii="Avenir" w:hAnsi="Avenir"/>
        </w:rPr>
      </w:pPr>
      <w:r w:rsidRPr="00EA1722">
        <w:rPr>
          <w:rFonts w:ascii="Avenir" w:hAnsi="Avenir"/>
        </w:rPr>
        <w:t xml:space="preserve">0.4 U Q5 High-Fidelity DNA Polymerase; </w:t>
      </w:r>
    </w:p>
    <w:p w:rsidR="00EA1722" w:rsidRDefault="003D4B58" w:rsidP="00EA1722">
      <w:pPr>
        <w:pStyle w:val="ListParagraph"/>
        <w:numPr>
          <w:ilvl w:val="1"/>
          <w:numId w:val="1"/>
        </w:numPr>
        <w:spacing w:line="276" w:lineRule="auto"/>
        <w:rPr>
          <w:rFonts w:ascii="Avenir" w:hAnsi="Avenir"/>
        </w:rPr>
      </w:pPr>
      <w:r w:rsidRPr="00EA1722">
        <w:rPr>
          <w:rFonts w:ascii="Avenir" w:hAnsi="Avenir"/>
        </w:rPr>
        <w:t xml:space="preserve">200 µM of dNTPs; </w:t>
      </w:r>
    </w:p>
    <w:p w:rsidR="00EA1722" w:rsidRDefault="003D4B58" w:rsidP="00EA1722">
      <w:pPr>
        <w:pStyle w:val="ListParagraph"/>
        <w:numPr>
          <w:ilvl w:val="1"/>
          <w:numId w:val="1"/>
        </w:numPr>
        <w:spacing w:line="276" w:lineRule="auto"/>
        <w:rPr>
          <w:rFonts w:ascii="Avenir" w:hAnsi="Avenir"/>
        </w:rPr>
      </w:pPr>
      <w:r w:rsidRPr="00EA1722">
        <w:rPr>
          <w:rFonts w:ascii="Avenir" w:hAnsi="Avenir"/>
        </w:rPr>
        <w:t xml:space="preserve">0.4 µM of each primer and </w:t>
      </w:r>
    </w:p>
    <w:p w:rsidR="00EA1722" w:rsidRDefault="008B3509" w:rsidP="00EA1722">
      <w:pPr>
        <w:pStyle w:val="ListParagraph"/>
        <w:numPr>
          <w:ilvl w:val="1"/>
          <w:numId w:val="1"/>
        </w:numPr>
        <w:spacing w:line="276" w:lineRule="auto"/>
        <w:rPr>
          <w:rFonts w:ascii="Avenir" w:hAnsi="Avenir"/>
        </w:rPr>
      </w:pPr>
      <w:r>
        <w:rPr>
          <w:rFonts w:ascii="Avenir" w:hAnsi="Avenir"/>
        </w:rPr>
        <w:t>X</w:t>
      </w:r>
      <w:r w:rsidR="003D4B58" w:rsidRPr="00EA1722">
        <w:rPr>
          <w:rFonts w:ascii="Avenir" w:hAnsi="Avenir"/>
        </w:rPr>
        <w:t xml:space="preserve"> µg of genomic DNA or cDNA </w:t>
      </w:r>
    </w:p>
    <w:p w:rsidR="00EA1722" w:rsidRPr="00EA1722" w:rsidRDefault="003D4B58" w:rsidP="00EA1722">
      <w:pPr>
        <w:pStyle w:val="ListParagraph"/>
        <w:numPr>
          <w:ilvl w:val="0"/>
          <w:numId w:val="1"/>
        </w:numPr>
        <w:spacing w:line="276" w:lineRule="auto"/>
        <w:rPr>
          <w:rFonts w:ascii="Avenir" w:hAnsi="Avenir"/>
        </w:rPr>
      </w:pPr>
      <w:r w:rsidRPr="00EA1722">
        <w:rPr>
          <w:rFonts w:ascii="Avenir" w:hAnsi="Avenir"/>
        </w:rPr>
        <w:t xml:space="preserve">Negative and positive controls </w:t>
      </w:r>
      <w:r w:rsidR="00EA1722" w:rsidRPr="00EA1722">
        <w:rPr>
          <w:rFonts w:ascii="Avenir" w:hAnsi="Avenir"/>
        </w:rPr>
        <w:t>should be</w:t>
      </w:r>
      <w:r w:rsidRPr="00EA1722">
        <w:rPr>
          <w:rFonts w:ascii="Avenir" w:hAnsi="Avenir"/>
        </w:rPr>
        <w:t xml:space="preserve"> systematically included</w:t>
      </w:r>
    </w:p>
    <w:p w:rsidR="008B3509" w:rsidRDefault="003D4B58" w:rsidP="00EA1722">
      <w:pPr>
        <w:pStyle w:val="ListParagraph"/>
        <w:numPr>
          <w:ilvl w:val="0"/>
          <w:numId w:val="1"/>
        </w:numPr>
        <w:spacing w:line="276" w:lineRule="auto"/>
        <w:rPr>
          <w:rFonts w:ascii="Avenir" w:hAnsi="Avenir"/>
        </w:rPr>
      </w:pPr>
      <w:r w:rsidRPr="00EA1722">
        <w:rPr>
          <w:rFonts w:ascii="Avenir" w:hAnsi="Avenir"/>
        </w:rPr>
        <w:t xml:space="preserve">PCR conditions as follows: </w:t>
      </w:r>
    </w:p>
    <w:p w:rsidR="008B3509" w:rsidRDefault="003D4B58" w:rsidP="008B3509">
      <w:pPr>
        <w:pStyle w:val="ListParagraph"/>
        <w:numPr>
          <w:ilvl w:val="1"/>
          <w:numId w:val="1"/>
        </w:numPr>
        <w:spacing w:line="276" w:lineRule="auto"/>
        <w:rPr>
          <w:rFonts w:ascii="Avenir" w:hAnsi="Avenir"/>
        </w:rPr>
      </w:pPr>
      <w:r w:rsidRPr="00EA1722">
        <w:rPr>
          <w:rFonts w:ascii="Avenir" w:hAnsi="Avenir"/>
        </w:rPr>
        <w:t xml:space="preserve">30 seconds hot start at 98 °C followed by </w:t>
      </w:r>
    </w:p>
    <w:p w:rsidR="008B3509" w:rsidRDefault="003D4B58" w:rsidP="008B3509">
      <w:pPr>
        <w:pStyle w:val="ListParagraph"/>
        <w:numPr>
          <w:ilvl w:val="1"/>
          <w:numId w:val="1"/>
        </w:numPr>
        <w:spacing w:line="276" w:lineRule="auto"/>
        <w:rPr>
          <w:rFonts w:ascii="Avenir" w:hAnsi="Avenir"/>
        </w:rPr>
      </w:pPr>
      <w:r w:rsidRPr="00EA1722">
        <w:rPr>
          <w:rFonts w:ascii="Avenir" w:hAnsi="Avenir"/>
        </w:rPr>
        <w:t>25 cycles of</w:t>
      </w:r>
      <w:r w:rsidR="00AB21D4">
        <w:rPr>
          <w:rFonts w:ascii="Avenir" w:hAnsi="Avenir"/>
        </w:rPr>
        <w:t>:</w:t>
      </w:r>
      <w:r w:rsidRPr="00EA1722">
        <w:rPr>
          <w:rFonts w:ascii="Avenir" w:hAnsi="Avenir"/>
        </w:rPr>
        <w:t xml:space="preserve"> </w:t>
      </w:r>
    </w:p>
    <w:p w:rsidR="008B3509" w:rsidRDefault="003D4B58" w:rsidP="008B3509">
      <w:pPr>
        <w:pStyle w:val="ListParagraph"/>
        <w:numPr>
          <w:ilvl w:val="2"/>
          <w:numId w:val="1"/>
        </w:numPr>
        <w:spacing w:line="276" w:lineRule="auto"/>
        <w:rPr>
          <w:rFonts w:ascii="Avenir" w:hAnsi="Avenir"/>
        </w:rPr>
      </w:pPr>
      <w:r w:rsidRPr="00EA1722">
        <w:rPr>
          <w:rFonts w:ascii="Avenir" w:hAnsi="Avenir"/>
        </w:rPr>
        <w:t xml:space="preserve">10 seconds denaturation at 96 °C; </w:t>
      </w:r>
    </w:p>
    <w:p w:rsidR="008B3509" w:rsidRDefault="003D4B58" w:rsidP="008B3509">
      <w:pPr>
        <w:pStyle w:val="ListParagraph"/>
        <w:numPr>
          <w:ilvl w:val="2"/>
          <w:numId w:val="1"/>
        </w:numPr>
        <w:spacing w:line="276" w:lineRule="auto"/>
        <w:rPr>
          <w:rFonts w:ascii="Avenir" w:hAnsi="Avenir"/>
        </w:rPr>
      </w:pPr>
      <w:r w:rsidRPr="00EA1722">
        <w:rPr>
          <w:rFonts w:ascii="Avenir" w:hAnsi="Avenir"/>
        </w:rPr>
        <w:t xml:space="preserve">30 seconds annealing at 50 °C and </w:t>
      </w:r>
    </w:p>
    <w:p w:rsidR="008B3509" w:rsidRDefault="003D4B58" w:rsidP="008B3509">
      <w:pPr>
        <w:pStyle w:val="ListParagraph"/>
        <w:numPr>
          <w:ilvl w:val="2"/>
          <w:numId w:val="1"/>
        </w:numPr>
        <w:spacing w:line="276" w:lineRule="auto"/>
        <w:rPr>
          <w:rFonts w:ascii="Avenir" w:hAnsi="Avenir"/>
        </w:rPr>
      </w:pPr>
      <w:r w:rsidRPr="00EA1722">
        <w:rPr>
          <w:rFonts w:ascii="Avenir" w:hAnsi="Avenir"/>
        </w:rPr>
        <w:t xml:space="preserve">30 seconds elongation at 72 °C, followed by a </w:t>
      </w:r>
    </w:p>
    <w:p w:rsidR="008B3509" w:rsidRDefault="003D4B58" w:rsidP="008B3509">
      <w:pPr>
        <w:pStyle w:val="ListParagraph"/>
        <w:numPr>
          <w:ilvl w:val="1"/>
          <w:numId w:val="1"/>
        </w:numPr>
        <w:spacing w:line="276" w:lineRule="auto"/>
        <w:rPr>
          <w:rFonts w:ascii="Avenir" w:hAnsi="Avenir"/>
        </w:rPr>
      </w:pPr>
      <w:r w:rsidRPr="008B3509">
        <w:rPr>
          <w:rFonts w:ascii="Avenir" w:hAnsi="Avenir"/>
        </w:rPr>
        <w:t xml:space="preserve">final extension of 2 minutes at 72 °C. </w:t>
      </w:r>
    </w:p>
    <w:p w:rsidR="008B3509" w:rsidRDefault="008B3509" w:rsidP="008B3509">
      <w:pPr>
        <w:pStyle w:val="ListParagraph"/>
        <w:numPr>
          <w:ilvl w:val="0"/>
          <w:numId w:val="1"/>
        </w:numPr>
        <w:spacing w:line="276" w:lineRule="auto"/>
        <w:rPr>
          <w:rFonts w:ascii="Avenir" w:hAnsi="Avenir"/>
        </w:rPr>
      </w:pPr>
      <w:r>
        <w:rPr>
          <w:rFonts w:ascii="Avenir" w:hAnsi="Avenir"/>
        </w:rPr>
        <w:t>Pool t</w:t>
      </w:r>
      <w:r w:rsidR="003D4B58" w:rsidRPr="008B3509">
        <w:rPr>
          <w:rFonts w:ascii="Avenir" w:hAnsi="Avenir"/>
        </w:rPr>
        <w:t xml:space="preserve">riplicate amplicons per sample and run </w:t>
      </w:r>
      <w:r w:rsidR="00951A92">
        <w:rPr>
          <w:rFonts w:ascii="Avenir" w:hAnsi="Avenir"/>
        </w:rPr>
        <w:t xml:space="preserve">a few </w:t>
      </w:r>
      <w:r w:rsidR="00951A92">
        <w:rPr>
          <w:rFonts w:ascii="Avenir" w:hAnsi="Avenir"/>
        </w:rPr>
        <w:sym w:font="Symbol" w:char="F06D"/>
      </w:r>
      <w:r w:rsidR="00951A92">
        <w:rPr>
          <w:rFonts w:ascii="Avenir" w:hAnsi="Avenir"/>
        </w:rPr>
        <w:t xml:space="preserve">l </w:t>
      </w:r>
      <w:r w:rsidR="003D4B58" w:rsidRPr="008B3509">
        <w:rPr>
          <w:rFonts w:ascii="Avenir" w:hAnsi="Avenir"/>
        </w:rPr>
        <w:t xml:space="preserve">on a 1.5 % agarose gel. </w:t>
      </w:r>
    </w:p>
    <w:p w:rsidR="00951A92" w:rsidRDefault="00951A92" w:rsidP="008B3509">
      <w:pPr>
        <w:pStyle w:val="ListParagraph"/>
        <w:numPr>
          <w:ilvl w:val="0"/>
          <w:numId w:val="1"/>
        </w:numPr>
        <w:spacing w:line="276" w:lineRule="auto"/>
        <w:rPr>
          <w:rFonts w:ascii="Avenir" w:hAnsi="Avenir"/>
        </w:rPr>
      </w:pPr>
      <w:r>
        <w:rPr>
          <w:rFonts w:ascii="Avenir" w:hAnsi="Avenir"/>
        </w:rPr>
        <w:t>If you have non-specific bands:</w:t>
      </w:r>
      <w:r w:rsidR="003E6BDE">
        <w:rPr>
          <w:rFonts w:ascii="Avenir" w:hAnsi="Avenir"/>
        </w:rPr>
        <w:t xml:space="preserve"> (see note below)</w:t>
      </w:r>
    </w:p>
    <w:p w:rsidR="008B3509" w:rsidRDefault="00951A92" w:rsidP="00951A92">
      <w:pPr>
        <w:pStyle w:val="ListParagraph"/>
        <w:spacing w:line="276" w:lineRule="auto"/>
        <w:rPr>
          <w:rFonts w:ascii="Avenir" w:hAnsi="Avenir"/>
        </w:rPr>
      </w:pPr>
      <w:r>
        <w:rPr>
          <w:rFonts w:ascii="Avenir" w:hAnsi="Avenir"/>
        </w:rPr>
        <w:lastRenderedPageBreak/>
        <w:t xml:space="preserve">Load the remainder of each sample on a 1.5 or 2 % agarose gel and use a gel purification to excise the </w:t>
      </w:r>
      <w:r w:rsidR="003D4B58" w:rsidRPr="008B3509">
        <w:rPr>
          <w:rFonts w:ascii="Avenir" w:hAnsi="Avenir"/>
        </w:rPr>
        <w:t>correct size amplicons (~300 bp) (</w:t>
      </w:r>
      <w:r>
        <w:rPr>
          <w:rFonts w:ascii="Avenir" w:hAnsi="Avenir"/>
        </w:rPr>
        <w:t>Promega SV Gel Wizard works well)</w:t>
      </w:r>
      <w:r w:rsidR="003D4B58" w:rsidRPr="008B3509">
        <w:rPr>
          <w:rFonts w:ascii="Avenir" w:hAnsi="Avenir"/>
        </w:rPr>
        <w:t xml:space="preserve">. </w:t>
      </w:r>
    </w:p>
    <w:p w:rsidR="008B3509" w:rsidRDefault="008B3509" w:rsidP="008B3509">
      <w:pPr>
        <w:pStyle w:val="ListParagraph"/>
        <w:numPr>
          <w:ilvl w:val="0"/>
          <w:numId w:val="1"/>
        </w:numPr>
        <w:spacing w:line="276" w:lineRule="auto"/>
        <w:rPr>
          <w:rFonts w:ascii="Avenir" w:hAnsi="Avenir"/>
        </w:rPr>
      </w:pPr>
      <w:r>
        <w:rPr>
          <w:rFonts w:ascii="Avenir" w:hAnsi="Avenir"/>
        </w:rPr>
        <w:t>Elute p</w:t>
      </w:r>
      <w:r w:rsidRPr="008B3509">
        <w:rPr>
          <w:rFonts w:ascii="Avenir" w:hAnsi="Avenir"/>
        </w:rPr>
        <w:t xml:space="preserve">urified amplicons </w:t>
      </w:r>
      <w:r w:rsidR="003D4B58" w:rsidRPr="008B3509">
        <w:rPr>
          <w:rFonts w:ascii="Avenir" w:hAnsi="Avenir"/>
        </w:rPr>
        <w:t xml:space="preserve">in nuclease-free water </w:t>
      </w:r>
      <w:r>
        <w:rPr>
          <w:rFonts w:ascii="Avenir" w:hAnsi="Avenir"/>
        </w:rPr>
        <w:t>and quantify</w:t>
      </w:r>
      <w:r w:rsidR="003D4B58" w:rsidRPr="008B3509">
        <w:rPr>
          <w:rFonts w:ascii="Avenir" w:hAnsi="Avenir"/>
        </w:rPr>
        <w:t xml:space="preserve"> using the High Sensitivity dsDNA quantification kit (Qubit). </w:t>
      </w:r>
    </w:p>
    <w:p w:rsidR="008B3509" w:rsidRDefault="008B3509" w:rsidP="008B3509">
      <w:pPr>
        <w:pStyle w:val="ListParagraph"/>
        <w:numPr>
          <w:ilvl w:val="0"/>
          <w:numId w:val="1"/>
        </w:numPr>
        <w:spacing w:line="276" w:lineRule="auto"/>
        <w:rPr>
          <w:rFonts w:ascii="Avenir" w:hAnsi="Avenir"/>
        </w:rPr>
      </w:pPr>
      <w:r>
        <w:rPr>
          <w:rFonts w:ascii="Avenir" w:hAnsi="Avenir"/>
        </w:rPr>
        <w:t>Normalise a</w:t>
      </w:r>
      <w:r w:rsidR="003D4B58" w:rsidRPr="008B3509">
        <w:rPr>
          <w:rFonts w:ascii="Avenir" w:hAnsi="Avenir"/>
        </w:rPr>
        <w:t xml:space="preserve">mplicons from each sample to equimolar concentrations </w:t>
      </w:r>
      <w:r>
        <w:rPr>
          <w:rFonts w:ascii="Avenir" w:hAnsi="Avenir"/>
        </w:rPr>
        <w:t>and pool</w:t>
      </w:r>
      <w:r w:rsidR="00F45DA2">
        <w:rPr>
          <w:rFonts w:ascii="Avenir" w:hAnsi="Avenir"/>
        </w:rPr>
        <w:t xml:space="preserve"> to form your final amplicon library.</w:t>
      </w:r>
    </w:p>
    <w:p w:rsidR="003D4B58" w:rsidRPr="008B3509" w:rsidRDefault="008B3509" w:rsidP="008B3509">
      <w:pPr>
        <w:pStyle w:val="ListParagraph"/>
        <w:numPr>
          <w:ilvl w:val="0"/>
          <w:numId w:val="1"/>
        </w:numPr>
        <w:spacing w:line="276" w:lineRule="auto"/>
        <w:rPr>
          <w:rFonts w:ascii="Avenir" w:hAnsi="Avenir"/>
        </w:rPr>
      </w:pPr>
      <w:r>
        <w:rPr>
          <w:rFonts w:ascii="Avenir" w:hAnsi="Avenir"/>
        </w:rPr>
        <w:t>Quantify</w:t>
      </w:r>
      <w:r w:rsidR="0020744D">
        <w:rPr>
          <w:rFonts w:ascii="Avenir" w:hAnsi="Avenir"/>
        </w:rPr>
        <w:t xml:space="preserve"> (Qubit) and check purity </w:t>
      </w:r>
      <w:r w:rsidR="00F45DA2">
        <w:rPr>
          <w:rFonts w:ascii="Avenir" w:hAnsi="Avenir"/>
        </w:rPr>
        <w:t xml:space="preserve">of library </w:t>
      </w:r>
      <w:r w:rsidR="0020744D">
        <w:rPr>
          <w:rFonts w:ascii="Avenir" w:hAnsi="Avenir"/>
        </w:rPr>
        <w:t>on Nanodrop – sometime</w:t>
      </w:r>
      <w:r w:rsidR="00F45DA2">
        <w:rPr>
          <w:rFonts w:ascii="Avenir" w:hAnsi="Avenir"/>
        </w:rPr>
        <w:t>s</w:t>
      </w:r>
      <w:r w:rsidR="0020744D">
        <w:rPr>
          <w:rFonts w:ascii="Avenir" w:hAnsi="Avenir"/>
        </w:rPr>
        <w:t xml:space="preserve"> gel purification </w:t>
      </w:r>
      <w:r w:rsidR="00F45DA2">
        <w:rPr>
          <w:rFonts w:ascii="Avenir" w:hAnsi="Avenir"/>
        </w:rPr>
        <w:t xml:space="preserve">kits </w:t>
      </w:r>
      <w:r w:rsidR="0020744D">
        <w:rPr>
          <w:rFonts w:ascii="Avenir" w:hAnsi="Avenir"/>
        </w:rPr>
        <w:t xml:space="preserve">leaves traces of salts (guanidine?) which will give low 260/230 ratio. </w:t>
      </w:r>
      <w:r w:rsidR="00F45DA2">
        <w:rPr>
          <w:rFonts w:ascii="Avenir" w:hAnsi="Avenir"/>
        </w:rPr>
        <w:t>This can mess with sequencing so i</w:t>
      </w:r>
      <w:r w:rsidR="0020744D">
        <w:rPr>
          <w:rFonts w:ascii="Avenir" w:hAnsi="Avenir"/>
        </w:rPr>
        <w:t>f this is the case</w:t>
      </w:r>
      <w:r w:rsidR="00F45DA2">
        <w:rPr>
          <w:rFonts w:ascii="Avenir" w:hAnsi="Avenir"/>
        </w:rPr>
        <w:t>,</w:t>
      </w:r>
      <w:r w:rsidR="0020744D">
        <w:rPr>
          <w:rFonts w:ascii="Avenir" w:hAnsi="Avenir"/>
        </w:rPr>
        <w:t xml:space="preserve"> then re-purify the pool</w:t>
      </w:r>
      <w:r w:rsidR="00F45DA2">
        <w:rPr>
          <w:rFonts w:ascii="Avenir" w:hAnsi="Avenir"/>
        </w:rPr>
        <w:t>ed library</w:t>
      </w:r>
      <w:r w:rsidR="0020744D">
        <w:rPr>
          <w:rFonts w:ascii="Avenir" w:hAnsi="Avenir"/>
        </w:rPr>
        <w:t xml:space="preserve"> on a PCR purification column</w:t>
      </w:r>
      <w:r w:rsidR="00F45DA2">
        <w:rPr>
          <w:rFonts w:ascii="Avenir" w:hAnsi="Avenir"/>
        </w:rPr>
        <w:t xml:space="preserve"> (eg Qiagen QiaQuick)</w:t>
      </w:r>
      <w:r w:rsidR="0020744D">
        <w:rPr>
          <w:rFonts w:ascii="Avenir" w:hAnsi="Avenir"/>
        </w:rPr>
        <w:t>.</w:t>
      </w:r>
    </w:p>
    <w:p w:rsidR="00F45DA2" w:rsidRDefault="00F45DA2" w:rsidP="00EA1722">
      <w:pPr>
        <w:spacing w:line="276" w:lineRule="auto"/>
        <w:rPr>
          <w:rFonts w:ascii="Avenir" w:hAnsi="Avenir"/>
          <w:lang w:val="en-IE"/>
        </w:rPr>
      </w:pPr>
    </w:p>
    <w:p w:rsidR="003D234C" w:rsidRPr="00260F7C" w:rsidRDefault="00F45DA2" w:rsidP="00EA1722">
      <w:pPr>
        <w:spacing w:line="276" w:lineRule="auto"/>
        <w:rPr>
          <w:rFonts w:ascii="Avenir" w:hAnsi="Avenir"/>
          <w:b/>
          <w:lang w:val="en-IE"/>
        </w:rPr>
      </w:pPr>
      <w:r w:rsidRPr="00260F7C">
        <w:rPr>
          <w:rFonts w:ascii="Avenir" w:hAnsi="Avenir"/>
          <w:b/>
          <w:lang w:val="en-IE"/>
        </w:rPr>
        <w:t>Note: Non specific bands</w:t>
      </w:r>
    </w:p>
    <w:p w:rsidR="00F45DA2" w:rsidRDefault="00F45DA2" w:rsidP="00EA1722">
      <w:pPr>
        <w:spacing w:line="276" w:lineRule="auto"/>
        <w:rPr>
          <w:rFonts w:ascii="Avenir" w:hAnsi="Avenir"/>
          <w:lang w:val="en-IE"/>
        </w:rPr>
      </w:pPr>
      <w:r>
        <w:rPr>
          <w:rFonts w:ascii="Avenir" w:hAnsi="Avenir"/>
          <w:lang w:val="en-IE"/>
        </w:rPr>
        <w:t xml:space="preserve">If all your samples look like they have the same amount of non-specific bands, it’s possible to gel purify after pooling all equimolar amounts of samples for your library (ie one gel purification). BUT, if some samples look like they have more non-specific bands than others, then samples must be gel purified individually. This is because the Qubit will quantify all the DNA present, regardless of band size. So samples that had more non-specific bands will end up with less than their ‘quota’ of correct sized amplicon if gel excision is performed on the final, pooled library. </w:t>
      </w:r>
    </w:p>
    <w:p w:rsidR="00040452" w:rsidRDefault="00040452" w:rsidP="00EA1722">
      <w:pPr>
        <w:spacing w:line="276" w:lineRule="auto"/>
        <w:rPr>
          <w:rFonts w:ascii="Avenir" w:hAnsi="Avenir"/>
          <w:lang w:val="en-IE"/>
        </w:rPr>
      </w:pPr>
    </w:p>
    <w:p w:rsidR="00040452" w:rsidRPr="00040452" w:rsidRDefault="00040452" w:rsidP="00EA1722">
      <w:pPr>
        <w:spacing w:line="276" w:lineRule="auto"/>
        <w:rPr>
          <w:rFonts w:ascii="Avenir" w:hAnsi="Avenir"/>
          <w:b/>
          <w:lang w:val="en-IE"/>
        </w:rPr>
      </w:pPr>
      <w:r w:rsidRPr="00040452">
        <w:rPr>
          <w:rFonts w:ascii="Avenir" w:hAnsi="Avenir"/>
          <w:b/>
          <w:lang w:val="en-IE"/>
        </w:rPr>
        <w:t>Extra information on primers:</w:t>
      </w:r>
    </w:p>
    <w:p w:rsidR="00040452" w:rsidRDefault="00040452" w:rsidP="008E6E70">
      <w:pPr>
        <w:spacing w:line="240" w:lineRule="auto"/>
        <w:rPr>
          <w:rFonts w:ascii="Avenir" w:hAnsi="Avenir"/>
          <w:lang w:val="en-IE"/>
        </w:rPr>
      </w:pPr>
      <w:r>
        <w:rPr>
          <w:rFonts w:ascii="Avenir" w:hAnsi="Avenir"/>
          <w:lang w:val="en-IE"/>
        </w:rPr>
        <w:t xml:space="preserve">Between the labs of Dr Abram and Prof O’Flaherty there are 73 barcoded primers </w:t>
      </w:r>
      <w:r w:rsidR="00260F7C">
        <w:rPr>
          <w:rFonts w:ascii="Avenir" w:hAnsi="Avenir"/>
          <w:lang w:val="en-IE"/>
        </w:rPr>
        <w:t xml:space="preserve"> (#0 to # 72 of 806R) </w:t>
      </w:r>
      <w:r>
        <w:rPr>
          <w:rFonts w:ascii="Avenir" w:hAnsi="Avenir"/>
          <w:lang w:val="en-IE"/>
        </w:rPr>
        <w:t xml:space="preserve">belonging to the ‘older’ version of primers where the reverse (806R) primers are barcoded and both forward (515F) and reverse have the Illumina adaptors (see Earth Microbiome project). </w:t>
      </w:r>
    </w:p>
    <w:p w:rsidR="00040452" w:rsidRPr="00040452" w:rsidRDefault="00040452" w:rsidP="008E6E70">
      <w:pPr>
        <w:spacing w:line="240" w:lineRule="auto"/>
        <w:rPr>
          <w:rFonts w:ascii="Avenir" w:hAnsi="Avenir"/>
          <w:b/>
          <w:lang w:val="en-IE"/>
        </w:rPr>
      </w:pPr>
      <w:r w:rsidRPr="00040452">
        <w:rPr>
          <w:rFonts w:ascii="Avenir" w:hAnsi="Avenir"/>
          <w:b/>
          <w:lang w:val="en-IE"/>
        </w:rPr>
        <w:t>Recommended companies for primers:</w:t>
      </w:r>
    </w:p>
    <w:p w:rsidR="00040452" w:rsidRDefault="00040452" w:rsidP="008E6E70">
      <w:pPr>
        <w:spacing w:line="240" w:lineRule="auto"/>
        <w:rPr>
          <w:rFonts w:ascii="Avenir" w:hAnsi="Avenir"/>
          <w:lang w:val="en-IE"/>
        </w:rPr>
      </w:pPr>
      <w:r>
        <w:rPr>
          <w:rFonts w:ascii="Avenir" w:hAnsi="Avenir"/>
          <w:lang w:val="en-IE"/>
        </w:rPr>
        <w:t xml:space="preserve">MWG Eurofins </w:t>
      </w:r>
    </w:p>
    <w:p w:rsidR="00040452" w:rsidRDefault="00040452" w:rsidP="008E6E70">
      <w:pPr>
        <w:spacing w:line="240" w:lineRule="auto"/>
        <w:rPr>
          <w:rFonts w:ascii="Avenir" w:hAnsi="Avenir"/>
          <w:lang w:val="en-IE"/>
        </w:rPr>
      </w:pPr>
      <w:r>
        <w:rPr>
          <w:rFonts w:ascii="Avenir" w:hAnsi="Avenir"/>
          <w:lang w:val="en-IE"/>
        </w:rPr>
        <w:t xml:space="preserve">Eurogentec </w:t>
      </w:r>
    </w:p>
    <w:p w:rsidR="00040452" w:rsidRDefault="00040452" w:rsidP="008E6E70">
      <w:pPr>
        <w:spacing w:line="240" w:lineRule="auto"/>
        <w:rPr>
          <w:rFonts w:ascii="Avenir" w:hAnsi="Avenir"/>
          <w:lang w:val="en-IE"/>
        </w:rPr>
      </w:pPr>
      <w:r>
        <w:rPr>
          <w:rFonts w:ascii="Avenir" w:hAnsi="Avenir"/>
          <w:lang w:val="en-IE"/>
        </w:rPr>
        <w:t xml:space="preserve">-&gt; both been used and the primers provided worked perfectly for amplicon sequencing. </w:t>
      </w:r>
    </w:p>
    <w:p w:rsidR="00040452" w:rsidRPr="00040452" w:rsidRDefault="00040452" w:rsidP="008E6E70">
      <w:pPr>
        <w:spacing w:line="240" w:lineRule="auto"/>
        <w:rPr>
          <w:rFonts w:ascii="Avenir" w:hAnsi="Avenir"/>
          <w:b/>
          <w:lang w:val="en-IE"/>
        </w:rPr>
      </w:pPr>
      <w:r w:rsidRPr="00040452">
        <w:rPr>
          <w:rFonts w:ascii="Avenir" w:hAnsi="Avenir"/>
          <w:b/>
          <w:lang w:val="en-IE"/>
        </w:rPr>
        <w:t>Recommended sequencing companies:</w:t>
      </w:r>
    </w:p>
    <w:p w:rsidR="00040452" w:rsidRDefault="00040452" w:rsidP="008E6E70">
      <w:pPr>
        <w:spacing w:line="240" w:lineRule="auto"/>
        <w:rPr>
          <w:rFonts w:ascii="Avenir" w:hAnsi="Avenir"/>
          <w:lang w:val="en-IE"/>
        </w:rPr>
      </w:pPr>
      <w:r>
        <w:rPr>
          <w:rFonts w:ascii="Avenir" w:hAnsi="Avenir"/>
          <w:lang w:val="en-IE"/>
        </w:rPr>
        <w:t>Research and Testing laboratories, Texas</w:t>
      </w:r>
    </w:p>
    <w:p w:rsidR="00040452" w:rsidRDefault="00040452" w:rsidP="008E6E70">
      <w:pPr>
        <w:spacing w:line="240" w:lineRule="auto"/>
        <w:rPr>
          <w:rFonts w:ascii="Avenir" w:hAnsi="Avenir"/>
          <w:lang w:val="en-IE"/>
        </w:rPr>
      </w:pPr>
      <w:r>
        <w:rPr>
          <w:rFonts w:ascii="Avenir" w:hAnsi="Avenir"/>
          <w:lang w:val="en-IE"/>
        </w:rPr>
        <w:t xml:space="preserve">Centre for Genomic Research, University of Liverpool. </w:t>
      </w:r>
    </w:p>
    <w:p w:rsidR="008E6E70" w:rsidRDefault="008E6E70" w:rsidP="00EA1722">
      <w:pPr>
        <w:spacing w:line="276" w:lineRule="auto"/>
        <w:rPr>
          <w:rFonts w:ascii="Avenir" w:hAnsi="Avenir"/>
          <w:sz w:val="20"/>
          <w:lang w:val="en-IE"/>
        </w:rPr>
      </w:pPr>
    </w:p>
    <w:p w:rsidR="008E6E70" w:rsidRPr="008E6E70" w:rsidRDefault="008E6E70" w:rsidP="00EA1722">
      <w:pPr>
        <w:spacing w:line="276" w:lineRule="auto"/>
        <w:rPr>
          <w:rFonts w:ascii="Avenir" w:hAnsi="Avenir"/>
          <w:sz w:val="20"/>
          <w:lang w:val="en-IE"/>
        </w:rPr>
      </w:pPr>
      <w:bookmarkStart w:id="0" w:name="_GoBack"/>
      <w:bookmarkEnd w:id="0"/>
      <w:r>
        <w:rPr>
          <w:rFonts w:ascii="Avenir" w:hAnsi="Avenir"/>
          <w:sz w:val="20"/>
          <w:lang w:val="en-IE"/>
        </w:rPr>
        <w:t>Protocol w</w:t>
      </w:r>
      <w:r w:rsidRPr="008E6E70">
        <w:rPr>
          <w:rFonts w:ascii="Avenir" w:hAnsi="Avenir"/>
          <w:sz w:val="20"/>
          <w:lang w:val="en-IE"/>
        </w:rPr>
        <w:t>ritten by C Thorn; 2017</w:t>
      </w:r>
    </w:p>
    <w:sectPr w:rsidR="008E6E70" w:rsidRPr="008E6E70" w:rsidSect="003175D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nux Libertine G">
    <w:altName w:val="Times New Roman"/>
    <w:panose1 w:val="020B0604020202020204"/>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venir">
    <w:panose1 w:val="020B0503020203020204"/>
    <w:charset w:val="4D"/>
    <w:family w:val="swiss"/>
    <w:pitch w:val="variable"/>
    <w:sig w:usb0="800000AF" w:usb1="5000204A" w:usb2="00000000" w:usb3="00000000" w:csb0="0000009B"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A7EB2"/>
    <w:multiLevelType w:val="hybridMultilevel"/>
    <w:tmpl w:val="EC9CE61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58"/>
    <w:rsid w:val="00040452"/>
    <w:rsid w:val="001D0544"/>
    <w:rsid w:val="0020744D"/>
    <w:rsid w:val="00260F7C"/>
    <w:rsid w:val="003175D4"/>
    <w:rsid w:val="003D4B58"/>
    <w:rsid w:val="003E6BDE"/>
    <w:rsid w:val="005B5BE9"/>
    <w:rsid w:val="008B3509"/>
    <w:rsid w:val="008E6E70"/>
    <w:rsid w:val="00951A92"/>
    <w:rsid w:val="00A4443C"/>
    <w:rsid w:val="00AB21D4"/>
    <w:rsid w:val="00C1489C"/>
    <w:rsid w:val="00C81BAE"/>
    <w:rsid w:val="00DC1D4B"/>
    <w:rsid w:val="00EA1722"/>
    <w:rsid w:val="00F45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8BFEF4"/>
  <w14:defaultImageDpi w14:val="32767"/>
  <w15:chartTrackingRefBased/>
  <w15:docId w15:val="{7BB08FD7-EEEC-0247-974D-89BE7045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B58"/>
    <w:pPr>
      <w:spacing w:after="40" w:line="480" w:lineRule="auto"/>
      <w:jc w:val="both"/>
    </w:pPr>
    <w:rPr>
      <w:rFonts w:ascii="Linux Libertine G" w:hAnsi="Linux Libertine G" w:cs="Linux Libertine G"/>
      <w:noProof/>
    </w:rPr>
  </w:style>
  <w:style w:type="paragraph" w:styleId="Heading1">
    <w:name w:val="heading 1"/>
    <w:basedOn w:val="Normal"/>
    <w:next w:val="Normal"/>
    <w:link w:val="Heading1Char"/>
    <w:uiPriority w:val="9"/>
    <w:qFormat/>
    <w:rsid w:val="00EA1722"/>
    <w:pPr>
      <w:keepNext/>
      <w:keepLines/>
      <w:spacing w:after="0" w:line="240" w:lineRule="auto"/>
      <w:outlineLvl w:val="0"/>
    </w:pPr>
    <w:rPr>
      <w:rFonts w:asciiTheme="majorHAnsi" w:eastAsiaTheme="majorEastAsia" w:hAnsiTheme="majorHAnsi" w:cstheme="majorBidi"/>
      <w:b/>
      <w:color w:val="385623" w:themeColor="accent6" w:themeShade="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22"/>
    <w:rPr>
      <w:rFonts w:asciiTheme="majorHAnsi" w:eastAsiaTheme="majorEastAsia" w:hAnsiTheme="majorHAnsi" w:cstheme="majorBidi"/>
      <w:b/>
      <w:noProof/>
      <w:color w:val="385623" w:themeColor="accent6" w:themeShade="80"/>
      <w:sz w:val="28"/>
      <w:szCs w:val="32"/>
    </w:rPr>
  </w:style>
  <w:style w:type="paragraph" w:styleId="ListParagraph">
    <w:name w:val="List Paragraph"/>
    <w:basedOn w:val="Normal"/>
    <w:uiPriority w:val="34"/>
    <w:qFormat/>
    <w:rsid w:val="00EA1722"/>
    <w:pPr>
      <w:ind w:left="720"/>
      <w:contextualSpacing/>
    </w:pPr>
  </w:style>
  <w:style w:type="character" w:styleId="Hyperlink">
    <w:name w:val="Hyperlink"/>
    <w:basedOn w:val="DefaultParagraphFont"/>
    <w:uiPriority w:val="99"/>
    <w:unhideWhenUsed/>
    <w:rsid w:val="00260F7C"/>
    <w:rPr>
      <w:color w:val="0563C1" w:themeColor="hyperlink"/>
      <w:u w:val="single"/>
    </w:rPr>
  </w:style>
  <w:style w:type="character" w:styleId="UnresolvedMention">
    <w:name w:val="Unresolved Mention"/>
    <w:basedOn w:val="DefaultParagraphFont"/>
    <w:uiPriority w:val="99"/>
    <w:rsid w:val="00260F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rthmicrobiome.org/protocols-and-standards/16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Thorn</dc:creator>
  <cp:keywords/>
  <dc:description/>
  <cp:lastModifiedBy>Cam Thorn</cp:lastModifiedBy>
  <cp:revision>8</cp:revision>
  <dcterms:created xsi:type="dcterms:W3CDTF">2018-04-03T11:58:00Z</dcterms:created>
  <dcterms:modified xsi:type="dcterms:W3CDTF">2018-04-03T13:48:00Z</dcterms:modified>
</cp:coreProperties>
</file>