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C42" w:rsidRPr="00E4617F" w:rsidRDefault="00787C42" w:rsidP="00E4617F">
      <w:pPr>
        <w:spacing w:line="240" w:lineRule="auto"/>
        <w:jc w:val="center"/>
        <w:rPr>
          <w:b/>
          <w:sz w:val="36"/>
          <w:szCs w:val="36"/>
          <w:lang w:val="en-US"/>
        </w:rPr>
      </w:pPr>
      <w:r w:rsidRPr="00E4617F">
        <w:rPr>
          <w:b/>
          <w:sz w:val="36"/>
          <w:szCs w:val="36"/>
          <w:lang w:val="en-US"/>
        </w:rPr>
        <w:t xml:space="preserve">Protocol for Quantitative PCR (qPCR) </w:t>
      </w:r>
      <w:r>
        <w:rPr>
          <w:b/>
          <w:sz w:val="36"/>
          <w:szCs w:val="36"/>
          <w:lang w:val="en-US"/>
        </w:rPr>
        <w:t xml:space="preserve">- </w:t>
      </w:r>
      <w:r w:rsidRPr="00E4617F">
        <w:rPr>
          <w:b/>
          <w:sz w:val="36"/>
          <w:szCs w:val="36"/>
          <w:lang w:val="en-US"/>
        </w:rPr>
        <w:t>SYBR Green</w:t>
      </w:r>
      <w:r>
        <w:rPr>
          <w:b/>
          <w:sz w:val="36"/>
          <w:szCs w:val="36"/>
          <w:lang w:val="en-US"/>
        </w:rPr>
        <w:t xml:space="preserve"> assay</w:t>
      </w:r>
    </w:p>
    <w:p w:rsidR="00787C42" w:rsidRPr="00E4617F" w:rsidRDefault="00787C42" w:rsidP="003669BE">
      <w:pPr>
        <w:spacing w:line="240" w:lineRule="auto"/>
        <w:rPr>
          <w:sz w:val="16"/>
          <w:szCs w:val="16"/>
          <w:lang w:val="en-US"/>
        </w:rPr>
      </w:pPr>
      <w:r w:rsidRPr="00E4617F">
        <w:rPr>
          <w:sz w:val="16"/>
          <w:szCs w:val="16"/>
          <w:lang w:val="en-US"/>
        </w:rPr>
        <w:t>Written by Hanna Alfredsson (2011-03-28</w:t>
      </w:r>
      <w:r>
        <w:rPr>
          <w:sz w:val="16"/>
          <w:szCs w:val="16"/>
          <w:lang w:val="en-US"/>
        </w:rPr>
        <w:t>, Lasse Riemann’s lab, Marine Biological Section, Univ. Copenhagen, Denmark)</w:t>
      </w:r>
    </w:p>
    <w:p w:rsidR="00787C42" w:rsidRDefault="00787C42" w:rsidP="003669BE">
      <w:pPr>
        <w:spacing w:line="240" w:lineRule="auto"/>
        <w:rPr>
          <w:sz w:val="16"/>
          <w:szCs w:val="16"/>
          <w:lang w:val="en-US"/>
        </w:rPr>
      </w:pPr>
      <w:r w:rsidRPr="00E4617F">
        <w:rPr>
          <w:sz w:val="16"/>
          <w:szCs w:val="16"/>
          <w:lang w:val="en-US"/>
        </w:rPr>
        <w:t xml:space="preserve">Project: Identification of </w:t>
      </w:r>
      <w:r w:rsidRPr="00E4617F">
        <w:rPr>
          <w:i/>
          <w:sz w:val="16"/>
          <w:szCs w:val="16"/>
          <w:lang w:val="en-US"/>
        </w:rPr>
        <w:t>Calanus</w:t>
      </w:r>
      <w:r w:rsidRPr="00E4617F">
        <w:rPr>
          <w:sz w:val="16"/>
          <w:szCs w:val="16"/>
          <w:lang w:val="en-US"/>
        </w:rPr>
        <w:t xml:space="preserve">- nauplii, Disko Bay, Greenland, </w:t>
      </w:r>
      <w:r>
        <w:rPr>
          <w:sz w:val="16"/>
          <w:szCs w:val="16"/>
          <w:lang w:val="en-US"/>
        </w:rPr>
        <w:t xml:space="preserve">April </w:t>
      </w:r>
      <w:r w:rsidRPr="00E4617F">
        <w:rPr>
          <w:sz w:val="16"/>
          <w:szCs w:val="16"/>
          <w:lang w:val="en-US"/>
        </w:rPr>
        <w:t>2010.</w:t>
      </w:r>
    </w:p>
    <w:p w:rsidR="00787C42" w:rsidRPr="00E4617F" w:rsidRDefault="00787C42" w:rsidP="003669BE">
      <w:pPr>
        <w:spacing w:line="240" w:lineRule="auto"/>
        <w:rPr>
          <w:sz w:val="16"/>
          <w:szCs w:val="16"/>
          <w:lang w:val="en-US"/>
        </w:rPr>
      </w:pPr>
      <w:r>
        <w:rPr>
          <w:sz w:val="16"/>
          <w:szCs w:val="16"/>
          <w:lang w:val="en-US"/>
        </w:rPr>
        <w:t xml:space="preserve">This protocol was used for quantifying species specific zooplankton nauplii in marine samples. The principles and setup can easily be adapted for microbiological samples. </w:t>
      </w:r>
    </w:p>
    <w:p w:rsidR="00787C42" w:rsidRPr="00E4617F" w:rsidRDefault="00787C42" w:rsidP="00E4617F">
      <w:pPr>
        <w:spacing w:line="240" w:lineRule="auto"/>
        <w:ind w:left="360"/>
        <w:jc w:val="center"/>
        <w:rPr>
          <w:b/>
          <w:sz w:val="28"/>
          <w:szCs w:val="28"/>
          <w:lang w:val="en-US"/>
        </w:rPr>
      </w:pPr>
      <w:r w:rsidRPr="00E4617F">
        <w:rPr>
          <w:b/>
          <w:sz w:val="28"/>
          <w:szCs w:val="28"/>
          <w:lang w:val="en-US"/>
        </w:rPr>
        <w:t xml:space="preserve">Preparation of standard from linearized plasmids </w:t>
      </w:r>
    </w:p>
    <w:p w:rsidR="00787C42" w:rsidRPr="00E4617F" w:rsidRDefault="00787C42" w:rsidP="00E4617F">
      <w:pPr>
        <w:pStyle w:val="ListParagraph"/>
        <w:numPr>
          <w:ilvl w:val="1"/>
          <w:numId w:val="5"/>
        </w:numPr>
        <w:spacing w:line="240" w:lineRule="auto"/>
        <w:jc w:val="both"/>
        <w:rPr>
          <w:sz w:val="24"/>
          <w:szCs w:val="24"/>
          <w:lang w:val="en-US"/>
        </w:rPr>
      </w:pPr>
      <w:r w:rsidRPr="00946E8E">
        <w:rPr>
          <w:sz w:val="24"/>
          <w:szCs w:val="24"/>
          <w:lang w:val="en-US"/>
        </w:rPr>
        <w:t>Linearized plasmids for use as qPCR standard are</w:t>
      </w:r>
      <w:r>
        <w:rPr>
          <w:sz w:val="24"/>
          <w:szCs w:val="24"/>
          <w:lang w:val="en-US"/>
        </w:rPr>
        <w:t xml:space="preserve"> prepared by ligating</w:t>
      </w:r>
      <w:r w:rsidRPr="00946E8E">
        <w:rPr>
          <w:sz w:val="24"/>
          <w:szCs w:val="24"/>
          <w:lang w:val="en-US"/>
        </w:rPr>
        <w:t xml:space="preserve"> amplicons into plasmids (e.g. pCR 2.1 TOPO vector, TOPO TA Cloning, Invitrogen). Plasmid DNA is </w:t>
      </w:r>
      <w:r>
        <w:rPr>
          <w:sz w:val="24"/>
          <w:szCs w:val="24"/>
          <w:lang w:val="en-US"/>
        </w:rPr>
        <w:t xml:space="preserve">then </w:t>
      </w:r>
      <w:r w:rsidRPr="00946E8E">
        <w:rPr>
          <w:sz w:val="24"/>
          <w:szCs w:val="24"/>
          <w:lang w:val="en-US"/>
        </w:rPr>
        <w:t>extracted (EZNA plasmid mini prep kit I, SIGMA) from transformed colonies grown in LB media. Th</w:t>
      </w:r>
      <w:r>
        <w:rPr>
          <w:sz w:val="24"/>
          <w:szCs w:val="24"/>
          <w:lang w:val="en-US"/>
        </w:rPr>
        <w:t>e concentration of plasmid DNA is</w:t>
      </w:r>
      <w:r w:rsidRPr="00946E8E">
        <w:rPr>
          <w:sz w:val="24"/>
          <w:szCs w:val="24"/>
          <w:lang w:val="en-US"/>
        </w:rPr>
        <w:t xml:space="preserve"> quantified (e.g. NanoDrop, PicoGreen).</w:t>
      </w:r>
      <w:r>
        <w:rPr>
          <w:sz w:val="24"/>
          <w:szCs w:val="24"/>
          <w:lang w:val="en-US"/>
        </w:rPr>
        <w:t xml:space="preserve">  </w:t>
      </w:r>
    </w:p>
    <w:p w:rsidR="00787C42" w:rsidRPr="00946E8E" w:rsidRDefault="00787C42" w:rsidP="00E4617F">
      <w:pPr>
        <w:pStyle w:val="ListParagraph"/>
        <w:spacing w:line="240" w:lineRule="auto"/>
        <w:ind w:left="405"/>
        <w:jc w:val="both"/>
        <w:rPr>
          <w:sz w:val="24"/>
          <w:szCs w:val="24"/>
          <w:lang w:val="en-US"/>
        </w:rPr>
      </w:pPr>
    </w:p>
    <w:p w:rsidR="00787C42" w:rsidRDefault="00787C42" w:rsidP="00E4617F">
      <w:pPr>
        <w:pStyle w:val="ListParagraph"/>
        <w:numPr>
          <w:ilvl w:val="1"/>
          <w:numId w:val="5"/>
        </w:numPr>
        <w:spacing w:line="240" w:lineRule="auto"/>
        <w:jc w:val="both"/>
        <w:rPr>
          <w:sz w:val="24"/>
          <w:szCs w:val="24"/>
          <w:lang w:val="en-US"/>
        </w:rPr>
      </w:pPr>
      <w:r w:rsidRPr="00946E8E">
        <w:rPr>
          <w:sz w:val="24"/>
          <w:szCs w:val="24"/>
          <w:lang w:val="en-US"/>
        </w:rPr>
        <w:t>The restriction enzyme (RE) Not I (10U/</w:t>
      </w:r>
      <w:r w:rsidRPr="00946E8E">
        <w:rPr>
          <w:rFonts w:cs="Calibri"/>
          <w:sz w:val="24"/>
          <w:szCs w:val="24"/>
          <w:lang w:val="en-US"/>
        </w:rPr>
        <w:t>µ</w:t>
      </w:r>
      <w:r w:rsidRPr="00946E8E">
        <w:rPr>
          <w:sz w:val="24"/>
          <w:szCs w:val="24"/>
          <w:lang w:val="en-US"/>
        </w:rPr>
        <w:t>l Fermentas) can be used to linearize the pCR 2.1 TOPO plasmid</w:t>
      </w:r>
      <w:r>
        <w:rPr>
          <w:sz w:val="24"/>
          <w:szCs w:val="24"/>
          <w:lang w:val="en-US"/>
        </w:rPr>
        <w:t xml:space="preserve"> (follow the manufacturer´s instructions)</w:t>
      </w:r>
      <w:r w:rsidRPr="00946E8E">
        <w:rPr>
          <w:sz w:val="24"/>
          <w:szCs w:val="24"/>
          <w:lang w:val="en-US"/>
        </w:rPr>
        <w:t xml:space="preserve">. An aliquot of RE- treated plasmid DNA, non-treated plasmid DNA and a ladder is then run alongside each other on an agarose gel to confirm complete linearization of plasmids. </w:t>
      </w:r>
      <w:r>
        <w:rPr>
          <w:sz w:val="24"/>
          <w:szCs w:val="24"/>
          <w:lang w:val="en-US"/>
        </w:rPr>
        <w:t>If linearization is complete a single band of correct size should be expected.</w:t>
      </w:r>
    </w:p>
    <w:p w:rsidR="00787C42" w:rsidRPr="00470ED5" w:rsidRDefault="00787C42" w:rsidP="00E4617F">
      <w:pPr>
        <w:pStyle w:val="ListParagraph"/>
        <w:spacing w:line="240" w:lineRule="auto"/>
        <w:rPr>
          <w:sz w:val="24"/>
          <w:szCs w:val="24"/>
          <w:lang w:val="en-US"/>
        </w:rPr>
      </w:pPr>
    </w:p>
    <w:p w:rsidR="00787C42" w:rsidRDefault="00787C42" w:rsidP="00E4617F">
      <w:pPr>
        <w:pStyle w:val="ListParagraph"/>
        <w:numPr>
          <w:ilvl w:val="1"/>
          <w:numId w:val="5"/>
        </w:numPr>
        <w:spacing w:line="240" w:lineRule="auto"/>
        <w:jc w:val="both"/>
        <w:rPr>
          <w:sz w:val="24"/>
          <w:szCs w:val="24"/>
          <w:lang w:val="en-US"/>
        </w:rPr>
      </w:pPr>
      <w:r>
        <w:rPr>
          <w:sz w:val="24"/>
          <w:szCs w:val="24"/>
          <w:lang w:val="en-US"/>
        </w:rPr>
        <w:t xml:space="preserve">The next step is to purify the linearized plasmid DNA (EZNA Cycle pure kit, SIGMA), elute the DNA in elution buffer or nuclease free water (Sigma) followed by quantification of the DNA (NanoDrop, PicoGreen).   </w:t>
      </w:r>
    </w:p>
    <w:p w:rsidR="00787C42" w:rsidRPr="00470ED5" w:rsidRDefault="00787C42" w:rsidP="00E4617F">
      <w:pPr>
        <w:pStyle w:val="ListParagraph"/>
        <w:spacing w:line="240" w:lineRule="auto"/>
        <w:rPr>
          <w:sz w:val="24"/>
          <w:szCs w:val="24"/>
          <w:lang w:val="en-US"/>
        </w:rPr>
      </w:pPr>
    </w:p>
    <w:p w:rsidR="00787C42" w:rsidRDefault="00787C42" w:rsidP="00E4617F">
      <w:pPr>
        <w:pStyle w:val="ListParagraph"/>
        <w:numPr>
          <w:ilvl w:val="1"/>
          <w:numId w:val="5"/>
        </w:numPr>
        <w:spacing w:line="240" w:lineRule="auto"/>
        <w:jc w:val="both"/>
        <w:rPr>
          <w:sz w:val="24"/>
          <w:szCs w:val="24"/>
          <w:lang w:val="en-US"/>
        </w:rPr>
      </w:pPr>
      <w:r>
        <w:rPr>
          <w:sz w:val="24"/>
          <w:szCs w:val="24"/>
          <w:lang w:val="en-US"/>
        </w:rPr>
        <w:t>The number of molecules/</w:t>
      </w:r>
      <w:r w:rsidRPr="00470ED5">
        <w:rPr>
          <w:rFonts w:cs="Calibri"/>
          <w:sz w:val="24"/>
          <w:szCs w:val="24"/>
          <w:lang w:val="en-US"/>
        </w:rPr>
        <w:t xml:space="preserve"> </w:t>
      </w:r>
      <w:r w:rsidRPr="00946E8E">
        <w:rPr>
          <w:rFonts w:cs="Calibri"/>
          <w:sz w:val="24"/>
          <w:szCs w:val="24"/>
          <w:lang w:val="en-US"/>
        </w:rPr>
        <w:t>µ</w:t>
      </w:r>
      <w:r w:rsidRPr="00946E8E">
        <w:rPr>
          <w:sz w:val="24"/>
          <w:szCs w:val="24"/>
          <w:lang w:val="en-US"/>
        </w:rPr>
        <w:t>l</w:t>
      </w:r>
      <w:r>
        <w:rPr>
          <w:sz w:val="24"/>
          <w:szCs w:val="24"/>
          <w:lang w:val="en-US"/>
        </w:rPr>
        <w:t xml:space="preserve"> can then be calculated by the following formula (in Zhu et al. 2005, FEMS Microbiology Ecology 52):</w:t>
      </w:r>
    </w:p>
    <w:p w:rsidR="00787C42" w:rsidRPr="00470ED5" w:rsidRDefault="00787C42" w:rsidP="00E4617F">
      <w:pPr>
        <w:pStyle w:val="ListParagraph"/>
        <w:spacing w:line="240" w:lineRule="auto"/>
        <w:rPr>
          <w:sz w:val="24"/>
          <w:szCs w:val="24"/>
          <w:lang w:val="en-US"/>
        </w:rPr>
      </w:pPr>
    </w:p>
    <w:p w:rsidR="00787C42" w:rsidRDefault="00787C42" w:rsidP="00E4617F">
      <w:pPr>
        <w:pStyle w:val="ListParagraph"/>
        <w:spacing w:line="240" w:lineRule="auto"/>
        <w:ind w:left="405"/>
        <w:jc w:val="center"/>
        <w:rPr>
          <w:sz w:val="24"/>
          <w:szCs w:val="24"/>
          <w:lang w:val="en-US"/>
        </w:rPr>
      </w:pPr>
      <w:r>
        <w:rPr>
          <w:sz w:val="24"/>
          <w:szCs w:val="24"/>
          <w:lang w:val="en-US"/>
        </w:rPr>
        <w:t>Molecules/</w:t>
      </w:r>
      <w:r w:rsidRPr="00946E8E">
        <w:rPr>
          <w:rFonts w:cs="Calibri"/>
          <w:sz w:val="24"/>
          <w:szCs w:val="24"/>
          <w:lang w:val="en-US"/>
        </w:rPr>
        <w:t>µ</w:t>
      </w:r>
      <w:r w:rsidRPr="00946E8E">
        <w:rPr>
          <w:sz w:val="24"/>
          <w:szCs w:val="24"/>
          <w:lang w:val="en-US"/>
        </w:rPr>
        <w:t>l</w:t>
      </w:r>
      <w:r>
        <w:rPr>
          <w:sz w:val="24"/>
          <w:szCs w:val="24"/>
          <w:lang w:val="en-US"/>
        </w:rPr>
        <w:t xml:space="preserve"> = (a/(b*660))*6.022E+23</w:t>
      </w:r>
    </w:p>
    <w:p w:rsidR="00787C42" w:rsidRDefault="00787C42" w:rsidP="00E4617F">
      <w:pPr>
        <w:pStyle w:val="ListParagraph"/>
        <w:spacing w:line="240" w:lineRule="auto"/>
        <w:ind w:left="405"/>
        <w:jc w:val="center"/>
        <w:rPr>
          <w:sz w:val="24"/>
          <w:szCs w:val="24"/>
          <w:lang w:val="en-US"/>
        </w:rPr>
      </w:pPr>
    </w:p>
    <w:p w:rsidR="00787C42" w:rsidRDefault="00787C42" w:rsidP="00E4617F">
      <w:pPr>
        <w:pStyle w:val="ListParagraph"/>
        <w:spacing w:line="240" w:lineRule="auto"/>
        <w:ind w:left="405"/>
        <w:jc w:val="both"/>
        <w:rPr>
          <w:sz w:val="24"/>
          <w:szCs w:val="24"/>
          <w:lang w:val="en-US"/>
        </w:rPr>
      </w:pPr>
      <w:r>
        <w:rPr>
          <w:sz w:val="24"/>
          <w:szCs w:val="24"/>
          <w:lang w:val="en-US"/>
        </w:rPr>
        <w:t>where a is the plasmid DNA concentration (g/</w:t>
      </w:r>
      <w:r w:rsidRPr="00946E8E">
        <w:rPr>
          <w:rFonts w:cs="Calibri"/>
          <w:sz w:val="24"/>
          <w:szCs w:val="24"/>
          <w:lang w:val="en-US"/>
        </w:rPr>
        <w:t>µ</w:t>
      </w:r>
      <w:r w:rsidRPr="00946E8E">
        <w:rPr>
          <w:sz w:val="24"/>
          <w:szCs w:val="24"/>
          <w:lang w:val="en-US"/>
        </w:rPr>
        <w:t>l</w:t>
      </w:r>
      <w:r>
        <w:rPr>
          <w:sz w:val="24"/>
          <w:szCs w:val="24"/>
          <w:lang w:val="en-US"/>
        </w:rPr>
        <w:t xml:space="preserve">), b is the plasmid length (bp) including both vector and insert, 660 is the average molecular weight of one bp and 6.022E+23 is the molar constant.  </w:t>
      </w:r>
    </w:p>
    <w:p w:rsidR="00787C42" w:rsidRPr="00FD04A8" w:rsidRDefault="00787C42" w:rsidP="00E4617F">
      <w:pPr>
        <w:pStyle w:val="ListParagraph"/>
        <w:spacing w:line="240" w:lineRule="auto"/>
        <w:ind w:left="405"/>
        <w:jc w:val="both"/>
        <w:rPr>
          <w:sz w:val="24"/>
          <w:szCs w:val="24"/>
          <w:lang w:val="en-US"/>
        </w:rPr>
      </w:pPr>
    </w:p>
    <w:p w:rsidR="00787C42" w:rsidRPr="0072310F" w:rsidRDefault="00787C42" w:rsidP="00E4617F">
      <w:pPr>
        <w:pStyle w:val="ListParagraph"/>
        <w:numPr>
          <w:ilvl w:val="1"/>
          <w:numId w:val="5"/>
        </w:numPr>
        <w:spacing w:line="240" w:lineRule="auto"/>
        <w:jc w:val="both"/>
        <w:rPr>
          <w:sz w:val="24"/>
          <w:szCs w:val="24"/>
          <w:lang w:val="en-US"/>
        </w:rPr>
      </w:pPr>
      <w:r w:rsidRPr="0072310F">
        <w:rPr>
          <w:sz w:val="24"/>
          <w:szCs w:val="24"/>
          <w:lang w:val="en-US"/>
        </w:rPr>
        <w:t>From the stock of linearized plasmid DNA with known no. of copies/</w:t>
      </w:r>
      <w:r w:rsidRPr="0072310F">
        <w:rPr>
          <w:rFonts w:cs="Calibri"/>
          <w:sz w:val="24"/>
          <w:szCs w:val="24"/>
          <w:lang w:val="en-US"/>
        </w:rPr>
        <w:t>µ</w:t>
      </w:r>
      <w:r w:rsidRPr="0072310F">
        <w:rPr>
          <w:sz w:val="24"/>
          <w:szCs w:val="24"/>
          <w:lang w:val="en-US"/>
        </w:rPr>
        <w:t xml:space="preserve">l a serially diluted standard </w:t>
      </w:r>
      <w:r>
        <w:rPr>
          <w:sz w:val="24"/>
          <w:szCs w:val="24"/>
          <w:lang w:val="en-US"/>
        </w:rPr>
        <w:t>(e.g. 10 fold serial dilution with 50000, 5000, 500, 50 and 5 copies/</w:t>
      </w:r>
      <w:r w:rsidRPr="00946E8E">
        <w:rPr>
          <w:rFonts w:cs="Calibri"/>
          <w:sz w:val="24"/>
          <w:szCs w:val="24"/>
          <w:lang w:val="en-US"/>
        </w:rPr>
        <w:t>µ</w:t>
      </w:r>
      <w:r w:rsidRPr="00946E8E">
        <w:rPr>
          <w:sz w:val="24"/>
          <w:szCs w:val="24"/>
          <w:lang w:val="en-US"/>
        </w:rPr>
        <w:t>l</w:t>
      </w:r>
      <w:r>
        <w:rPr>
          <w:sz w:val="24"/>
          <w:szCs w:val="24"/>
          <w:lang w:val="en-US"/>
        </w:rPr>
        <w:t>)</w:t>
      </w:r>
      <w:r w:rsidRPr="0072310F">
        <w:rPr>
          <w:sz w:val="24"/>
          <w:szCs w:val="24"/>
          <w:lang w:val="en-US"/>
        </w:rPr>
        <w:t xml:space="preserve"> </w:t>
      </w:r>
      <w:r>
        <w:rPr>
          <w:sz w:val="24"/>
          <w:szCs w:val="24"/>
          <w:lang w:val="en-US"/>
        </w:rPr>
        <w:t>is</w:t>
      </w:r>
      <w:r w:rsidRPr="0072310F">
        <w:rPr>
          <w:sz w:val="24"/>
          <w:szCs w:val="24"/>
          <w:lang w:val="en-US"/>
        </w:rPr>
        <w:t xml:space="preserve"> prepared.</w:t>
      </w:r>
      <w:r>
        <w:rPr>
          <w:sz w:val="24"/>
          <w:szCs w:val="24"/>
          <w:lang w:val="en-US"/>
        </w:rPr>
        <w:t xml:space="preserve"> Nuclease free water can be used to make the dilutions. Mix well between steps. Store at -20 </w:t>
      </w:r>
      <w:r>
        <w:rPr>
          <w:rFonts w:cs="Calibri"/>
          <w:sz w:val="24"/>
          <w:szCs w:val="24"/>
          <w:lang w:val="en-US"/>
        </w:rPr>
        <w:t>°C.</w:t>
      </w:r>
      <w:r>
        <w:rPr>
          <w:sz w:val="24"/>
          <w:szCs w:val="24"/>
          <w:lang w:val="en-US"/>
        </w:rPr>
        <w:t xml:space="preserve"> To avoid repeated freeze/thawing it’s a good idea to divide the serially diluted standard into aliquots.</w:t>
      </w:r>
      <w:r w:rsidRPr="0072310F">
        <w:rPr>
          <w:sz w:val="24"/>
          <w:szCs w:val="24"/>
          <w:lang w:val="en-US"/>
        </w:rPr>
        <w:t xml:space="preserve"> </w:t>
      </w:r>
    </w:p>
    <w:p w:rsidR="00787C42" w:rsidRDefault="00787C42" w:rsidP="00E4617F">
      <w:pPr>
        <w:pStyle w:val="ListParagraph"/>
        <w:spacing w:line="240" w:lineRule="auto"/>
        <w:jc w:val="both"/>
        <w:rPr>
          <w:sz w:val="24"/>
          <w:szCs w:val="24"/>
          <w:lang w:val="en-US"/>
        </w:rPr>
      </w:pPr>
    </w:p>
    <w:p w:rsidR="00787C42" w:rsidRPr="007B68C6" w:rsidRDefault="007352F8" w:rsidP="00E4617F">
      <w:pPr>
        <w:pStyle w:val="ListParagraph"/>
        <w:spacing w:line="240" w:lineRule="auto"/>
        <w:jc w:val="center"/>
        <w:rPr>
          <w:rFonts w:ascii="Verdana" w:hAnsi="Verdana"/>
          <w:noProof/>
          <w:color w:val="000000"/>
          <w:sz w:val="12"/>
          <w:szCs w:val="12"/>
          <w:lang w:val="en-US"/>
        </w:rPr>
      </w:pPr>
      <w:r>
        <w:rPr>
          <w:noProof/>
          <w:lang w:val="en-GB" w:eastAsia="en-GB"/>
        </w:rPr>
        <mc:AlternateContent>
          <mc:Choice Requires="wps">
            <w:drawing>
              <wp:anchor distT="0" distB="0" distL="114300" distR="114300" simplePos="0" relativeHeight="251658752" behindDoc="0" locked="0" layoutInCell="1" allowOverlap="1">
                <wp:simplePos x="0" y="0"/>
                <wp:positionH relativeFrom="column">
                  <wp:posOffset>2207260</wp:posOffset>
                </wp:positionH>
                <wp:positionV relativeFrom="paragraph">
                  <wp:posOffset>7620</wp:posOffset>
                </wp:positionV>
                <wp:extent cx="628650" cy="390525"/>
                <wp:effectExtent l="0" t="0" r="19050" b="4762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90525"/>
                        </a:xfrm>
                        <a:prstGeom prst="curvedDownArrow">
                          <a:avLst>
                            <a:gd name="adj1" fmla="val 32195"/>
                            <a:gd name="adj2" fmla="val 6439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A50E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 o:spid="_x0000_s1026" type="#_x0000_t105" style="position:absolute;margin-left:173.8pt;margin-top:.6pt;width:49.5pt;height:3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"/>
            </w:pict>
          </mc:Fallback>
        </mc:AlternateContent>
      </w:r>
      <w:r>
        <w:rPr>
          <w:noProof/>
          <w:lang w:val="en-GB" w:eastAsia="en-GB"/>
        </w:rPr>
        <mc:AlternateContent>
          <mc:Choice Requires="wps">
            <w:drawing>
              <wp:anchor distT="0" distB="0" distL="114300" distR="114300" simplePos="0" relativeHeight="251659776" behindDoc="0" locked="0" layoutInCell="1" allowOverlap="1">
                <wp:simplePos x="0" y="0"/>
                <wp:positionH relativeFrom="column">
                  <wp:posOffset>2880360</wp:posOffset>
                </wp:positionH>
                <wp:positionV relativeFrom="paragraph">
                  <wp:posOffset>7620</wp:posOffset>
                </wp:positionV>
                <wp:extent cx="628650" cy="390525"/>
                <wp:effectExtent l="0" t="0" r="19050" b="4762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90525"/>
                        </a:xfrm>
                        <a:prstGeom prst="curvedDownArrow">
                          <a:avLst>
                            <a:gd name="adj1" fmla="val 32195"/>
                            <a:gd name="adj2" fmla="val 6439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07338" id="AutoShape 10" o:spid="_x0000_s1026" type="#_x0000_t105" style="position:absolute;margin-left:226.8pt;margin-top:.6pt;width:49.5pt;height:30.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"/>
            </w:pict>
          </mc:Fallback>
        </mc:AlternateContent>
      </w:r>
      <w:r>
        <w:rPr>
          <w:noProof/>
          <w:lang w:val="en-GB" w:eastAsia="en-GB"/>
        </w:rPr>
        <mc:AlternateContent>
          <mc:Choice Requires="wps">
            <w:drawing>
              <wp:anchor distT="0" distB="0" distL="114300" distR="114300" simplePos="0" relativeHeight="251660800" behindDoc="0" locked="0" layoutInCell="1" allowOverlap="1">
                <wp:simplePos x="0" y="0"/>
                <wp:positionH relativeFrom="column">
                  <wp:posOffset>3547110</wp:posOffset>
                </wp:positionH>
                <wp:positionV relativeFrom="paragraph">
                  <wp:posOffset>7620</wp:posOffset>
                </wp:positionV>
                <wp:extent cx="628650" cy="390525"/>
                <wp:effectExtent l="0" t="0" r="19050" b="47625"/>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90525"/>
                        </a:xfrm>
                        <a:prstGeom prst="curvedDownArrow">
                          <a:avLst>
                            <a:gd name="adj1" fmla="val 32195"/>
                            <a:gd name="adj2" fmla="val 6439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E1E19" id="AutoShape 11" o:spid="_x0000_s1026" type="#_x0000_t105" style="position:absolute;margin-left:279.3pt;margin-top:.6pt;width:49.5pt;height:3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"/>
            </w:pict>
          </mc:Fallback>
        </mc:AlternateContent>
      </w:r>
    </w:p>
    <w:p w:rsidR="00787C42" w:rsidRPr="007B68C6" w:rsidRDefault="00787C42" w:rsidP="00E4617F">
      <w:pPr>
        <w:pStyle w:val="ListParagraph"/>
        <w:spacing w:line="240" w:lineRule="auto"/>
        <w:jc w:val="center"/>
        <w:rPr>
          <w:rFonts w:ascii="Verdana" w:hAnsi="Verdana"/>
          <w:noProof/>
          <w:color w:val="000000"/>
          <w:sz w:val="12"/>
          <w:szCs w:val="12"/>
          <w:lang w:val="en-US"/>
        </w:rPr>
      </w:pPr>
    </w:p>
    <w:p w:rsidR="00787C42" w:rsidRPr="007B68C6" w:rsidRDefault="00787C42" w:rsidP="00E4617F">
      <w:pPr>
        <w:pStyle w:val="ListParagraph"/>
        <w:spacing w:line="240" w:lineRule="auto"/>
        <w:jc w:val="center"/>
        <w:rPr>
          <w:rFonts w:ascii="Verdana" w:hAnsi="Verdana"/>
          <w:noProof/>
          <w:color w:val="000000"/>
          <w:sz w:val="12"/>
          <w:szCs w:val="12"/>
          <w:lang w:val="en-US"/>
        </w:rPr>
      </w:pPr>
    </w:p>
    <w:p w:rsidR="00787C42" w:rsidRPr="007B68C6" w:rsidRDefault="00787C42" w:rsidP="00E4617F">
      <w:pPr>
        <w:pStyle w:val="ListParagraph"/>
        <w:spacing w:line="240" w:lineRule="auto"/>
        <w:jc w:val="center"/>
        <w:rPr>
          <w:rFonts w:ascii="Verdana" w:hAnsi="Verdana"/>
          <w:noProof/>
          <w:color w:val="000000"/>
          <w:sz w:val="12"/>
          <w:szCs w:val="12"/>
          <w:lang w:val="en-US"/>
        </w:rPr>
      </w:pPr>
    </w:p>
    <w:p w:rsidR="00787C42" w:rsidRDefault="007352F8" w:rsidP="00E4617F">
      <w:pPr>
        <w:pStyle w:val="ListParagraph"/>
        <w:spacing w:line="240" w:lineRule="auto"/>
        <w:jc w:val="center"/>
        <w:rPr>
          <w:sz w:val="24"/>
          <w:szCs w:val="24"/>
          <w:lang w:val="en-US"/>
        </w:rPr>
      </w:pPr>
      <w:r>
        <w:rPr>
          <w:noProof/>
          <w:lang w:val="en-GB" w:eastAsia="en-GB"/>
        </w:rPr>
        <mc:AlternateContent>
          <mc:Choice Requires="wps">
            <w:drawing>
              <wp:anchor distT="0" distB="0" distL="114300" distR="114300" simplePos="0" relativeHeight="251654656" behindDoc="0" locked="0" layoutInCell="1" allowOverlap="1">
                <wp:simplePos x="0" y="0"/>
                <wp:positionH relativeFrom="column">
                  <wp:posOffset>2156460</wp:posOffset>
                </wp:positionH>
                <wp:positionV relativeFrom="paragraph">
                  <wp:posOffset>38735</wp:posOffset>
                </wp:positionV>
                <wp:extent cx="260350" cy="463550"/>
                <wp:effectExtent l="9525" t="10795" r="6350" b="1143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463550"/>
                        </a:xfrm>
                        <a:prstGeom prst="can">
                          <a:avLst>
                            <a:gd name="adj" fmla="val 44512"/>
                          </a:avLst>
                        </a:prstGeom>
                        <a:solidFill>
                          <a:srgbClr val="7F7F7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319C2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26" type="#_x0000_t22" style="position:absolute;margin-left:169.8pt;margin-top:3.05pt;width:20.5pt;height:3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" fillcolor="#7f7f7f"/>
            </w:pict>
          </mc:Fallback>
        </mc:AlternateContent>
      </w:r>
      <w:r>
        <w:rPr>
          <w:noProof/>
          <w:lang w:val="en-GB" w:eastAsia="en-GB"/>
        </w:rPr>
        <mc:AlternateContent>
          <mc:Choice Requires="wps">
            <w:drawing>
              <wp:anchor distT="0" distB="0" distL="114300" distR="114300" simplePos="0" relativeHeight="251655680" behindDoc="0" locked="0" layoutInCell="1" allowOverlap="1">
                <wp:simplePos x="0" y="0"/>
                <wp:positionH relativeFrom="column">
                  <wp:posOffset>2757805</wp:posOffset>
                </wp:positionH>
                <wp:positionV relativeFrom="paragraph">
                  <wp:posOffset>38735</wp:posOffset>
                </wp:positionV>
                <wp:extent cx="260350" cy="463550"/>
                <wp:effectExtent l="10795" t="10795" r="5080" b="114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463550"/>
                        </a:xfrm>
                        <a:prstGeom prst="can">
                          <a:avLst>
                            <a:gd name="adj" fmla="val 44512"/>
                          </a:avLst>
                        </a:prstGeom>
                        <a:solidFill>
                          <a:srgbClr val="A5A5A5"/>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22D37" id="AutoShape 5" o:spid="_x0000_s1026" type="#_x0000_t22" style="position:absolute;margin-left:217.15pt;margin-top:3.05pt;width:20.5pt;height:3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" fillcolor="#a5a5a5"/>
            </w:pict>
          </mc:Fallback>
        </mc:AlternateContent>
      </w:r>
      <w:r>
        <w:rPr>
          <w:noProof/>
          <w:lang w:val="en-GB" w:eastAsia="en-GB"/>
        </w:rPr>
        <mc:AlternateContent>
          <mc:Choice Requires="wps">
            <w:drawing>
              <wp:anchor distT="0" distB="0" distL="114300" distR="114300" simplePos="0" relativeHeight="251656704" behindDoc="0" locked="0" layoutInCell="1" allowOverlap="1">
                <wp:simplePos x="0" y="0"/>
                <wp:positionH relativeFrom="column">
                  <wp:posOffset>3388360</wp:posOffset>
                </wp:positionH>
                <wp:positionV relativeFrom="paragraph">
                  <wp:posOffset>38735</wp:posOffset>
                </wp:positionV>
                <wp:extent cx="260350" cy="463550"/>
                <wp:effectExtent l="12700" t="10795" r="12700"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463550"/>
                        </a:xfrm>
                        <a:prstGeom prst="can">
                          <a:avLst>
                            <a:gd name="adj" fmla="val 44512"/>
                          </a:avLst>
                        </a:prstGeom>
                        <a:solidFill>
                          <a:srgbClr val="BFBFB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C6F02" id="AutoShape 6" o:spid="_x0000_s1026" type="#_x0000_t22" style="position:absolute;margin-left:266.8pt;margin-top:3.05pt;width:20.5pt;height:3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" fillcolor="#bfbfbf"/>
            </w:pict>
          </mc:Fallback>
        </mc:AlternateContent>
      </w:r>
      <w:r>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3947160</wp:posOffset>
                </wp:positionH>
                <wp:positionV relativeFrom="paragraph">
                  <wp:posOffset>38735</wp:posOffset>
                </wp:positionV>
                <wp:extent cx="260350" cy="463550"/>
                <wp:effectExtent l="9525" t="10795" r="635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463550"/>
                        </a:xfrm>
                        <a:prstGeom prst="can">
                          <a:avLst>
                            <a:gd name="adj" fmla="val 44512"/>
                          </a:avLst>
                        </a:prstGeom>
                        <a:solidFill>
                          <a:srgbClr val="D8D8D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CC693" id="AutoShape 7" o:spid="_x0000_s1026" type="#_x0000_t22" style="position:absolute;margin-left:310.8pt;margin-top:3.05pt;width:20.5pt;height: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" fillcolor="#d8d8d8"/>
            </w:pict>
          </mc:Fallback>
        </mc:AlternateContent>
      </w:r>
    </w:p>
    <w:p w:rsidR="00787C42" w:rsidRDefault="00787C42" w:rsidP="00E4617F">
      <w:pPr>
        <w:spacing w:line="240" w:lineRule="auto"/>
        <w:jc w:val="center"/>
        <w:rPr>
          <w:b/>
          <w:sz w:val="28"/>
          <w:szCs w:val="28"/>
          <w:u w:val="single"/>
          <w:lang w:val="en-US"/>
        </w:rPr>
      </w:pPr>
    </w:p>
    <w:p w:rsidR="00787C42" w:rsidRDefault="00787C42" w:rsidP="00E4617F">
      <w:pPr>
        <w:spacing w:line="240" w:lineRule="auto"/>
        <w:jc w:val="center"/>
        <w:rPr>
          <w:sz w:val="20"/>
          <w:szCs w:val="20"/>
          <w:lang w:val="en-US"/>
        </w:rPr>
      </w:pPr>
      <w:r>
        <w:rPr>
          <w:sz w:val="20"/>
          <w:szCs w:val="20"/>
          <w:lang w:val="en-US"/>
        </w:rPr>
        <w:lastRenderedPageBreak/>
        <w:t>Calculate (C</w:t>
      </w:r>
      <w:r w:rsidRPr="007F7B3A">
        <w:rPr>
          <w:sz w:val="20"/>
          <w:szCs w:val="20"/>
          <w:vertAlign w:val="subscript"/>
          <w:lang w:val="en-US"/>
        </w:rPr>
        <w:t>1</w:t>
      </w:r>
      <w:r>
        <w:rPr>
          <w:sz w:val="20"/>
          <w:szCs w:val="20"/>
          <w:lang w:val="en-US"/>
        </w:rPr>
        <w:t>V</w:t>
      </w:r>
      <w:r w:rsidRPr="007F7B3A">
        <w:rPr>
          <w:sz w:val="20"/>
          <w:szCs w:val="20"/>
          <w:vertAlign w:val="subscript"/>
          <w:lang w:val="en-US"/>
        </w:rPr>
        <w:t>1</w:t>
      </w:r>
      <w:r>
        <w:rPr>
          <w:sz w:val="20"/>
          <w:szCs w:val="20"/>
          <w:lang w:val="en-US"/>
        </w:rPr>
        <w:t>=C</w:t>
      </w:r>
      <w:r w:rsidRPr="007F7B3A">
        <w:rPr>
          <w:sz w:val="20"/>
          <w:szCs w:val="20"/>
          <w:vertAlign w:val="subscript"/>
          <w:lang w:val="en-US"/>
        </w:rPr>
        <w:t>2</w:t>
      </w:r>
      <w:r>
        <w:rPr>
          <w:sz w:val="20"/>
          <w:szCs w:val="20"/>
          <w:lang w:val="en-US"/>
        </w:rPr>
        <w:t>V</w:t>
      </w:r>
      <w:r w:rsidRPr="007F7B3A">
        <w:rPr>
          <w:sz w:val="20"/>
          <w:szCs w:val="20"/>
          <w:vertAlign w:val="subscript"/>
          <w:lang w:val="en-US"/>
        </w:rPr>
        <w:t>2</w:t>
      </w:r>
      <w:r>
        <w:rPr>
          <w:sz w:val="20"/>
          <w:szCs w:val="20"/>
          <w:lang w:val="en-US"/>
        </w:rPr>
        <w:t>) the amount of stock needed to prepare e.g. 100</w:t>
      </w:r>
      <w:r>
        <w:rPr>
          <w:rFonts w:cs="Calibri"/>
          <w:sz w:val="20"/>
          <w:szCs w:val="20"/>
          <w:lang w:val="en-US"/>
        </w:rPr>
        <w:t>µ</w:t>
      </w:r>
      <w:r>
        <w:rPr>
          <w:sz w:val="20"/>
          <w:szCs w:val="20"/>
          <w:lang w:val="en-US"/>
        </w:rPr>
        <w:t>l of 50000 copies/</w:t>
      </w:r>
      <w:r>
        <w:rPr>
          <w:rFonts w:cs="Calibri"/>
          <w:sz w:val="20"/>
          <w:szCs w:val="20"/>
          <w:lang w:val="en-US"/>
        </w:rPr>
        <w:t>µ</w:t>
      </w:r>
      <w:r>
        <w:rPr>
          <w:sz w:val="20"/>
          <w:szCs w:val="20"/>
          <w:lang w:val="en-US"/>
        </w:rPr>
        <w:t xml:space="preserve">l. Then transfer 10 </w:t>
      </w:r>
      <w:r>
        <w:rPr>
          <w:rFonts w:cs="Calibri"/>
          <w:sz w:val="20"/>
          <w:szCs w:val="20"/>
          <w:lang w:val="en-US"/>
        </w:rPr>
        <w:t>µ</w:t>
      </w:r>
      <w:r>
        <w:rPr>
          <w:sz w:val="20"/>
          <w:szCs w:val="20"/>
          <w:lang w:val="en-US"/>
        </w:rPr>
        <w:t>l of the 50000 copies/</w:t>
      </w:r>
      <w:r>
        <w:rPr>
          <w:rFonts w:cs="Calibri"/>
          <w:sz w:val="20"/>
          <w:szCs w:val="20"/>
          <w:lang w:val="en-US"/>
        </w:rPr>
        <w:t>µ</w:t>
      </w:r>
      <w:r>
        <w:rPr>
          <w:sz w:val="20"/>
          <w:szCs w:val="20"/>
          <w:lang w:val="en-US"/>
        </w:rPr>
        <w:t xml:space="preserve">l to a new tube and mix it with 90 </w:t>
      </w:r>
      <w:r>
        <w:rPr>
          <w:rFonts w:cs="Calibri"/>
          <w:sz w:val="20"/>
          <w:szCs w:val="20"/>
          <w:lang w:val="en-US"/>
        </w:rPr>
        <w:t>µ</w:t>
      </w:r>
      <w:r>
        <w:rPr>
          <w:sz w:val="20"/>
          <w:szCs w:val="20"/>
          <w:lang w:val="en-US"/>
        </w:rPr>
        <w:t>l of water and so on down to 5 copies/</w:t>
      </w:r>
      <w:r>
        <w:rPr>
          <w:rFonts w:cs="Calibri"/>
          <w:sz w:val="20"/>
          <w:szCs w:val="20"/>
          <w:lang w:val="en-US"/>
        </w:rPr>
        <w:t>µ</w:t>
      </w:r>
      <w:r>
        <w:rPr>
          <w:sz w:val="20"/>
          <w:szCs w:val="20"/>
          <w:lang w:val="en-US"/>
        </w:rPr>
        <w:t xml:space="preserve">l.      </w:t>
      </w:r>
    </w:p>
    <w:p w:rsidR="00787C42" w:rsidRPr="00E4617F" w:rsidRDefault="00787C42" w:rsidP="00E4617F">
      <w:pPr>
        <w:spacing w:line="240" w:lineRule="auto"/>
        <w:ind w:left="360"/>
        <w:jc w:val="center"/>
        <w:rPr>
          <w:b/>
          <w:sz w:val="28"/>
          <w:szCs w:val="28"/>
          <w:lang w:val="en-US"/>
        </w:rPr>
      </w:pPr>
      <w:r w:rsidRPr="00E4617F">
        <w:rPr>
          <w:b/>
          <w:sz w:val="28"/>
          <w:szCs w:val="28"/>
          <w:lang w:val="en-US"/>
        </w:rPr>
        <w:t>qPCR Inhibition test</w:t>
      </w:r>
    </w:p>
    <w:p w:rsidR="00787C42" w:rsidRPr="002A24D3" w:rsidRDefault="00787C42" w:rsidP="002A24D3">
      <w:pPr>
        <w:pStyle w:val="ListParagraph"/>
        <w:numPr>
          <w:ilvl w:val="0"/>
          <w:numId w:val="6"/>
        </w:numPr>
        <w:spacing w:line="240" w:lineRule="auto"/>
        <w:jc w:val="both"/>
        <w:rPr>
          <w:sz w:val="24"/>
          <w:szCs w:val="24"/>
          <w:lang w:val="en-US"/>
        </w:rPr>
      </w:pPr>
      <w:r>
        <w:rPr>
          <w:sz w:val="24"/>
          <w:szCs w:val="24"/>
          <w:lang w:val="en-US"/>
        </w:rPr>
        <w:t xml:space="preserve">To test whether samples amplifies with the same efficiency as the standard an inhibition test can be done (in </w:t>
      </w:r>
      <w:bookmarkStart w:id="0" w:name="_GoBack"/>
      <w:r>
        <w:rPr>
          <w:sz w:val="24"/>
          <w:szCs w:val="24"/>
          <w:lang w:val="en-US"/>
        </w:rPr>
        <w:t xml:space="preserve">Goebel et al. 2010, </w:t>
      </w:r>
      <w:r w:rsidRPr="002A24D3">
        <w:rPr>
          <w:sz w:val="24"/>
          <w:szCs w:val="24"/>
          <w:lang w:val="en-US"/>
        </w:rPr>
        <w:t>Env.Microbiol. 12:3272-3289</w:t>
      </w:r>
      <w:bookmarkEnd w:id="0"/>
      <w:r w:rsidRPr="002A24D3">
        <w:rPr>
          <w:sz w:val="24"/>
          <w:szCs w:val="24"/>
          <w:lang w:val="en-US"/>
        </w:rPr>
        <w:t xml:space="preserve">).  </w:t>
      </w:r>
    </w:p>
    <w:p w:rsidR="00787C42" w:rsidRPr="002A24D3" w:rsidRDefault="00787C42" w:rsidP="00E4617F">
      <w:pPr>
        <w:pStyle w:val="ListParagraph"/>
        <w:spacing w:line="240" w:lineRule="auto"/>
        <w:jc w:val="both"/>
        <w:rPr>
          <w:b/>
          <w:sz w:val="24"/>
          <w:szCs w:val="24"/>
          <w:lang w:val="en-US"/>
        </w:rPr>
      </w:pPr>
    </w:p>
    <w:p w:rsidR="00787C42" w:rsidRDefault="00787C42" w:rsidP="00E4617F">
      <w:pPr>
        <w:pStyle w:val="ListParagraph"/>
        <w:numPr>
          <w:ilvl w:val="0"/>
          <w:numId w:val="6"/>
        </w:numPr>
        <w:spacing w:line="240" w:lineRule="auto"/>
        <w:jc w:val="both"/>
        <w:rPr>
          <w:sz w:val="24"/>
          <w:szCs w:val="24"/>
          <w:lang w:val="en-US"/>
        </w:rPr>
      </w:pPr>
      <w:r>
        <w:rPr>
          <w:sz w:val="24"/>
          <w:szCs w:val="24"/>
          <w:lang w:val="en-US"/>
        </w:rPr>
        <w:t>In the qPCR inhibition test each sample to be tested is spiked with a standard. The Ct value of the spiked sample is then compared with the Ct value of pure the standard. The reactions are set up as follows:</w:t>
      </w:r>
    </w:p>
    <w:p w:rsidR="00787C42" w:rsidRPr="00A70494" w:rsidRDefault="00787C42" w:rsidP="00E4617F">
      <w:pPr>
        <w:pStyle w:val="ListParagraph"/>
        <w:spacing w:line="240" w:lineRule="auto"/>
        <w:rPr>
          <w:sz w:val="24"/>
          <w:szCs w:val="24"/>
          <w:lang w:val="en-US"/>
        </w:rPr>
      </w:pPr>
    </w:p>
    <w:p w:rsidR="00787C42" w:rsidRDefault="00787C42" w:rsidP="00E4617F">
      <w:pPr>
        <w:pStyle w:val="ListParagraph"/>
        <w:numPr>
          <w:ilvl w:val="0"/>
          <w:numId w:val="7"/>
        </w:numPr>
        <w:spacing w:line="240" w:lineRule="auto"/>
        <w:jc w:val="both"/>
        <w:rPr>
          <w:sz w:val="24"/>
          <w:szCs w:val="24"/>
          <w:lang w:val="en-US"/>
        </w:rPr>
      </w:pPr>
      <w:r>
        <w:rPr>
          <w:sz w:val="24"/>
          <w:szCs w:val="24"/>
          <w:lang w:val="en-US"/>
        </w:rPr>
        <w:t xml:space="preserve">1 </w:t>
      </w:r>
      <w:r>
        <w:rPr>
          <w:rFonts w:cs="Calibri"/>
          <w:sz w:val="24"/>
          <w:szCs w:val="24"/>
          <w:lang w:val="en-US"/>
        </w:rPr>
        <w:t>µ</w:t>
      </w:r>
      <w:r>
        <w:rPr>
          <w:sz w:val="24"/>
          <w:szCs w:val="24"/>
          <w:lang w:val="en-US"/>
        </w:rPr>
        <w:t xml:space="preserve">l sample mixed with 1 </w:t>
      </w:r>
      <w:r>
        <w:rPr>
          <w:rFonts w:cs="Calibri"/>
          <w:sz w:val="24"/>
          <w:szCs w:val="24"/>
          <w:lang w:val="en-US"/>
        </w:rPr>
        <w:t>µ</w:t>
      </w:r>
      <w:r>
        <w:rPr>
          <w:sz w:val="24"/>
          <w:szCs w:val="24"/>
          <w:lang w:val="en-US"/>
        </w:rPr>
        <w:t>l of a standard (e.g. 5000 copies/</w:t>
      </w:r>
      <w:r>
        <w:rPr>
          <w:rFonts w:cs="Calibri"/>
          <w:sz w:val="24"/>
          <w:szCs w:val="24"/>
          <w:lang w:val="en-US"/>
        </w:rPr>
        <w:t>µ</w:t>
      </w:r>
      <w:r>
        <w:rPr>
          <w:sz w:val="24"/>
          <w:szCs w:val="24"/>
          <w:lang w:val="en-US"/>
        </w:rPr>
        <w:t xml:space="preserve">l) is added to the reaction mix. Each sample is tested for inhibition in triplicate reactions. </w:t>
      </w:r>
    </w:p>
    <w:p w:rsidR="00787C42" w:rsidRDefault="00787C42" w:rsidP="00E4617F">
      <w:pPr>
        <w:pStyle w:val="ListParagraph"/>
        <w:numPr>
          <w:ilvl w:val="0"/>
          <w:numId w:val="7"/>
        </w:numPr>
        <w:spacing w:line="240" w:lineRule="auto"/>
        <w:jc w:val="both"/>
        <w:rPr>
          <w:sz w:val="24"/>
          <w:szCs w:val="24"/>
          <w:lang w:val="en-US"/>
        </w:rPr>
      </w:pPr>
      <w:r>
        <w:rPr>
          <w:sz w:val="24"/>
          <w:szCs w:val="24"/>
          <w:lang w:val="en-US"/>
        </w:rPr>
        <w:t xml:space="preserve">1 </w:t>
      </w:r>
      <w:r>
        <w:rPr>
          <w:rFonts w:cs="Calibri"/>
          <w:sz w:val="24"/>
          <w:szCs w:val="24"/>
          <w:lang w:val="en-US"/>
        </w:rPr>
        <w:t>µ</w:t>
      </w:r>
      <w:r>
        <w:rPr>
          <w:sz w:val="24"/>
          <w:szCs w:val="24"/>
          <w:lang w:val="en-US"/>
        </w:rPr>
        <w:t>l of a standard (e.g. 5000 copies/</w:t>
      </w:r>
      <w:r>
        <w:rPr>
          <w:rFonts w:cs="Calibri"/>
          <w:sz w:val="24"/>
          <w:szCs w:val="24"/>
          <w:lang w:val="en-US"/>
        </w:rPr>
        <w:t>µ</w:t>
      </w:r>
      <w:r>
        <w:rPr>
          <w:sz w:val="24"/>
          <w:szCs w:val="24"/>
          <w:lang w:val="en-US"/>
        </w:rPr>
        <w:t xml:space="preserve">l) sample. The standard sample is run in triplicate reactions. </w:t>
      </w:r>
    </w:p>
    <w:p w:rsidR="00787C42" w:rsidRDefault="00787C42" w:rsidP="00E4617F">
      <w:pPr>
        <w:pStyle w:val="ListParagraph"/>
        <w:numPr>
          <w:ilvl w:val="0"/>
          <w:numId w:val="7"/>
        </w:numPr>
        <w:spacing w:line="240" w:lineRule="auto"/>
        <w:jc w:val="both"/>
        <w:rPr>
          <w:sz w:val="24"/>
          <w:szCs w:val="24"/>
          <w:lang w:val="en-US"/>
        </w:rPr>
      </w:pPr>
      <w:r>
        <w:rPr>
          <w:sz w:val="24"/>
          <w:szCs w:val="24"/>
          <w:lang w:val="en-US"/>
        </w:rPr>
        <w:t xml:space="preserve">NTC (=no template control) where DNA template is replaced by nuclease free water to test for contamination. The NTC is run in triplicate reactions. </w:t>
      </w:r>
    </w:p>
    <w:p w:rsidR="00787C42" w:rsidRDefault="00787C42" w:rsidP="00E4617F">
      <w:pPr>
        <w:pStyle w:val="ListParagraph"/>
        <w:spacing w:line="240" w:lineRule="auto"/>
        <w:ind w:left="1080"/>
        <w:jc w:val="both"/>
        <w:rPr>
          <w:sz w:val="24"/>
          <w:szCs w:val="24"/>
          <w:lang w:val="en-US"/>
        </w:rPr>
      </w:pPr>
    </w:p>
    <w:p w:rsidR="00787C42" w:rsidRDefault="00787C42" w:rsidP="00E4617F">
      <w:pPr>
        <w:pStyle w:val="ListParagraph"/>
        <w:numPr>
          <w:ilvl w:val="0"/>
          <w:numId w:val="6"/>
        </w:numPr>
        <w:spacing w:line="240" w:lineRule="auto"/>
        <w:jc w:val="both"/>
        <w:rPr>
          <w:sz w:val="24"/>
          <w:szCs w:val="24"/>
          <w:lang w:val="en-US"/>
        </w:rPr>
      </w:pPr>
      <w:r>
        <w:rPr>
          <w:sz w:val="24"/>
          <w:szCs w:val="24"/>
          <w:lang w:val="en-US"/>
        </w:rPr>
        <w:t xml:space="preserve">The percent inhibition </w:t>
      </w:r>
      <w:r w:rsidRPr="00E4617F">
        <w:rPr>
          <w:sz w:val="24"/>
          <w:szCs w:val="24"/>
          <w:lang w:val="en-US"/>
        </w:rPr>
        <w:t xml:space="preserve">(or actually % efficiency) </w:t>
      </w:r>
      <w:r>
        <w:rPr>
          <w:sz w:val="24"/>
          <w:szCs w:val="24"/>
          <w:lang w:val="en-US"/>
        </w:rPr>
        <w:t>can then be calculated according to the following formula:</w:t>
      </w:r>
    </w:p>
    <w:p w:rsidR="00787C42" w:rsidRDefault="00787C42" w:rsidP="00E4617F">
      <w:pPr>
        <w:pStyle w:val="ListParagraph"/>
        <w:spacing w:line="240" w:lineRule="auto"/>
        <w:jc w:val="both"/>
        <w:rPr>
          <w:sz w:val="24"/>
          <w:szCs w:val="24"/>
          <w:lang w:val="en-US"/>
        </w:rPr>
      </w:pPr>
    </w:p>
    <w:p w:rsidR="00787C42" w:rsidRDefault="00787C42" w:rsidP="00E4617F">
      <w:pPr>
        <w:pStyle w:val="ListParagraph"/>
        <w:spacing w:line="240" w:lineRule="auto"/>
        <w:jc w:val="center"/>
        <w:rPr>
          <w:sz w:val="24"/>
          <w:szCs w:val="24"/>
          <w:lang w:val="en-US"/>
        </w:rPr>
      </w:pPr>
      <w:r>
        <w:rPr>
          <w:sz w:val="24"/>
          <w:szCs w:val="24"/>
          <w:lang w:val="en-US"/>
        </w:rPr>
        <w:t>1-((Ct sample – Ct standard)/Ct standard)*100</w:t>
      </w:r>
    </w:p>
    <w:p w:rsidR="00787C42" w:rsidRDefault="00787C42" w:rsidP="00E4617F">
      <w:pPr>
        <w:pStyle w:val="ListParagraph"/>
        <w:spacing w:line="240" w:lineRule="auto"/>
        <w:jc w:val="center"/>
        <w:rPr>
          <w:sz w:val="24"/>
          <w:szCs w:val="24"/>
          <w:lang w:val="en-US"/>
        </w:rPr>
      </w:pPr>
    </w:p>
    <w:p w:rsidR="00787C42" w:rsidRDefault="00787C42" w:rsidP="00E4617F">
      <w:pPr>
        <w:pStyle w:val="ListParagraph"/>
        <w:numPr>
          <w:ilvl w:val="0"/>
          <w:numId w:val="6"/>
        </w:numPr>
        <w:spacing w:line="240" w:lineRule="auto"/>
        <w:jc w:val="both"/>
        <w:rPr>
          <w:sz w:val="24"/>
          <w:szCs w:val="24"/>
          <w:lang w:val="en-US"/>
        </w:rPr>
      </w:pPr>
      <w:r>
        <w:rPr>
          <w:sz w:val="24"/>
          <w:szCs w:val="24"/>
          <w:lang w:val="en-US"/>
        </w:rPr>
        <w:t xml:space="preserve">If inhibitors are present in the sample, dilution of the template could help. In this specific project a calculated inhibition of 1 - 2 % were observed in some samples and was accepted without dilution. </w:t>
      </w:r>
    </w:p>
    <w:p w:rsidR="00787C42" w:rsidRPr="007E7A7A" w:rsidRDefault="00787C42" w:rsidP="00E4617F">
      <w:pPr>
        <w:pStyle w:val="ListParagraph"/>
        <w:spacing w:line="240" w:lineRule="auto"/>
        <w:jc w:val="both"/>
        <w:rPr>
          <w:sz w:val="24"/>
          <w:szCs w:val="24"/>
          <w:lang w:val="en-US"/>
        </w:rPr>
      </w:pPr>
    </w:p>
    <w:p w:rsidR="00787C42" w:rsidRDefault="007352F8" w:rsidP="00E4617F">
      <w:pPr>
        <w:pStyle w:val="ListParagraph"/>
        <w:spacing w:line="240" w:lineRule="auto"/>
        <w:jc w:val="center"/>
        <w:rPr>
          <w:sz w:val="24"/>
          <w:szCs w:val="24"/>
          <w:lang w:val="en-US"/>
        </w:rPr>
      </w:pPr>
      <w:r>
        <w:rPr>
          <w:noProof/>
          <w:lang w:val="en-GB" w:eastAsia="en-GB"/>
        </w:rPr>
        <w:drawing>
          <wp:inline distT="0" distB="0" distL="0" distR="0">
            <wp:extent cx="4152900" cy="27241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2724150"/>
                    </a:xfrm>
                    <a:prstGeom prst="rect">
                      <a:avLst/>
                    </a:prstGeom>
                    <a:noFill/>
                    <a:ln>
                      <a:noFill/>
                    </a:ln>
                  </pic:spPr>
                </pic:pic>
              </a:graphicData>
            </a:graphic>
          </wp:inline>
        </w:drawing>
      </w:r>
    </w:p>
    <w:p w:rsidR="00787C42" w:rsidRPr="007E7A7A" w:rsidRDefault="00787C42" w:rsidP="00E4617F">
      <w:pPr>
        <w:pStyle w:val="ListParagraph"/>
        <w:spacing w:line="240" w:lineRule="auto"/>
        <w:jc w:val="center"/>
        <w:rPr>
          <w:sz w:val="20"/>
          <w:szCs w:val="20"/>
          <w:lang w:val="en-US"/>
        </w:rPr>
      </w:pPr>
      <w:r>
        <w:rPr>
          <w:sz w:val="20"/>
          <w:szCs w:val="20"/>
          <w:lang w:val="en-US"/>
        </w:rPr>
        <w:t>Amplification plot of an inhibition test. The Ct of a standard and the Ct of a sample spiked with standard should be the same if no inhibitors are present (picture). If inhibitors are present in the sample, the Ct will be delayed for the mix of sample and standard compared to the Ct of the pure standard.</w:t>
      </w:r>
    </w:p>
    <w:p w:rsidR="00787C42" w:rsidRDefault="00787C42" w:rsidP="00E4617F">
      <w:pPr>
        <w:spacing w:line="240" w:lineRule="auto"/>
        <w:jc w:val="center"/>
        <w:rPr>
          <w:b/>
          <w:sz w:val="28"/>
          <w:szCs w:val="28"/>
          <w:u w:val="single"/>
          <w:lang w:val="en-US"/>
        </w:rPr>
      </w:pPr>
    </w:p>
    <w:p w:rsidR="00787C42" w:rsidRDefault="00787C42" w:rsidP="00E4617F">
      <w:pPr>
        <w:spacing w:line="240" w:lineRule="auto"/>
        <w:jc w:val="center"/>
        <w:rPr>
          <w:b/>
          <w:sz w:val="28"/>
          <w:szCs w:val="28"/>
          <w:u w:val="single"/>
          <w:lang w:val="en-US"/>
        </w:rPr>
      </w:pPr>
    </w:p>
    <w:p w:rsidR="00787C42" w:rsidRPr="00046E27" w:rsidRDefault="00787C42" w:rsidP="00E4617F">
      <w:pPr>
        <w:spacing w:line="240" w:lineRule="auto"/>
        <w:jc w:val="center"/>
        <w:rPr>
          <w:b/>
          <w:sz w:val="28"/>
          <w:szCs w:val="28"/>
          <w:u w:val="single"/>
          <w:lang w:val="en-US"/>
        </w:rPr>
      </w:pPr>
      <w:r w:rsidRPr="00046E27">
        <w:rPr>
          <w:b/>
          <w:sz w:val="28"/>
          <w:szCs w:val="28"/>
          <w:u w:val="single"/>
          <w:lang w:val="en-US"/>
        </w:rPr>
        <w:t>Stratagene Mx3005P, MxPro Software</w:t>
      </w:r>
    </w:p>
    <w:p w:rsidR="00787C42" w:rsidRPr="00787E51" w:rsidRDefault="00787C42" w:rsidP="00E4617F">
      <w:pPr>
        <w:pStyle w:val="ListParagraph"/>
        <w:numPr>
          <w:ilvl w:val="0"/>
          <w:numId w:val="1"/>
        </w:numPr>
        <w:spacing w:line="240" w:lineRule="auto"/>
        <w:jc w:val="both"/>
        <w:rPr>
          <w:sz w:val="24"/>
          <w:szCs w:val="24"/>
          <w:lang w:val="en-US"/>
        </w:rPr>
      </w:pPr>
      <w:r w:rsidRPr="00F60C1B">
        <w:rPr>
          <w:sz w:val="24"/>
          <w:szCs w:val="24"/>
          <w:lang w:val="en-US"/>
        </w:rPr>
        <w:t xml:space="preserve">Open the software MxPro. In the appearing dialogue box </w:t>
      </w:r>
      <w:r>
        <w:rPr>
          <w:sz w:val="24"/>
          <w:szCs w:val="24"/>
          <w:lang w:val="en-US"/>
        </w:rPr>
        <w:t>“</w:t>
      </w:r>
      <w:r w:rsidRPr="00F60C1B">
        <w:rPr>
          <w:sz w:val="24"/>
          <w:szCs w:val="24"/>
          <w:lang w:val="en-US"/>
        </w:rPr>
        <w:t>New options</w:t>
      </w:r>
      <w:r>
        <w:rPr>
          <w:sz w:val="24"/>
          <w:szCs w:val="24"/>
          <w:lang w:val="en-US"/>
        </w:rPr>
        <w:t>”</w:t>
      </w:r>
      <w:r w:rsidRPr="00F60C1B">
        <w:rPr>
          <w:sz w:val="24"/>
          <w:szCs w:val="24"/>
          <w:lang w:val="en-US"/>
        </w:rPr>
        <w:t xml:space="preserve"> choose the type of assay you want to run (e.g. SYBR green assay with melt curve) and turn on</w:t>
      </w:r>
      <w:r>
        <w:rPr>
          <w:sz w:val="24"/>
          <w:szCs w:val="24"/>
          <w:lang w:val="en-US"/>
        </w:rPr>
        <w:t xml:space="preserve"> the</w:t>
      </w:r>
      <w:r w:rsidRPr="00F60C1B">
        <w:rPr>
          <w:sz w:val="24"/>
          <w:szCs w:val="24"/>
          <w:lang w:val="en-US"/>
        </w:rPr>
        <w:t xml:space="preserve"> lamp for warm up (the lamp needs approx. 20 min </w:t>
      </w:r>
      <w:r>
        <w:rPr>
          <w:sz w:val="24"/>
          <w:szCs w:val="24"/>
          <w:lang w:val="en-US"/>
        </w:rPr>
        <w:t>to warm up</w:t>
      </w:r>
      <w:r w:rsidRPr="00F60C1B">
        <w:rPr>
          <w:sz w:val="24"/>
          <w:szCs w:val="24"/>
          <w:lang w:val="en-US"/>
        </w:rPr>
        <w:t xml:space="preserve">). </w:t>
      </w:r>
      <w:r>
        <w:rPr>
          <w:sz w:val="24"/>
          <w:szCs w:val="24"/>
          <w:lang w:val="en-US"/>
        </w:rPr>
        <w:t xml:space="preserve">Click OK. </w:t>
      </w:r>
    </w:p>
    <w:p w:rsidR="00787C42" w:rsidRDefault="00787C42" w:rsidP="00E4617F">
      <w:pPr>
        <w:pStyle w:val="ListParagraph"/>
        <w:spacing w:line="240" w:lineRule="auto"/>
        <w:jc w:val="both"/>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Pr>
          <w:sz w:val="24"/>
          <w:szCs w:val="24"/>
          <w:lang w:val="en-US"/>
        </w:rPr>
        <w:t xml:space="preserve">Under the tab “plate set up” select wells (use the Ctrl key to select multiple wells) and assign well type (e.g. standard, NTC or unknown (=sample)) to the selected wells. Choose the dye used in the assays under “collect fluorescence data” (additional types of fluorescent dyes can be found or added if clicking the black arrow next to the dye name). Next step is to choose the type of reference dye (e.g. ROX) used in the assay. </w:t>
      </w:r>
    </w:p>
    <w:p w:rsidR="00787C42" w:rsidRPr="00FA171B" w:rsidRDefault="00787C42" w:rsidP="00E4617F">
      <w:pPr>
        <w:pStyle w:val="ListParagraph"/>
        <w:spacing w:line="240" w:lineRule="auto"/>
        <w:jc w:val="both"/>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Pr>
          <w:sz w:val="24"/>
          <w:szCs w:val="24"/>
          <w:lang w:val="en-US"/>
        </w:rPr>
        <w:t xml:space="preserve">Select the wells containing the lowest standard quantity (or the highest) and enter the quantity as a decimal value (e.g. 5) in the “standard quantity” box. Click the “auto-increment” box and choose increment value (e.g. 10x), then click on the rest of the standard wells and the concentrations will fill in automatically. Choose unit of standard (e.g. copies). Replicate wells can be identified in the same way using “auto-increment” under “identify replicates”. </w:t>
      </w:r>
    </w:p>
    <w:p w:rsidR="00787C42" w:rsidRPr="009864DA" w:rsidRDefault="00787C42" w:rsidP="00E4617F">
      <w:pPr>
        <w:pStyle w:val="ListParagraph"/>
        <w:spacing w:line="240" w:lineRule="auto"/>
        <w:jc w:val="both"/>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sidRPr="009864DA">
        <w:rPr>
          <w:sz w:val="24"/>
          <w:szCs w:val="24"/>
          <w:lang w:val="en-US"/>
        </w:rPr>
        <w:t>When ready with the plate set up, click on the tab “thermal profile setup”</w:t>
      </w:r>
      <w:r>
        <w:rPr>
          <w:sz w:val="24"/>
          <w:szCs w:val="24"/>
          <w:lang w:val="en-US"/>
        </w:rPr>
        <w:t xml:space="preserve"> to set up the cycling conditions (e.g. 2 or 3 step protocol, no. of plateaus, melt curve analysis). To change time and temperature conditions for each plateau/segment, double click on the time and temperature values. To change the no. of cycles, double click on the segment. </w:t>
      </w:r>
    </w:p>
    <w:p w:rsidR="00787C42" w:rsidRPr="0043234D" w:rsidRDefault="00787C42" w:rsidP="00E4617F">
      <w:pPr>
        <w:pStyle w:val="ListParagraph"/>
        <w:spacing w:line="240" w:lineRule="auto"/>
        <w:jc w:val="both"/>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Pr>
          <w:sz w:val="24"/>
          <w:szCs w:val="24"/>
          <w:lang w:val="en-US"/>
        </w:rPr>
        <w:t xml:space="preserve">For a 2 step protocol data collection should be made at the annealing/extension step while for a 3 step protocol data collection should be made at the extension step. The “looking glass (end)” symbol states where data collection is made and can be moved around by double clicking it.  </w:t>
      </w:r>
    </w:p>
    <w:p w:rsidR="00787C42" w:rsidRPr="0043234D" w:rsidRDefault="00787C42" w:rsidP="00E4617F">
      <w:pPr>
        <w:pStyle w:val="ListParagraph"/>
        <w:spacing w:line="240" w:lineRule="auto"/>
        <w:jc w:val="both"/>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Pr>
          <w:sz w:val="24"/>
          <w:szCs w:val="24"/>
          <w:lang w:val="en-US"/>
        </w:rPr>
        <w:t xml:space="preserve">When ready with the plate and thermal profile set up, click “start run”. To run a normal 2 step protocol (40 cycles) with a melt curve analysis takes approximately 2 h. </w:t>
      </w:r>
    </w:p>
    <w:p w:rsidR="00787C42" w:rsidRPr="00D92C3C" w:rsidRDefault="00787C42" w:rsidP="00E4617F">
      <w:pPr>
        <w:pStyle w:val="ListParagraph"/>
        <w:spacing w:line="240" w:lineRule="auto"/>
        <w:jc w:val="both"/>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Pr>
          <w:sz w:val="24"/>
          <w:szCs w:val="24"/>
          <w:lang w:val="en-US"/>
        </w:rPr>
        <w:t xml:space="preserve">During the run, increase in fluorescence can be viewed under the tab “raw data plots”. Under “assays shown” and “well types shown” (left bottom) one can choose what assay types and wells that should be shown (e.g. only SYBR or ROX signal). </w:t>
      </w:r>
    </w:p>
    <w:p w:rsidR="00787C42" w:rsidRPr="00D072F2" w:rsidRDefault="00787C42" w:rsidP="00E4617F">
      <w:pPr>
        <w:pStyle w:val="ListParagraph"/>
        <w:spacing w:line="240" w:lineRule="auto"/>
        <w:jc w:val="both"/>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Pr>
          <w:sz w:val="24"/>
          <w:szCs w:val="24"/>
          <w:lang w:val="en-US"/>
        </w:rPr>
        <w:t xml:space="preserve">When the run is finished the results can be viewed under the “analysis” tab. Under the tab “analysis selection/setup”, choose from what wells results shall be shown in the “results” tab (amplification plot, dissociation curve, standard curve etc.). In the beginning, make sure replicates are treated individually and that “moving average” in the box “algorithm enhancements” is not ticked.  For advanced settings and options, click “analysis term settings” and “adv. algorithm settings”. </w:t>
      </w:r>
    </w:p>
    <w:p w:rsidR="00787C42" w:rsidRPr="005F1BFD" w:rsidRDefault="00787C42" w:rsidP="00E4617F">
      <w:pPr>
        <w:pStyle w:val="ListParagraph"/>
        <w:spacing w:line="240" w:lineRule="auto"/>
        <w:jc w:val="both"/>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Pr>
          <w:sz w:val="24"/>
          <w:szCs w:val="24"/>
          <w:lang w:val="en-US"/>
        </w:rPr>
        <w:t>Also, directly after the run is completed it’s a good idea to check that the plate is intact and that no lids have fallen off and caused evaporation in sample wells</w:t>
      </w:r>
      <w:r w:rsidRPr="007B68C6">
        <w:rPr>
          <w:sz w:val="24"/>
          <w:szCs w:val="24"/>
          <w:lang w:val="en-US"/>
        </w:rPr>
        <w:t xml:space="preserve"> </w:t>
      </w:r>
      <w:r>
        <w:rPr>
          <w:sz w:val="24"/>
          <w:szCs w:val="24"/>
          <w:lang w:val="en-US"/>
        </w:rPr>
        <w:t xml:space="preserve">(the plate can be a bit difficult to remove from the machine after a run). If evaporation has occurred the results from these wells should be excluded from further analysis. </w:t>
      </w:r>
    </w:p>
    <w:p w:rsidR="00787C42" w:rsidRPr="007B68C6" w:rsidRDefault="00787C42" w:rsidP="00E4617F">
      <w:pPr>
        <w:pStyle w:val="ListParagraph"/>
        <w:spacing w:line="240" w:lineRule="auto"/>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Pr>
          <w:sz w:val="24"/>
          <w:szCs w:val="24"/>
          <w:lang w:val="en-US"/>
        </w:rPr>
        <w:t xml:space="preserve">For easy printing of pictures (e.g. amplification plots) the results can be exported to either PowerPoint or as an image file (see “file”).  </w:t>
      </w:r>
    </w:p>
    <w:p w:rsidR="00787C42" w:rsidRPr="006F688F" w:rsidRDefault="00787C42" w:rsidP="00E4617F">
      <w:pPr>
        <w:pStyle w:val="ListParagraph"/>
        <w:spacing w:line="240" w:lineRule="auto"/>
        <w:jc w:val="both"/>
        <w:rPr>
          <w:sz w:val="24"/>
          <w:szCs w:val="24"/>
          <w:lang w:val="en-US"/>
        </w:rPr>
      </w:pPr>
    </w:p>
    <w:p w:rsidR="00787C42" w:rsidRDefault="00787C42" w:rsidP="00E4617F">
      <w:pPr>
        <w:pStyle w:val="ListParagraph"/>
        <w:numPr>
          <w:ilvl w:val="0"/>
          <w:numId w:val="1"/>
        </w:numPr>
        <w:spacing w:line="240" w:lineRule="auto"/>
        <w:jc w:val="both"/>
        <w:rPr>
          <w:sz w:val="24"/>
          <w:szCs w:val="24"/>
          <w:lang w:val="en-US"/>
        </w:rPr>
      </w:pPr>
      <w:r>
        <w:rPr>
          <w:sz w:val="24"/>
          <w:szCs w:val="24"/>
          <w:lang w:val="en-US"/>
        </w:rPr>
        <w:t xml:space="preserve">For more detailed information, please consult the instruction manual. For further information on how to analyze data consult the chapter “QPCR experiment data analysis” (page. 59) in the “Introduction to quantitative PCR – Methods and applications guide” from Agilent Technologies. </w:t>
      </w:r>
    </w:p>
    <w:p w:rsidR="00787C42" w:rsidRPr="00272580" w:rsidRDefault="00787C42" w:rsidP="00E4617F">
      <w:pPr>
        <w:pStyle w:val="ListParagraph"/>
        <w:spacing w:line="240" w:lineRule="auto"/>
        <w:jc w:val="both"/>
        <w:rPr>
          <w:sz w:val="24"/>
          <w:szCs w:val="24"/>
          <w:lang w:val="en-US"/>
        </w:rPr>
      </w:pPr>
    </w:p>
    <w:p w:rsidR="00787C42" w:rsidRPr="00944D1A" w:rsidRDefault="00787C42" w:rsidP="00E4617F">
      <w:pPr>
        <w:spacing w:line="240" w:lineRule="auto"/>
        <w:jc w:val="center"/>
        <w:rPr>
          <w:b/>
          <w:sz w:val="28"/>
          <w:szCs w:val="28"/>
          <w:u w:val="single"/>
          <w:lang w:val="en-US"/>
        </w:rPr>
      </w:pPr>
      <w:r w:rsidRPr="00944D1A">
        <w:rPr>
          <w:b/>
          <w:sz w:val="28"/>
          <w:szCs w:val="28"/>
          <w:u w:val="single"/>
          <w:lang w:val="en-US"/>
        </w:rPr>
        <w:t>Plastics and chemicals needed</w:t>
      </w:r>
      <w:r>
        <w:rPr>
          <w:b/>
          <w:sz w:val="28"/>
          <w:szCs w:val="28"/>
          <w:u w:val="single"/>
          <w:lang w:val="en-US"/>
        </w:rPr>
        <w:t xml:space="preserve"> for qPCR</w:t>
      </w:r>
      <w:r w:rsidRPr="00944D1A">
        <w:rPr>
          <w:b/>
          <w:sz w:val="28"/>
          <w:szCs w:val="28"/>
          <w:u w:val="single"/>
          <w:lang w:val="en-US"/>
        </w:rPr>
        <w:t>:</w:t>
      </w:r>
    </w:p>
    <w:p w:rsidR="00787C42" w:rsidRDefault="00787C42" w:rsidP="00E4617F">
      <w:pPr>
        <w:pStyle w:val="ListParagraph"/>
        <w:numPr>
          <w:ilvl w:val="0"/>
          <w:numId w:val="2"/>
        </w:numPr>
        <w:spacing w:line="240" w:lineRule="auto"/>
        <w:jc w:val="both"/>
        <w:rPr>
          <w:sz w:val="24"/>
          <w:szCs w:val="24"/>
          <w:lang w:val="en-US"/>
        </w:rPr>
      </w:pPr>
      <w:r w:rsidRPr="003774D9">
        <w:rPr>
          <w:sz w:val="24"/>
          <w:szCs w:val="24"/>
          <w:lang w:val="en-US"/>
        </w:rPr>
        <w:t xml:space="preserve">96 well plates </w:t>
      </w:r>
      <w:r>
        <w:rPr>
          <w:sz w:val="24"/>
          <w:szCs w:val="24"/>
          <w:lang w:val="en-US"/>
        </w:rPr>
        <w:t xml:space="preserve">can be ordered </w:t>
      </w:r>
      <w:r w:rsidRPr="003774D9">
        <w:rPr>
          <w:sz w:val="24"/>
          <w:szCs w:val="24"/>
          <w:lang w:val="en-US"/>
        </w:rPr>
        <w:t>from In Vitro AS, category no. SS-3410-00 (1 pack, 10 plates).</w:t>
      </w:r>
    </w:p>
    <w:p w:rsidR="00787C42" w:rsidRPr="004E31BC" w:rsidRDefault="00787C42" w:rsidP="00E4617F">
      <w:pPr>
        <w:pStyle w:val="ListParagraph"/>
        <w:spacing w:line="240" w:lineRule="auto"/>
        <w:jc w:val="both"/>
        <w:rPr>
          <w:sz w:val="24"/>
          <w:szCs w:val="24"/>
          <w:lang w:val="en-US"/>
        </w:rPr>
      </w:pPr>
    </w:p>
    <w:p w:rsidR="00787C42" w:rsidRPr="00C015BB" w:rsidRDefault="00787C42" w:rsidP="00E4617F">
      <w:pPr>
        <w:pStyle w:val="ListParagraph"/>
        <w:numPr>
          <w:ilvl w:val="0"/>
          <w:numId w:val="2"/>
        </w:numPr>
        <w:spacing w:line="240" w:lineRule="auto"/>
        <w:jc w:val="both"/>
        <w:rPr>
          <w:sz w:val="24"/>
          <w:szCs w:val="24"/>
          <w:lang w:val="en-US"/>
        </w:rPr>
      </w:pPr>
      <w:r w:rsidRPr="003774D9">
        <w:rPr>
          <w:sz w:val="24"/>
          <w:szCs w:val="24"/>
          <w:lang w:val="en-US"/>
        </w:rPr>
        <w:t xml:space="preserve">Optical lids, 8-strip with flat caps from </w:t>
      </w:r>
      <w:r>
        <w:rPr>
          <w:sz w:val="24"/>
          <w:szCs w:val="24"/>
          <w:lang w:val="en-US"/>
        </w:rPr>
        <w:t xml:space="preserve">can be ordered from </w:t>
      </w:r>
      <w:r w:rsidRPr="003774D9">
        <w:rPr>
          <w:sz w:val="24"/>
          <w:szCs w:val="24"/>
          <w:lang w:val="en-US"/>
        </w:rPr>
        <w:t>In Vitro AS, category no. SS-3105-00 (1 pack, 125 strips)</w:t>
      </w:r>
      <w:r>
        <w:rPr>
          <w:sz w:val="24"/>
          <w:szCs w:val="24"/>
          <w:lang w:val="en-US"/>
        </w:rPr>
        <w:t xml:space="preserve">, </w:t>
      </w:r>
      <w:r w:rsidRPr="003774D9">
        <w:rPr>
          <w:color w:val="548DD4"/>
          <w:sz w:val="24"/>
          <w:szCs w:val="24"/>
          <w:u w:val="single"/>
          <w:lang w:val="en-US"/>
        </w:rPr>
        <w:t>www.in-vitro.dk</w:t>
      </w:r>
      <w:r w:rsidRPr="004E31BC">
        <w:rPr>
          <w:sz w:val="24"/>
          <w:szCs w:val="24"/>
          <w:lang w:val="en-US"/>
        </w:rPr>
        <w:t xml:space="preserve">.  </w:t>
      </w:r>
    </w:p>
    <w:p w:rsidR="00787C42" w:rsidRPr="004E31BC" w:rsidRDefault="00787C42" w:rsidP="00E4617F">
      <w:pPr>
        <w:pStyle w:val="ListParagraph"/>
        <w:spacing w:line="240" w:lineRule="auto"/>
        <w:jc w:val="both"/>
        <w:rPr>
          <w:sz w:val="24"/>
          <w:szCs w:val="24"/>
          <w:lang w:val="en-US"/>
        </w:rPr>
      </w:pPr>
    </w:p>
    <w:p w:rsidR="00787C42" w:rsidRPr="003774D9" w:rsidRDefault="00787C42" w:rsidP="00E4617F">
      <w:pPr>
        <w:pStyle w:val="ListParagraph"/>
        <w:numPr>
          <w:ilvl w:val="0"/>
          <w:numId w:val="2"/>
        </w:numPr>
        <w:spacing w:line="240" w:lineRule="auto"/>
        <w:jc w:val="both"/>
        <w:rPr>
          <w:sz w:val="24"/>
          <w:szCs w:val="24"/>
          <w:lang w:val="en-US"/>
        </w:rPr>
      </w:pPr>
      <w:r>
        <w:rPr>
          <w:sz w:val="24"/>
          <w:szCs w:val="24"/>
          <w:lang w:val="en-US"/>
        </w:rPr>
        <w:t xml:space="preserve">Fermentas </w:t>
      </w:r>
      <w:r w:rsidRPr="003774D9">
        <w:rPr>
          <w:sz w:val="24"/>
          <w:szCs w:val="24"/>
          <w:lang w:val="en-US"/>
        </w:rPr>
        <w:t xml:space="preserve">Maxima SYBR green </w:t>
      </w:r>
      <w:r>
        <w:rPr>
          <w:sz w:val="24"/>
          <w:szCs w:val="24"/>
          <w:lang w:val="en-US"/>
        </w:rPr>
        <w:t xml:space="preserve">qPCR </w:t>
      </w:r>
      <w:r w:rsidRPr="003774D9">
        <w:rPr>
          <w:sz w:val="24"/>
          <w:szCs w:val="24"/>
          <w:lang w:val="en-US"/>
        </w:rPr>
        <w:t>master mix (2x)</w:t>
      </w:r>
      <w:r>
        <w:rPr>
          <w:sz w:val="24"/>
          <w:szCs w:val="24"/>
          <w:lang w:val="en-US"/>
        </w:rPr>
        <w:t>, ROX solution provided (nuclease free water also provided). Can be bought in 2 x 1.25 ml (200 reactions) or 10 x 1.25 ml (1000 reactions). Avoid repeated freeze thawing of SYBR green master mix and ROX solution (long term storage -20</w:t>
      </w:r>
      <w:r>
        <w:rPr>
          <w:rFonts w:cs="Calibri"/>
          <w:sz w:val="24"/>
          <w:szCs w:val="24"/>
          <w:lang w:val="en-US"/>
        </w:rPr>
        <w:t xml:space="preserve">°C, 4°C for up to one month, light sensitive), </w:t>
      </w:r>
      <w:hyperlink r:id="rId8" w:history="1">
        <w:r w:rsidRPr="003774D9">
          <w:rPr>
            <w:rStyle w:val="Hyperlink"/>
            <w:color w:val="548DD4"/>
            <w:sz w:val="24"/>
            <w:szCs w:val="24"/>
            <w:lang w:val="en-US"/>
          </w:rPr>
          <w:t>www.fermentas.com</w:t>
        </w:r>
      </w:hyperlink>
      <w:r w:rsidRPr="004E31BC">
        <w:rPr>
          <w:sz w:val="24"/>
          <w:szCs w:val="24"/>
          <w:lang w:val="en-US"/>
        </w:rPr>
        <w:t xml:space="preserve">. </w:t>
      </w:r>
    </w:p>
    <w:p w:rsidR="00787C42" w:rsidRPr="00272580" w:rsidRDefault="00787C42" w:rsidP="00E4617F">
      <w:pPr>
        <w:spacing w:line="240" w:lineRule="auto"/>
        <w:rPr>
          <w:b/>
          <w:sz w:val="24"/>
          <w:szCs w:val="24"/>
          <w:lang w:val="en-US"/>
        </w:rPr>
      </w:pPr>
    </w:p>
    <w:p w:rsidR="00787C42" w:rsidRPr="00927489" w:rsidRDefault="00787C42" w:rsidP="00E4617F">
      <w:pPr>
        <w:pStyle w:val="ListParagraph"/>
        <w:spacing w:line="240" w:lineRule="auto"/>
        <w:rPr>
          <w:sz w:val="24"/>
          <w:szCs w:val="24"/>
          <w:lang w:val="en-US"/>
        </w:rPr>
      </w:pPr>
    </w:p>
    <w:p w:rsidR="00787C42" w:rsidRPr="00927489" w:rsidRDefault="00787C42" w:rsidP="00E4617F">
      <w:pPr>
        <w:spacing w:line="240" w:lineRule="auto"/>
        <w:rPr>
          <w:sz w:val="24"/>
          <w:szCs w:val="24"/>
          <w:lang w:val="en-US"/>
        </w:rPr>
      </w:pPr>
    </w:p>
    <w:sectPr w:rsidR="00787C42" w:rsidRPr="00927489" w:rsidSect="004B3E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2B7" w:rsidRDefault="007A32B7" w:rsidP="00CB18DA">
      <w:pPr>
        <w:spacing w:after="0" w:line="240" w:lineRule="auto"/>
      </w:pPr>
      <w:r>
        <w:separator/>
      </w:r>
    </w:p>
  </w:endnote>
  <w:endnote w:type="continuationSeparator" w:id="0">
    <w:p w:rsidR="007A32B7" w:rsidRDefault="007A32B7" w:rsidP="00CB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2B7" w:rsidRDefault="007A32B7" w:rsidP="00CB18DA">
      <w:pPr>
        <w:spacing w:after="0" w:line="240" w:lineRule="auto"/>
      </w:pPr>
      <w:r>
        <w:separator/>
      </w:r>
    </w:p>
  </w:footnote>
  <w:footnote w:type="continuationSeparator" w:id="0">
    <w:p w:rsidR="007A32B7" w:rsidRDefault="007A32B7" w:rsidP="00CB1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F25F4"/>
    <w:multiLevelType w:val="hybridMultilevel"/>
    <w:tmpl w:val="40E6409A"/>
    <w:lvl w:ilvl="0" w:tplc="ACE430DE">
      <w:numFmt w:val="bullet"/>
      <w:lvlText w:val="-"/>
      <w:lvlJc w:val="left"/>
      <w:pPr>
        <w:ind w:left="720" w:hanging="360"/>
      </w:pPr>
      <w:rPr>
        <w:rFonts w:ascii="Calibri" w:eastAsia="SimSu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5E7151"/>
    <w:multiLevelType w:val="hybridMultilevel"/>
    <w:tmpl w:val="0B8C734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15:restartNumberingAfterBreak="0">
    <w:nsid w:val="48A05A8A"/>
    <w:multiLevelType w:val="hybridMultilevel"/>
    <w:tmpl w:val="8FD41C68"/>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5C4A3EE4"/>
    <w:multiLevelType w:val="hybridMultilevel"/>
    <w:tmpl w:val="366E8C9C"/>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69261C50"/>
    <w:multiLevelType w:val="hybridMultilevel"/>
    <w:tmpl w:val="DBA4A186"/>
    <w:lvl w:ilvl="0" w:tplc="77068848">
      <w:start w:val="1"/>
      <w:numFmt w:val="bullet"/>
      <w:lvlText w:val="-"/>
      <w:lvlJc w:val="left"/>
      <w:pPr>
        <w:ind w:left="1080" w:hanging="360"/>
      </w:pPr>
      <w:rPr>
        <w:rFonts w:ascii="Calibri" w:eastAsia="SimSun" w:hAnsi="Calibri" w:hint="default"/>
      </w:rPr>
    </w:lvl>
    <w:lvl w:ilvl="1" w:tplc="04060003" w:tentative="1">
      <w:start w:val="1"/>
      <w:numFmt w:val="bullet"/>
      <w:lvlText w:val="o"/>
      <w:lvlJc w:val="left"/>
      <w:pPr>
        <w:ind w:left="1800" w:hanging="360"/>
      </w:pPr>
      <w:rPr>
        <w:rFonts w:ascii="Courier New" w:hAnsi="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15:restartNumberingAfterBreak="0">
    <w:nsid w:val="73B41503"/>
    <w:multiLevelType w:val="hybridMultilevel"/>
    <w:tmpl w:val="99C00798"/>
    <w:lvl w:ilvl="0" w:tplc="D464BC94">
      <w:start w:val="1"/>
      <w:numFmt w:val="decimal"/>
      <w:lvlText w:val="%1."/>
      <w:lvlJc w:val="left"/>
      <w:pPr>
        <w:ind w:left="720" w:hanging="360"/>
      </w:pPr>
      <w:rPr>
        <w:rFonts w:ascii="Calibri" w:eastAsia="SimSun" w:hAnsi="Calibri" w:cs="Times New Roman"/>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B6E7434"/>
    <w:multiLevelType w:val="hybridMultilevel"/>
    <w:tmpl w:val="C30EAB5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7" w15:restartNumberingAfterBreak="0">
    <w:nsid w:val="7E3D4E31"/>
    <w:multiLevelType w:val="multilevel"/>
    <w:tmpl w:val="D73A7770"/>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1"/>
  </w:num>
  <w:num w:numId="2">
    <w:abstractNumId w:val="5"/>
  </w:num>
  <w:num w:numId="3">
    <w:abstractNumId w:val="2"/>
  </w:num>
  <w:num w:numId="4">
    <w:abstractNumId w:val="0"/>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FF"/>
    <w:rsid w:val="00034A58"/>
    <w:rsid w:val="00046E27"/>
    <w:rsid w:val="00047FD9"/>
    <w:rsid w:val="000C7D67"/>
    <w:rsid w:val="00107AD1"/>
    <w:rsid w:val="00164394"/>
    <w:rsid w:val="001E25C4"/>
    <w:rsid w:val="0025777A"/>
    <w:rsid w:val="00272580"/>
    <w:rsid w:val="00273877"/>
    <w:rsid w:val="00285C0B"/>
    <w:rsid w:val="002A24D3"/>
    <w:rsid w:val="002B6132"/>
    <w:rsid w:val="00354B49"/>
    <w:rsid w:val="003669BE"/>
    <w:rsid w:val="003774D9"/>
    <w:rsid w:val="003815AE"/>
    <w:rsid w:val="003841DA"/>
    <w:rsid w:val="003E33E7"/>
    <w:rsid w:val="0043234D"/>
    <w:rsid w:val="00470ED5"/>
    <w:rsid w:val="004B3E16"/>
    <w:rsid w:val="004E31BC"/>
    <w:rsid w:val="005370C8"/>
    <w:rsid w:val="0059515E"/>
    <w:rsid w:val="005C3446"/>
    <w:rsid w:val="005F1BFD"/>
    <w:rsid w:val="005F70F8"/>
    <w:rsid w:val="005F773E"/>
    <w:rsid w:val="005F7D21"/>
    <w:rsid w:val="00683486"/>
    <w:rsid w:val="006F6427"/>
    <w:rsid w:val="006F688F"/>
    <w:rsid w:val="007012CF"/>
    <w:rsid w:val="00715576"/>
    <w:rsid w:val="0072310F"/>
    <w:rsid w:val="00731BB7"/>
    <w:rsid w:val="007331C6"/>
    <w:rsid w:val="007352F8"/>
    <w:rsid w:val="007720FF"/>
    <w:rsid w:val="00787C42"/>
    <w:rsid w:val="00787E51"/>
    <w:rsid w:val="007A32B7"/>
    <w:rsid w:val="007B68C6"/>
    <w:rsid w:val="007E2DE6"/>
    <w:rsid w:val="007E7A7A"/>
    <w:rsid w:val="007F0685"/>
    <w:rsid w:val="007F7B3A"/>
    <w:rsid w:val="008024C9"/>
    <w:rsid w:val="00816C8F"/>
    <w:rsid w:val="00927489"/>
    <w:rsid w:val="00927763"/>
    <w:rsid w:val="00942672"/>
    <w:rsid w:val="00944D1A"/>
    <w:rsid w:val="00946E8E"/>
    <w:rsid w:val="009628AB"/>
    <w:rsid w:val="00974EDE"/>
    <w:rsid w:val="009864DA"/>
    <w:rsid w:val="00993EA3"/>
    <w:rsid w:val="009C707C"/>
    <w:rsid w:val="00A20EFB"/>
    <w:rsid w:val="00A6276C"/>
    <w:rsid w:val="00A70494"/>
    <w:rsid w:val="00A968D4"/>
    <w:rsid w:val="00AC02C6"/>
    <w:rsid w:val="00AF2468"/>
    <w:rsid w:val="00B63327"/>
    <w:rsid w:val="00B72D6E"/>
    <w:rsid w:val="00B7694F"/>
    <w:rsid w:val="00BF399A"/>
    <w:rsid w:val="00C015BB"/>
    <w:rsid w:val="00C31EB2"/>
    <w:rsid w:val="00C470CC"/>
    <w:rsid w:val="00C540AB"/>
    <w:rsid w:val="00C63F4C"/>
    <w:rsid w:val="00C704BC"/>
    <w:rsid w:val="00C72794"/>
    <w:rsid w:val="00C81BAA"/>
    <w:rsid w:val="00C81E93"/>
    <w:rsid w:val="00CA17E0"/>
    <w:rsid w:val="00CA5E2C"/>
    <w:rsid w:val="00CA718B"/>
    <w:rsid w:val="00CB18DA"/>
    <w:rsid w:val="00CE08FD"/>
    <w:rsid w:val="00D01B35"/>
    <w:rsid w:val="00D03D08"/>
    <w:rsid w:val="00D072F2"/>
    <w:rsid w:val="00D75C9C"/>
    <w:rsid w:val="00D92C3C"/>
    <w:rsid w:val="00DD1CF9"/>
    <w:rsid w:val="00DD587F"/>
    <w:rsid w:val="00E06BA9"/>
    <w:rsid w:val="00E26DE7"/>
    <w:rsid w:val="00E4617F"/>
    <w:rsid w:val="00EA28B3"/>
    <w:rsid w:val="00ED426D"/>
    <w:rsid w:val="00F43DB1"/>
    <w:rsid w:val="00F55D35"/>
    <w:rsid w:val="00F60C1B"/>
    <w:rsid w:val="00F92ABD"/>
    <w:rsid w:val="00FA171B"/>
    <w:rsid w:val="00FD04A8"/>
    <w:rsid w:val="00FE24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3DCF68D-A91E-4D56-BDEE-ECC31C69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26D"/>
    <w:pPr>
      <w:spacing w:after="200" w:line="276" w:lineRule="auto"/>
    </w:pPr>
  </w:style>
  <w:style w:type="paragraph" w:styleId="Heading1">
    <w:name w:val="heading 1"/>
    <w:basedOn w:val="Normal"/>
    <w:next w:val="Normal"/>
    <w:link w:val="Heading1Char"/>
    <w:uiPriority w:val="99"/>
    <w:qFormat/>
    <w:rsid w:val="007720F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20FF"/>
    <w:rPr>
      <w:rFonts w:ascii="Cambria" w:eastAsia="SimSun" w:hAnsi="Cambria" w:cs="Times New Roman"/>
      <w:b/>
      <w:bCs/>
      <w:color w:val="365F91"/>
      <w:sz w:val="28"/>
      <w:szCs w:val="28"/>
    </w:rPr>
  </w:style>
  <w:style w:type="paragraph" w:styleId="ListParagraph">
    <w:name w:val="List Paragraph"/>
    <w:basedOn w:val="Normal"/>
    <w:uiPriority w:val="99"/>
    <w:qFormat/>
    <w:rsid w:val="007720FF"/>
    <w:pPr>
      <w:ind w:left="720"/>
      <w:contextualSpacing/>
    </w:pPr>
  </w:style>
  <w:style w:type="character" w:styleId="Hyperlink">
    <w:name w:val="Hyperlink"/>
    <w:basedOn w:val="DefaultParagraphFont"/>
    <w:uiPriority w:val="99"/>
    <w:rsid w:val="003774D9"/>
    <w:rPr>
      <w:rFonts w:cs="Times New Roman"/>
      <w:color w:val="0000FF"/>
      <w:u w:val="single"/>
    </w:rPr>
  </w:style>
  <w:style w:type="paragraph" w:styleId="BalloonText">
    <w:name w:val="Balloon Text"/>
    <w:basedOn w:val="Normal"/>
    <w:link w:val="BalloonTextChar"/>
    <w:uiPriority w:val="99"/>
    <w:semiHidden/>
    <w:rsid w:val="007E2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2DE6"/>
    <w:rPr>
      <w:rFonts w:ascii="Tahoma" w:hAnsi="Tahoma" w:cs="Tahoma"/>
      <w:sz w:val="16"/>
      <w:szCs w:val="16"/>
    </w:rPr>
  </w:style>
  <w:style w:type="paragraph" w:styleId="Header">
    <w:name w:val="header"/>
    <w:basedOn w:val="Normal"/>
    <w:link w:val="HeaderChar"/>
    <w:uiPriority w:val="99"/>
    <w:semiHidden/>
    <w:rsid w:val="00CB18DA"/>
    <w:pPr>
      <w:tabs>
        <w:tab w:val="center" w:pos="4819"/>
        <w:tab w:val="right" w:pos="9638"/>
      </w:tabs>
      <w:spacing w:after="0" w:line="240" w:lineRule="auto"/>
    </w:pPr>
  </w:style>
  <w:style w:type="character" w:customStyle="1" w:styleId="HeaderChar">
    <w:name w:val="Header Char"/>
    <w:basedOn w:val="DefaultParagraphFont"/>
    <w:link w:val="Header"/>
    <w:uiPriority w:val="99"/>
    <w:semiHidden/>
    <w:locked/>
    <w:rsid w:val="00CB18DA"/>
    <w:rPr>
      <w:rFonts w:cs="Times New Roman"/>
    </w:rPr>
  </w:style>
  <w:style w:type="paragraph" w:styleId="Footer">
    <w:name w:val="footer"/>
    <w:basedOn w:val="Normal"/>
    <w:link w:val="FooterChar"/>
    <w:uiPriority w:val="99"/>
    <w:semiHidden/>
    <w:rsid w:val="00CB18DA"/>
    <w:pPr>
      <w:tabs>
        <w:tab w:val="center" w:pos="4819"/>
        <w:tab w:val="right" w:pos="9638"/>
      </w:tabs>
      <w:spacing w:after="0" w:line="240" w:lineRule="auto"/>
    </w:pPr>
  </w:style>
  <w:style w:type="character" w:customStyle="1" w:styleId="FooterChar">
    <w:name w:val="Footer Char"/>
    <w:basedOn w:val="DefaultParagraphFont"/>
    <w:link w:val="Footer"/>
    <w:uiPriority w:val="99"/>
    <w:semiHidden/>
    <w:locked/>
    <w:rsid w:val="00CB18D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ermenta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Protocol for Quantitative PCR (qPCR) - SYBR Green assay</vt:lpstr>
    </vt:vector>
  </TitlesOfParts>
  <Company>Faculty of Science, University of Copenhagen</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Quantitative PCR (qPCR) - SYBR Green assay</dc:title>
  <dc:subject/>
  <dc:creator>Hanna Alfredsson</dc:creator>
  <cp:keywords/>
  <dc:description/>
  <cp:lastModifiedBy>Camilla James</cp:lastModifiedBy>
  <cp:revision>2</cp:revision>
  <dcterms:created xsi:type="dcterms:W3CDTF">2016-03-08T14:22:00Z</dcterms:created>
  <dcterms:modified xsi:type="dcterms:W3CDTF">2016-03-08T14:22:00Z</dcterms:modified>
</cp:coreProperties>
</file>