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Supplementary material</w:t>
      </w:r>
    </w:p>
    <w:p>
      <w:pPr>
        <w:widowControl/>
        <w:jc w:val="both"/>
      </w:pPr>
      <w:r>
        <w:t>This supplement provides additional definitions, denominators, diagnostics, and reporting information for the nationwide study of therapeutic ERCP in Brazil's Unified Health System, 2021–2025. It reports prespecified analyses without converting unavailable results into null findings.</w:t>
      </w:r>
    </w:p>
    <w:p>
      <w:pPr>
        <w:pStyle w:val="Heading1"/>
      </w:pPr>
      <w:r>
        <w:t>Policy, coding, and observation chronology</w:t>
      </w:r>
    </w:p>
    <w:p>
      <w:pPr>
        <w:widowControl/>
        <w:jc w:val="both"/>
      </w:pPr>
      <w:r>
        <w:t>Four national landmarks framed the observation window: the final CONITEC recommendation on July 4, 2019; Portaria SCTIE/MS no. 39 on July 24, 2019; Portaria GM/MS no. 3,728 on December 22, 2020; and the presence of therapeutic ERCP code 0407030255 in the January 2021 SIGTAP archive. The code was absent from the December 2020 archive. January 2021 therefore marks the beginning of a homogeneous coded observation window, not the beginning of ERCP practice in Brazil. Hospitals active in that month were treated as left-censored prevalent users.</w:t>
      </w:r>
    </w:p>
    <w:p>
      <w:pPr>
        <w:pStyle w:val="Heading1"/>
      </w:pPr>
      <w:r>
        <w:t>Data sources and acquisition boundaries</w:t>
      </w:r>
    </w:p>
    <w:p>
      <w:pPr>
        <w:keepNext/>
      </w:pPr>
      <w:r>
        <w:rPr>
          <w:b/>
          <w:sz w:val="19"/>
        </w:rPr>
        <w:t>Supplementary Table 1. Data sources and acquisition boundaries.</w:t>
      </w:r>
    </w:p>
    <w:tbl>
      <w:tblPr>
        <w:tblStyle w:val="TableGrid"/>
        <w:tblW w:type="auto" w:w="0"/>
        <w:jc w:val="center"/>
        <w:tblLook w:firstColumn="1" w:firstRow="1" w:lastColumn="0" w:lastRow="0" w:noHBand="0" w:noVBand="1" w:val="04A0"/>
      </w:tblPr>
      <w:tblGrid>
        <w:gridCol w:w="2408"/>
        <w:gridCol w:w="2408"/>
        <w:gridCol w:w="2408"/>
        <w:gridCol w:w="2408"/>
      </w:tblGrid>
      <w:tr>
        <w:trPr>
          <w:cantSplit/>
          <w:tblHeader w:val="true"/>
        </w:trPr>
        <w:tc>
          <w:tcPr>
            <w:tcW w:type="dxa" w:w="2408"/>
            <w:vAlign w:val="center"/>
            <w:shd w:fill="D9EAF7"/>
          </w:tcPr>
          <w:p>
            <w:pPr>
              <w:keepNext/>
              <w:spacing w:after="0" w:line="240" w:lineRule="auto"/>
            </w:pPr>
            <w:r>
              <w:rPr>
                <w:rFonts w:ascii="Arial" w:hAnsi="Arial" w:eastAsia="Arial"/>
                <w:b/>
                <w:sz w:val="15"/>
              </w:rPr>
              <w:t>Source</w:t>
            </w:r>
          </w:p>
        </w:tc>
        <w:tc>
          <w:tcPr>
            <w:tcW w:type="dxa" w:w="2408"/>
            <w:vAlign w:val="center"/>
            <w:shd w:fill="D9EAF7"/>
          </w:tcPr>
          <w:p>
            <w:pPr>
              <w:keepNext/>
              <w:spacing w:after="0" w:line="240" w:lineRule="auto"/>
            </w:pPr>
            <w:r>
              <w:rPr>
                <w:rFonts w:ascii="Arial" w:hAnsi="Arial" w:eastAsia="Arial"/>
                <w:b/>
                <w:sz w:val="15"/>
              </w:rPr>
              <w:t>Custodian</w:t>
            </w:r>
          </w:p>
        </w:tc>
        <w:tc>
          <w:tcPr>
            <w:tcW w:type="dxa" w:w="2408"/>
            <w:vAlign w:val="center"/>
            <w:shd w:fill="D9EAF7"/>
          </w:tcPr>
          <w:p>
            <w:pPr>
              <w:keepNext/>
              <w:spacing w:after="0" w:line="240" w:lineRule="auto"/>
            </w:pPr>
            <w:r>
              <w:rPr>
                <w:rFonts w:ascii="Arial" w:hAnsi="Arial" w:eastAsia="Arial"/>
                <w:b/>
                <w:sz w:val="15"/>
              </w:rPr>
              <w:t>Analytical role</w:t>
            </w:r>
          </w:p>
        </w:tc>
        <w:tc>
          <w:tcPr>
            <w:tcW w:type="dxa" w:w="2408"/>
            <w:vAlign w:val="center"/>
            <w:shd w:fill="D9EAF7"/>
          </w:tcPr>
          <w:p>
            <w:pPr>
              <w:keepNext/>
              <w:spacing w:after="0" w:line="240" w:lineRule="auto"/>
            </w:pPr>
            <w:r>
              <w:rPr>
                <w:rFonts w:ascii="Arial" w:hAnsi="Arial" w:eastAsia="Arial"/>
                <w:b/>
                <w:sz w:val="15"/>
              </w:rPr>
              <w:t>Sharing boundary</w:t>
            </w:r>
          </w:p>
        </w:tc>
      </w:tr>
      <w:tr>
        <w:trPr>
          <w:cantSplit/>
        </w:trPr>
        <w:tc>
          <w:tcPr>
            <w:tcW w:type="dxa" w:w="2408"/>
            <w:vAlign w:val="center"/>
          </w:tcPr>
          <w:p>
            <w:pPr>
              <w:keepNext/>
              <w:spacing w:after="0" w:line="240" w:lineRule="auto"/>
            </w:pPr>
            <w:r>
              <w:rPr>
                <w:rFonts w:ascii="Arial" w:hAnsi="Arial" w:eastAsia="Arial"/>
                <w:b w:val="0"/>
                <w:sz w:val="15"/>
              </w:rPr>
              <w:t>SIH/SUS hospitalisation and procedure-detail records</w:t>
            </w:r>
          </w:p>
        </w:tc>
        <w:tc>
          <w:tcPr>
            <w:tcW w:type="dxa" w:w="2408"/>
            <w:vAlign w:val="center"/>
          </w:tcPr>
          <w:p>
            <w:pPr>
              <w:keepNext/>
              <w:spacing w:after="0" w:line="240" w:lineRule="auto"/>
            </w:pPr>
            <w:r>
              <w:rPr>
                <w:rFonts w:ascii="Arial" w:hAnsi="Arial" w:eastAsia="Arial"/>
                <w:b w:val="0"/>
                <w:sz w:val="15"/>
              </w:rPr>
              <w:t>DATASUS, Ministry of Health</w:t>
            </w:r>
          </w:p>
        </w:tc>
        <w:tc>
          <w:tcPr>
            <w:tcW w:type="dxa" w:w="2408"/>
            <w:vAlign w:val="center"/>
          </w:tcPr>
          <w:p>
            <w:pPr>
              <w:keepNext/>
              <w:spacing w:after="0" w:line="240" w:lineRule="auto"/>
            </w:pPr>
            <w:r>
              <w:rPr>
                <w:rFonts w:ascii="Arial" w:hAnsi="Arial" w:eastAsia="Arial"/>
                <w:b w:val="0"/>
                <w:sz w:val="15"/>
              </w:rPr>
              <w:t>AIH unit, procedure code, diagnoses, residence, provider, in-hospital disposition</w:t>
            </w:r>
          </w:p>
        </w:tc>
        <w:tc>
          <w:tcPr>
            <w:tcW w:type="dxa" w:w="2408"/>
            <w:vAlign w:val="center"/>
          </w:tcPr>
          <w:p>
            <w:pPr>
              <w:keepNext/>
              <w:spacing w:after="0" w:line="240" w:lineRule="auto"/>
            </w:pPr>
            <w:r>
              <w:rPr>
                <w:rFonts w:ascii="Arial" w:hAnsi="Arial" w:eastAsia="Arial"/>
                <w:b w:val="0"/>
                <w:sz w:val="15"/>
              </w:rPr>
              <w:t>Restricted individual rows are not redistributed</w:t>
            </w:r>
          </w:p>
        </w:tc>
      </w:tr>
      <w:tr>
        <w:trPr>
          <w:cantSplit/>
        </w:trPr>
        <w:tc>
          <w:tcPr>
            <w:tcW w:type="dxa" w:w="2408"/>
            <w:vAlign w:val="center"/>
          </w:tcPr>
          <w:p>
            <w:pPr>
              <w:keepNext/>
              <w:spacing w:after="0" w:line="240" w:lineRule="auto"/>
            </w:pPr>
            <w:r>
              <w:rPr>
                <w:rFonts w:ascii="Arial" w:hAnsi="Arial" w:eastAsia="Arial"/>
                <w:b w:val="0"/>
                <w:sz w:val="15"/>
              </w:rPr>
              <w:t>CNES-PF</w:t>
            </w:r>
          </w:p>
        </w:tc>
        <w:tc>
          <w:tcPr>
            <w:tcW w:type="dxa" w:w="2408"/>
            <w:vAlign w:val="center"/>
          </w:tcPr>
          <w:p>
            <w:pPr>
              <w:keepNext/>
              <w:spacing w:after="0" w:line="240" w:lineRule="auto"/>
            </w:pPr>
            <w:r>
              <w:rPr>
                <w:rFonts w:ascii="Arial" w:hAnsi="Arial" w:eastAsia="Arial"/>
                <w:b w:val="0"/>
                <w:sz w:val="15"/>
              </w:rPr>
              <w:t>DATASUS</w:t>
            </w:r>
          </w:p>
        </w:tc>
        <w:tc>
          <w:tcPr>
            <w:tcW w:type="dxa" w:w="2408"/>
            <w:vAlign w:val="center"/>
          </w:tcPr>
          <w:p>
            <w:pPr>
              <w:keepNext/>
              <w:spacing w:after="0" w:line="240" w:lineRule="auto"/>
            </w:pPr>
            <w:r>
              <w:rPr>
                <w:rFonts w:ascii="Arial" w:hAnsi="Arial" w:eastAsia="Arial"/>
                <w:b w:val="0"/>
                <w:sz w:val="15"/>
              </w:rPr>
              <w:t>Time-aligned hospital eligibility and capacity context</w:t>
            </w:r>
          </w:p>
        </w:tc>
        <w:tc>
          <w:tcPr>
            <w:tcW w:type="dxa" w:w="2408"/>
            <w:vAlign w:val="center"/>
          </w:tcPr>
          <w:p>
            <w:pPr>
              <w:keepNext/>
              <w:spacing w:after="0" w:line="240" w:lineRule="auto"/>
            </w:pPr>
            <w:r>
              <w:rPr>
                <w:rFonts w:ascii="Arial" w:hAnsi="Arial" w:eastAsia="Arial"/>
                <w:b w:val="0"/>
                <w:sz w:val="15"/>
              </w:rPr>
              <w:t>Public-source acquisition instructions only</w:t>
            </w:r>
          </w:p>
        </w:tc>
      </w:tr>
      <w:tr>
        <w:trPr>
          <w:cantSplit/>
        </w:trPr>
        <w:tc>
          <w:tcPr>
            <w:tcW w:type="dxa" w:w="2408"/>
            <w:vAlign w:val="center"/>
          </w:tcPr>
          <w:p>
            <w:pPr>
              <w:keepNext/>
              <w:spacing w:after="0" w:line="240" w:lineRule="auto"/>
            </w:pPr>
            <w:r>
              <w:rPr>
                <w:rFonts w:ascii="Arial" w:hAnsi="Arial" w:eastAsia="Arial"/>
                <w:b w:val="0"/>
                <w:sz w:val="15"/>
              </w:rPr>
              <w:t>Population and municipality geometry</w:t>
            </w:r>
          </w:p>
        </w:tc>
        <w:tc>
          <w:tcPr>
            <w:tcW w:type="dxa" w:w="2408"/>
            <w:vAlign w:val="center"/>
          </w:tcPr>
          <w:p>
            <w:pPr>
              <w:keepNext/>
              <w:spacing w:after="0" w:line="240" w:lineRule="auto"/>
            </w:pPr>
            <w:r>
              <w:rPr>
                <w:rFonts w:ascii="Arial" w:hAnsi="Arial" w:eastAsia="Arial"/>
                <w:b w:val="0"/>
                <w:sz w:val="15"/>
              </w:rPr>
              <w:t>IBGE</w:t>
            </w:r>
          </w:p>
        </w:tc>
        <w:tc>
          <w:tcPr>
            <w:tcW w:type="dxa" w:w="2408"/>
            <w:vAlign w:val="center"/>
          </w:tcPr>
          <w:p>
            <w:pPr>
              <w:keepNext/>
              <w:spacing w:after="0" w:line="240" w:lineRule="auto"/>
            </w:pPr>
            <w:r>
              <w:rPr>
                <w:rFonts w:ascii="Arial" w:hAnsi="Arial" w:eastAsia="Arial"/>
                <w:b w:val="0"/>
                <w:sz w:val="15"/>
              </w:rPr>
              <w:t>Adult denominators, municipal identifiers, geometry, audited city-seat anchors</w:t>
            </w:r>
          </w:p>
        </w:tc>
        <w:tc>
          <w:tcPr>
            <w:tcW w:type="dxa" w:w="2408"/>
            <w:vAlign w:val="center"/>
          </w:tcPr>
          <w:p>
            <w:pPr>
              <w:keepNext/>
              <w:spacing w:after="0" w:line="240" w:lineRule="auto"/>
            </w:pPr>
            <w:r>
              <w:rPr>
                <w:rFonts w:ascii="Arial" w:hAnsi="Arial" w:eastAsia="Arial"/>
                <w:b w:val="0"/>
                <w:sz w:val="15"/>
              </w:rPr>
              <w:t>Publicly documented acquisition route</w:t>
            </w:r>
          </w:p>
        </w:tc>
      </w:tr>
      <w:tr>
        <w:trPr>
          <w:cantSplit/>
        </w:trPr>
        <w:tc>
          <w:tcPr>
            <w:tcW w:type="dxa" w:w="2408"/>
            <w:vAlign w:val="center"/>
          </w:tcPr>
          <w:p>
            <w:pPr>
              <w:keepNext/>
              <w:spacing w:after="0" w:line="240" w:lineRule="auto"/>
            </w:pPr>
            <w:r>
              <w:rPr>
                <w:rFonts w:ascii="Arial" w:hAnsi="Arial" w:eastAsia="Arial"/>
                <w:b w:val="0"/>
                <w:sz w:val="15"/>
              </w:rPr>
              <w:t>IVS 2010</w:t>
            </w:r>
          </w:p>
        </w:tc>
        <w:tc>
          <w:tcPr>
            <w:tcW w:type="dxa" w:w="2408"/>
            <w:vAlign w:val="center"/>
          </w:tcPr>
          <w:p>
            <w:pPr>
              <w:keepNext/>
              <w:spacing w:after="0" w:line="240" w:lineRule="auto"/>
            </w:pPr>
            <w:r>
              <w:rPr>
                <w:rFonts w:ascii="Arial" w:hAnsi="Arial" w:eastAsia="Arial"/>
                <w:b w:val="0"/>
                <w:sz w:val="15"/>
              </w:rPr>
              <w:t>Ipea-linked official source</w:t>
            </w:r>
          </w:p>
        </w:tc>
        <w:tc>
          <w:tcPr>
            <w:tcW w:type="dxa" w:w="2408"/>
            <w:vAlign w:val="center"/>
          </w:tcPr>
          <w:p>
            <w:pPr>
              <w:keepNext/>
              <w:spacing w:after="0" w:line="240" w:lineRule="auto"/>
            </w:pPr>
            <w:r>
              <w:rPr>
                <w:rFonts w:ascii="Arial" w:hAnsi="Arial" w:eastAsia="Arial"/>
                <w:b w:val="0"/>
                <w:sz w:val="15"/>
              </w:rPr>
              <w:t>Static municipal ecological context</w:t>
            </w:r>
          </w:p>
        </w:tc>
        <w:tc>
          <w:tcPr>
            <w:tcW w:type="dxa" w:w="2408"/>
            <w:vAlign w:val="center"/>
          </w:tcPr>
          <w:p>
            <w:pPr>
              <w:keepNext/>
              <w:spacing w:after="0" w:line="240" w:lineRule="auto"/>
            </w:pPr>
            <w:r>
              <w:rPr>
                <w:rFonts w:ascii="Arial" w:hAnsi="Arial" w:eastAsia="Arial"/>
                <w:b w:val="0"/>
                <w:sz w:val="15"/>
              </w:rPr>
              <w:t>No individual socioeconomic interpretation</w:t>
            </w:r>
          </w:p>
        </w:tc>
      </w:tr>
      <w:tr>
        <w:trPr>
          <w:cantSplit/>
        </w:trPr>
        <w:tc>
          <w:tcPr>
            <w:tcW w:type="dxa" w:w="2408"/>
            <w:vAlign w:val="center"/>
          </w:tcPr>
          <w:p>
            <w:pPr>
              <w:keepNext/>
              <w:spacing w:after="0" w:line="240" w:lineRule="auto"/>
            </w:pPr>
            <w:r>
              <w:rPr>
                <w:rFonts w:ascii="Arial" w:hAnsi="Arial" w:eastAsia="Arial"/>
                <w:b w:val="0"/>
                <w:sz w:val="15"/>
              </w:rPr>
              <w:t>Supplementary-insurance coverage</w:t>
            </w:r>
          </w:p>
        </w:tc>
        <w:tc>
          <w:tcPr>
            <w:tcW w:type="dxa" w:w="2408"/>
            <w:vAlign w:val="center"/>
          </w:tcPr>
          <w:p>
            <w:pPr>
              <w:keepNext/>
              <w:spacing w:after="0" w:line="240" w:lineRule="auto"/>
            </w:pPr>
            <w:r>
              <w:rPr>
                <w:rFonts w:ascii="Arial" w:hAnsi="Arial" w:eastAsia="Arial"/>
                <w:b w:val="0"/>
                <w:sz w:val="15"/>
              </w:rPr>
              <w:t>ANS</w:t>
            </w:r>
          </w:p>
        </w:tc>
        <w:tc>
          <w:tcPr>
            <w:tcW w:type="dxa" w:w="2408"/>
            <w:vAlign w:val="center"/>
          </w:tcPr>
          <w:p>
            <w:pPr>
              <w:keepNext/>
              <w:spacing w:after="0" w:line="240" w:lineRule="auto"/>
            </w:pPr>
            <w:r>
              <w:rPr>
                <w:rFonts w:ascii="Arial" w:hAnsi="Arial" w:eastAsia="Arial"/>
                <w:b w:val="0"/>
                <w:sz w:val="15"/>
              </w:rPr>
              <w:t>Municipal contextual measure</w:t>
            </w:r>
          </w:p>
        </w:tc>
        <w:tc>
          <w:tcPr>
            <w:tcW w:type="dxa" w:w="2408"/>
            <w:vAlign w:val="center"/>
          </w:tcPr>
          <w:p>
            <w:pPr>
              <w:keepNext/>
              <w:spacing w:after="0" w:line="240" w:lineRule="auto"/>
            </w:pPr>
            <w:r>
              <w:rPr>
                <w:rFonts w:ascii="Arial" w:hAnsi="Arial" w:eastAsia="Arial"/>
                <w:b w:val="0"/>
                <w:sz w:val="15"/>
              </w:rPr>
              <w:t>Contextual, not individual insurance status</w:t>
            </w:r>
          </w:p>
        </w:tc>
      </w:tr>
      <w:tr>
        <w:trPr>
          <w:cantSplit/>
        </w:trPr>
        <w:tc>
          <w:tcPr>
            <w:tcW w:type="dxa" w:w="2408"/>
            <w:vAlign w:val="center"/>
          </w:tcPr>
          <w:p>
            <w:pPr>
              <w:keepNext/>
              <w:spacing w:after="0" w:line="240" w:lineRule="auto"/>
            </w:pPr>
            <w:r>
              <w:rPr>
                <w:rFonts w:ascii="Arial" w:hAnsi="Arial" w:eastAsia="Arial"/>
                <w:b w:val="0"/>
                <w:sz w:val="15"/>
              </w:rPr>
              <w:t>OpenStreetMap extract</w:t>
            </w:r>
          </w:p>
        </w:tc>
        <w:tc>
          <w:tcPr>
            <w:tcW w:type="dxa" w:w="2408"/>
            <w:vAlign w:val="center"/>
          </w:tcPr>
          <w:p>
            <w:pPr>
              <w:keepNext/>
              <w:spacing w:after="0" w:line="240" w:lineRule="auto"/>
            </w:pPr>
            <w:r>
              <w:rPr>
                <w:rFonts w:ascii="Arial" w:hAnsi="Arial" w:eastAsia="Arial"/>
                <w:b w:val="0"/>
                <w:sz w:val="15"/>
              </w:rPr>
              <w:t>OpenStreetMap contributors</w:t>
            </w:r>
          </w:p>
        </w:tc>
        <w:tc>
          <w:tcPr>
            <w:tcW w:type="dxa" w:w="2408"/>
            <w:vAlign w:val="center"/>
          </w:tcPr>
          <w:p>
            <w:pPr>
              <w:keepNext/>
              <w:spacing w:after="0" w:line="240" w:lineRule="auto"/>
            </w:pPr>
            <w:r>
              <w:rPr>
                <w:rFonts w:ascii="Arial" w:hAnsi="Arial" w:eastAsia="Arial"/>
                <w:b w:val="0"/>
                <w:sz w:val="15"/>
              </w:rPr>
              <w:t>Road graph (brazil-260822.osm.pbf)</w:t>
            </w:r>
          </w:p>
        </w:tc>
        <w:tc>
          <w:tcPr>
            <w:tcW w:type="dxa" w:w="2408"/>
            <w:vAlign w:val="center"/>
          </w:tcPr>
          <w:p>
            <w:pPr>
              <w:keepNext/>
              <w:spacing w:after="0" w:line="240" w:lineRule="auto"/>
            </w:pPr>
            <w:r>
              <w:rPr>
                <w:rFonts w:ascii="Arial" w:hAnsi="Arial" w:eastAsia="Arial"/>
                <w:b w:val="0"/>
                <w:sz w:val="15"/>
              </w:rPr>
              <w:t>Licence and acquisition route documented</w:t>
            </w:r>
          </w:p>
        </w:tc>
      </w:tr>
      <w:tr>
        <w:trPr>
          <w:cantSplit/>
        </w:trPr>
        <w:tc>
          <w:tcPr>
            <w:tcW w:type="dxa" w:w="2408"/>
            <w:vAlign w:val="center"/>
          </w:tcPr>
          <w:p>
            <w:pPr>
              <w:keepNext/>
              <w:spacing w:after="0" w:line="240" w:lineRule="auto"/>
            </w:pPr>
            <w:r>
              <w:rPr>
                <w:rFonts w:ascii="Arial" w:hAnsi="Arial" w:eastAsia="Arial"/>
                <w:b w:val="0"/>
                <w:sz w:val="15"/>
              </w:rPr>
              <w:t>GraphHopper</w:t>
            </w:r>
          </w:p>
        </w:tc>
        <w:tc>
          <w:tcPr>
            <w:tcW w:type="dxa" w:w="2408"/>
            <w:vAlign w:val="center"/>
          </w:tcPr>
          <w:p>
            <w:pPr>
              <w:keepNext/>
              <w:spacing w:after="0" w:line="240" w:lineRule="auto"/>
            </w:pPr>
            <w:r>
              <w:rPr>
                <w:rFonts w:ascii="Arial" w:hAnsi="Arial" w:eastAsia="Arial"/>
                <w:b w:val="0"/>
                <w:sz w:val="15"/>
              </w:rPr>
              <w:t>Local reproducible service</w:t>
            </w:r>
          </w:p>
        </w:tc>
        <w:tc>
          <w:tcPr>
            <w:tcW w:type="dxa" w:w="2408"/>
            <w:vAlign w:val="center"/>
          </w:tcPr>
          <w:p>
            <w:pPr>
              <w:keepNext/>
              <w:spacing w:after="0" w:line="240" w:lineRule="auto"/>
            </w:pPr>
            <w:r>
              <w:rPr>
                <w:rFonts w:ascii="Arial" w:hAnsi="Arial" w:eastAsia="Arial"/>
                <w:b w:val="0"/>
                <w:sz w:val="15"/>
              </w:rPr>
              <w:t>ercp_car route and contour profile</w:t>
            </w:r>
          </w:p>
        </w:tc>
        <w:tc>
          <w:tcPr>
            <w:tcW w:type="dxa" w:w="2408"/>
            <w:vAlign w:val="center"/>
          </w:tcPr>
          <w:p>
            <w:pPr>
              <w:keepNext/>
              <w:spacing w:after="0" w:line="240" w:lineRule="auto"/>
            </w:pPr>
            <w:r>
              <w:rPr>
                <w:rFonts w:ascii="Arial" w:hAnsi="Arial" w:eastAsia="Arial"/>
                <w:b w:val="0"/>
                <w:sz w:val="15"/>
              </w:rPr>
              <w:t>Version/configuration evidence must be mirrored before final integrity</w:t>
            </w:r>
          </w:p>
        </w:tc>
      </w:tr>
      <w:tr>
        <w:trPr>
          <w:cantSplit/>
        </w:trPr>
        <w:tc>
          <w:tcPr>
            <w:tcW w:type="dxa" w:w="2408"/>
            <w:vAlign w:val="center"/>
          </w:tcPr>
          <w:p>
            <w:pPr>
              <w:keepNext w:val="0"/>
              <w:spacing w:after="0" w:line="240" w:lineRule="auto"/>
            </w:pPr>
            <w:r>
              <w:rPr>
                <w:rFonts w:ascii="Arial" w:hAnsi="Arial" w:eastAsia="Arial"/>
                <w:b w:val="0"/>
                <w:sz w:val="15"/>
              </w:rPr>
              <w:t>CONITEC, Portarias, SIGTAP</w:t>
            </w:r>
          </w:p>
        </w:tc>
        <w:tc>
          <w:tcPr>
            <w:tcW w:type="dxa" w:w="2408"/>
            <w:vAlign w:val="center"/>
          </w:tcPr>
          <w:p>
            <w:pPr>
              <w:keepNext w:val="0"/>
              <w:spacing w:after="0" w:line="240" w:lineRule="auto"/>
            </w:pPr>
            <w:r>
              <w:rPr>
                <w:rFonts w:ascii="Arial" w:hAnsi="Arial" w:eastAsia="Arial"/>
                <w:b w:val="0"/>
                <w:sz w:val="15"/>
              </w:rPr>
              <w:t>Ministry of Health</w:t>
            </w:r>
          </w:p>
        </w:tc>
        <w:tc>
          <w:tcPr>
            <w:tcW w:type="dxa" w:w="2408"/>
            <w:vAlign w:val="center"/>
          </w:tcPr>
          <w:p>
            <w:pPr>
              <w:keepNext w:val="0"/>
              <w:spacing w:after="0" w:line="240" w:lineRule="auto"/>
            </w:pPr>
            <w:r>
              <w:rPr>
                <w:rFonts w:ascii="Arial" w:hAnsi="Arial" w:eastAsia="Arial"/>
                <w:b w:val="0"/>
                <w:sz w:val="15"/>
              </w:rPr>
              <w:t>Policy and code chronology</w:t>
            </w:r>
          </w:p>
        </w:tc>
        <w:tc>
          <w:tcPr>
            <w:tcW w:type="dxa" w:w="2408"/>
            <w:vAlign w:val="center"/>
          </w:tcPr>
          <w:p>
            <w:pPr>
              <w:keepNext w:val="0"/>
              <w:spacing w:after="0" w:line="240" w:lineRule="auto"/>
            </w:pPr>
            <w:r>
              <w:rPr>
                <w:rFonts w:ascii="Arial" w:hAnsi="Arial" w:eastAsia="Arial"/>
                <w:b w:val="0"/>
                <w:sz w:val="15"/>
              </w:rPr>
              <w:t>Official sources and access dates documented</w:t>
            </w:r>
          </w:p>
        </w:tc>
      </w:tr>
    </w:tbl>
    <w:p>
      <w:pPr>
        <w:spacing w:after="160"/>
      </w:pPr>
      <w:r>
        <w:rPr>
          <w:i/>
          <w:sz w:val="16"/>
        </w:rPr>
        <w:t>AIH, Autorização de Internação Hospitalar; ERCP, endoscopic retrograde cholangiopancreatography.</w:t>
      </w:r>
    </w:p>
    <w:p>
      <w:pPr>
        <w:widowControl/>
        <w:jc w:val="both"/>
      </w:pPr>
      <w:r>
        <w:t>The study used SIH/SUS hospitalisation and procedure-detail records, CNES hospital data, IBGE population and municipality geography, the 2010 municipal IVS, supplementary-insurance coverage, OpenStreetMap road data, GraphHopper routing, and official policy sources. Record-level SUS files, credentials, and unredacted small cells are not distributed.</w:t>
      </w:r>
    </w:p>
    <w:p>
      <w:pPr>
        <w:pStyle w:val="Heading1"/>
      </w:pPr>
      <w:r>
        <w:t>Code lists, linkage, and cohort construction</w:t>
      </w:r>
    </w:p>
    <w:p>
      <w:pPr>
        <w:widowControl/>
        <w:jc w:val="both"/>
      </w:pPr>
      <w:r>
        <w:t>Procedure-detail rows containing 0407030255 were collapsed by competence month, provider CNES identifier, and AIH number before linkage. Cohort A contained 91,175 unique AIHs, all exactly linked; 90,146 involved adults. Among 33,888 AIHs with K80.3, K80.4, or K80.5 in a valid diagnostic field, 33,506 involved adults. Nine adult records were excluded because the principal diagnosis belonged to the C23 or C24 family, leaving 33,497 Cohort B AIHs. Duplicate counts were zero, and Cohort B was a strict subset of Cohort A.</w:t>
      </w:r>
    </w:p>
    <w:p>
      <w:pPr>
        <w:widowControl/>
        <w:jc w:val="both"/>
      </w:pPr>
      <w:r>
        <w:t>Cohort B is an administrative diagnostic phenotype. No chart adjudication, sensitivity or specificity study, or externally validated performance estimate was available.</w:t>
      </w:r>
    </w:p>
    <w:p>
      <w:pPr>
        <w:pStyle w:val="Heading1"/>
      </w:pPr>
      <w:r>
        <w:t>Variable availability and missing-data handling</w:t>
      </w:r>
    </w:p>
    <w:p>
      <w:pPr>
        <w:widowControl/>
        <w:jc w:val="both"/>
      </w:pPr>
      <w:r>
        <w:t>Identifiers, linkage keys, procedure presence, first observed coded use, and primary outcomes were not imputed. Municipalities without a valid road anchor remained unknown rather than uncovered. Race or colour was represented by an explicit missing category in the prespecified outcome design because recording may be institutionally patterned. Variables lacking adequate semantic or analytical support were excluded rather than imputed after analysis.</w:t>
      </w:r>
    </w:p>
    <w:p>
      <w:pPr>
        <w:widowControl/>
        <w:jc w:val="both"/>
      </w:pPr>
      <w:r>
        <w:t>The Aim 4 complete-context analysis included 30,900 of 33,497 Cohort B AIHs, 378 in-hospital deaths, and 360 hospitals. A variable-level decomposition of the 2,597 excluded records was unavailable. State-, year-, hospital-, and cohort-specific missingness patterns were therefore not inferred from aggregate totals.</w:t>
      </w:r>
    </w:p>
    <w:p>
      <w:pPr>
        <w:pStyle w:val="Heading1"/>
      </w:pPr>
      <w:r>
        <w:t>Cross-aim estimands, denominators, and analysis boundaries</w:t>
      </w:r>
    </w:p>
    <w:p>
      <w:pPr>
        <w:keepNext/>
      </w:pPr>
      <w:r>
        <w:rPr>
          <w:b/>
          <w:sz w:val="19"/>
        </w:rPr>
        <w:t>Supplementary Table 2. Cross-aim estimands, denominators, and analysis boundaries.</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rPr>
          <w:cantSplit/>
          <w:tblHeader w:val="true"/>
        </w:trPr>
        <w:tc>
          <w:tcPr>
            <w:tcW w:type="dxa" w:w="1376"/>
            <w:vAlign w:val="center"/>
            <w:shd w:fill="D9EAF7"/>
          </w:tcPr>
          <w:p>
            <w:pPr>
              <w:keepNext/>
              <w:spacing w:after="0" w:line="240" w:lineRule="auto"/>
            </w:pPr>
            <w:r>
              <w:rPr>
                <w:rFonts w:ascii="Arial" w:hAnsi="Arial" w:eastAsia="Arial"/>
                <w:b/>
                <w:sz w:val="15"/>
              </w:rPr>
              <w:t>Component</w:t>
            </w:r>
          </w:p>
        </w:tc>
        <w:tc>
          <w:tcPr>
            <w:tcW w:type="dxa" w:w="1376"/>
            <w:vAlign w:val="center"/>
            <w:shd w:fill="D9EAF7"/>
          </w:tcPr>
          <w:p>
            <w:pPr>
              <w:keepNext/>
              <w:spacing w:after="0" w:line="240" w:lineRule="auto"/>
            </w:pPr>
            <w:r>
              <w:rPr>
                <w:rFonts w:ascii="Arial" w:hAnsi="Arial" w:eastAsia="Arial"/>
                <w:b/>
                <w:sz w:val="15"/>
              </w:rPr>
              <w:t>Cohort / unit</w:t>
            </w:r>
          </w:p>
        </w:tc>
        <w:tc>
          <w:tcPr>
            <w:tcW w:type="dxa" w:w="1376"/>
            <w:vAlign w:val="center"/>
            <w:shd w:fill="D9EAF7"/>
          </w:tcPr>
          <w:p>
            <w:pPr>
              <w:keepNext/>
              <w:spacing w:after="0" w:line="240" w:lineRule="auto"/>
            </w:pPr>
            <w:r>
              <w:rPr>
                <w:rFonts w:ascii="Arial" w:hAnsi="Arial" w:eastAsia="Arial"/>
                <w:b/>
                <w:sz w:val="15"/>
              </w:rPr>
              <w:t>Denominator</w:t>
            </w:r>
          </w:p>
        </w:tc>
        <w:tc>
          <w:tcPr>
            <w:tcW w:type="dxa" w:w="1376"/>
            <w:vAlign w:val="center"/>
            <w:shd w:fill="D9EAF7"/>
          </w:tcPr>
          <w:p>
            <w:pPr>
              <w:keepNext/>
              <w:spacing w:after="0" w:line="240" w:lineRule="auto"/>
            </w:pPr>
            <w:r>
              <w:rPr>
                <w:rFonts w:ascii="Arial" w:hAnsi="Arial" w:eastAsia="Arial"/>
                <w:b/>
                <w:sz w:val="15"/>
              </w:rPr>
              <w:t>Estimand or descriptive target</w:t>
            </w:r>
          </w:p>
        </w:tc>
        <w:tc>
          <w:tcPr>
            <w:tcW w:type="dxa" w:w="1376"/>
            <w:vAlign w:val="center"/>
            <w:shd w:fill="D9EAF7"/>
          </w:tcPr>
          <w:p>
            <w:pPr>
              <w:keepNext/>
              <w:spacing w:after="0" w:line="240" w:lineRule="auto"/>
            </w:pPr>
            <w:r>
              <w:rPr>
                <w:rFonts w:ascii="Arial" w:hAnsi="Arial" w:eastAsia="Arial"/>
                <w:b/>
                <w:sz w:val="15"/>
              </w:rPr>
              <w:t>Inference level</w:t>
            </w:r>
          </w:p>
        </w:tc>
        <w:tc>
          <w:tcPr>
            <w:tcW w:type="dxa" w:w="1376"/>
            <w:vAlign w:val="center"/>
            <w:shd w:fill="D9EAF7"/>
          </w:tcPr>
          <w:p>
            <w:pPr>
              <w:keepNext/>
              <w:spacing w:after="0" w:line="240" w:lineRule="auto"/>
            </w:pPr>
            <w:r>
              <w:rPr>
                <w:rFonts w:ascii="Arial" w:hAnsi="Arial" w:eastAsia="Arial"/>
                <w:b/>
                <w:sz w:val="15"/>
              </w:rPr>
              <w:t>Missingness / unknown rule</w:t>
            </w:r>
          </w:p>
        </w:tc>
        <w:tc>
          <w:tcPr>
            <w:tcW w:type="dxa" w:w="1376"/>
            <w:vAlign w:val="center"/>
            <w:shd w:fill="D9EAF7"/>
          </w:tcPr>
          <w:p>
            <w:pPr>
              <w:keepNext/>
              <w:spacing w:after="0" w:line="240" w:lineRule="auto"/>
            </w:pPr>
            <w:r>
              <w:rPr>
                <w:rFonts w:ascii="Arial" w:hAnsi="Arial" w:eastAsia="Arial"/>
                <w:b/>
                <w:sz w:val="15"/>
              </w:rPr>
              <w:t>Reporting status</w:t>
            </w:r>
          </w:p>
        </w:tc>
      </w:tr>
      <w:tr>
        <w:trPr>
          <w:cantSplit/>
        </w:trPr>
        <w:tc>
          <w:tcPr>
            <w:tcW w:type="dxa" w:w="1376"/>
            <w:vAlign w:val="center"/>
          </w:tcPr>
          <w:p>
            <w:pPr>
              <w:keepNext/>
              <w:spacing w:after="0" w:line="240" w:lineRule="auto"/>
            </w:pPr>
            <w:r>
              <w:rPr>
                <w:rFonts w:ascii="Arial" w:hAnsi="Arial" w:eastAsia="Arial"/>
                <w:b w:val="0"/>
                <w:sz w:val="15"/>
              </w:rPr>
              <w:t>Aim 1 observed uptake</w:t>
            </w:r>
          </w:p>
        </w:tc>
        <w:tc>
          <w:tcPr>
            <w:tcW w:type="dxa" w:w="1376"/>
            <w:vAlign w:val="center"/>
          </w:tcPr>
          <w:p>
            <w:pPr>
              <w:keepNext/>
              <w:spacing w:after="0" w:line="240" w:lineRule="auto"/>
            </w:pPr>
            <w:r>
              <w:rPr>
                <w:rFonts w:ascii="Arial" w:hAnsi="Arial" w:eastAsia="Arial"/>
                <w:b w:val="0"/>
                <w:sz w:val="15"/>
              </w:rPr>
              <w:t>Cohort A hospitals</w:t>
            </w:r>
          </w:p>
        </w:tc>
        <w:tc>
          <w:tcPr>
            <w:tcW w:type="dxa" w:w="1376"/>
            <w:vAlign w:val="center"/>
          </w:tcPr>
          <w:p>
            <w:pPr>
              <w:keepNext/>
              <w:spacing w:after="0" w:line="240" w:lineRule="auto"/>
            </w:pPr>
            <w:r>
              <w:rPr>
                <w:rFonts w:ascii="Arial" w:hAnsi="Arial" w:eastAsia="Arial"/>
                <w:b w:val="0"/>
                <w:sz w:val="15"/>
              </w:rPr>
              <w:t>445 hospitals ever observed</w:t>
            </w:r>
          </w:p>
        </w:tc>
        <w:tc>
          <w:tcPr>
            <w:tcW w:type="dxa" w:w="1376"/>
            <w:vAlign w:val="center"/>
          </w:tcPr>
          <w:p>
            <w:pPr>
              <w:keepNext/>
              <w:spacing w:after="0" w:line="240" w:lineRule="auto"/>
            </w:pPr>
            <w:r>
              <w:rPr>
                <w:rFonts w:ascii="Arial" w:hAnsi="Arial" w:eastAsia="Arial"/>
                <w:b w:val="0"/>
                <w:sz w:val="15"/>
              </w:rPr>
              <w:t>First month of observed coded therapeutic ERCP use</w:t>
            </w:r>
          </w:p>
        </w:tc>
        <w:tc>
          <w:tcPr>
            <w:tcW w:type="dxa" w:w="1376"/>
            <w:vAlign w:val="center"/>
          </w:tcPr>
          <w:p>
            <w:pPr>
              <w:keepNext/>
              <w:spacing w:after="0" w:line="240" w:lineRule="auto"/>
            </w:pPr>
            <w:r>
              <w:rPr>
                <w:rFonts w:ascii="Arial" w:hAnsi="Arial" w:eastAsia="Arial"/>
                <w:b w:val="0"/>
                <w:sz w:val="15"/>
              </w:rPr>
              <w:t>Descriptive</w:t>
            </w:r>
          </w:p>
        </w:tc>
        <w:tc>
          <w:tcPr>
            <w:tcW w:type="dxa" w:w="1376"/>
            <w:vAlign w:val="center"/>
          </w:tcPr>
          <w:p>
            <w:pPr>
              <w:keepNext/>
              <w:spacing w:after="0" w:line="240" w:lineRule="auto"/>
            </w:pPr>
            <w:r>
              <w:rPr>
                <w:rFonts w:ascii="Arial" w:hAnsi="Arial" w:eastAsia="Arial"/>
                <w:b w:val="0"/>
                <w:sz w:val="15"/>
              </w:rPr>
              <w:t>January 2021 active hospitals are left-censored prevalent users</w:t>
            </w:r>
          </w:p>
        </w:tc>
        <w:tc>
          <w:tcPr>
            <w:tcW w:type="dxa" w:w="1376"/>
            <w:vAlign w:val="center"/>
          </w:tcPr>
          <w:p>
            <w:pPr>
              <w:keepNext/>
              <w:spacing w:after="0" w:line="240" w:lineRule="auto"/>
            </w:pPr>
            <w:r>
              <w:rPr>
                <w:rFonts w:ascii="Arial" w:hAnsi="Arial" w:eastAsia="Arial"/>
                <w:b w:val="0"/>
                <w:sz w:val="15"/>
              </w:rPr>
              <w:t>Reported</w:t>
            </w:r>
          </w:p>
        </w:tc>
      </w:tr>
      <w:tr>
        <w:trPr>
          <w:cantSplit/>
        </w:trPr>
        <w:tc>
          <w:tcPr>
            <w:tcW w:type="dxa" w:w="1376"/>
            <w:vAlign w:val="center"/>
          </w:tcPr>
          <w:p>
            <w:pPr>
              <w:keepNext/>
              <w:spacing w:after="0" w:line="240" w:lineRule="auto"/>
            </w:pPr>
            <w:r>
              <w:rPr>
                <w:rFonts w:ascii="Arial" w:hAnsi="Arial" w:eastAsia="Arial"/>
                <w:b w:val="0"/>
                <w:sz w:val="15"/>
              </w:rPr>
              <w:t>Aim 1 maintenance</w:t>
            </w:r>
          </w:p>
        </w:tc>
        <w:tc>
          <w:tcPr>
            <w:tcW w:type="dxa" w:w="1376"/>
            <w:vAlign w:val="center"/>
          </w:tcPr>
          <w:p>
            <w:pPr>
              <w:keepNext/>
              <w:spacing w:after="0" w:line="240" w:lineRule="auto"/>
            </w:pPr>
            <w:r>
              <w:rPr>
                <w:rFonts w:ascii="Arial" w:hAnsi="Arial" w:eastAsia="Arial"/>
                <w:b w:val="0"/>
                <w:sz w:val="15"/>
              </w:rPr>
              <w:t>Cohort A hospitals</w:t>
            </w:r>
          </w:p>
        </w:tc>
        <w:tc>
          <w:tcPr>
            <w:tcW w:type="dxa" w:w="1376"/>
            <w:vAlign w:val="center"/>
          </w:tcPr>
          <w:p>
            <w:pPr>
              <w:keepNext/>
              <w:spacing w:after="0" w:line="240" w:lineRule="auto"/>
            </w:pPr>
            <w:r>
              <w:rPr>
                <w:rFonts w:ascii="Arial" w:hAnsi="Arial" w:eastAsia="Arial"/>
                <w:b w:val="0"/>
                <w:sz w:val="15"/>
              </w:rPr>
              <w:t>390 with a completed first 12-month window</w:t>
            </w:r>
          </w:p>
        </w:tc>
        <w:tc>
          <w:tcPr>
            <w:tcW w:type="dxa" w:w="1376"/>
            <w:vAlign w:val="center"/>
          </w:tcPr>
          <w:p>
            <w:pPr>
              <w:keepNext/>
              <w:spacing w:after="0" w:line="240" w:lineRule="auto"/>
            </w:pPr>
            <w:r>
              <w:rPr>
                <w:rFonts w:ascii="Arial" w:hAnsi="Arial" w:eastAsia="Arial"/>
                <w:b w:val="0"/>
                <w:sz w:val="15"/>
              </w:rPr>
              <w:t>Activity in at least 6 months of the first completed 12-month window</w:t>
            </w:r>
          </w:p>
        </w:tc>
        <w:tc>
          <w:tcPr>
            <w:tcW w:type="dxa" w:w="1376"/>
            <w:vAlign w:val="center"/>
          </w:tcPr>
          <w:p>
            <w:pPr>
              <w:keepNext/>
              <w:spacing w:after="0" w:line="240" w:lineRule="auto"/>
            </w:pPr>
            <w:r>
              <w:rPr>
                <w:rFonts w:ascii="Arial" w:hAnsi="Arial" w:eastAsia="Arial"/>
                <w:b w:val="0"/>
                <w:sz w:val="15"/>
              </w:rPr>
              <w:t>Descriptive</w:t>
            </w:r>
          </w:p>
        </w:tc>
        <w:tc>
          <w:tcPr>
            <w:tcW w:type="dxa" w:w="1376"/>
            <w:vAlign w:val="center"/>
          </w:tcPr>
          <w:p>
            <w:pPr>
              <w:keepNext/>
              <w:spacing w:after="0" w:line="240" w:lineRule="auto"/>
            </w:pPr>
            <w:r>
              <w:rPr>
                <w:rFonts w:ascii="Arial" w:hAnsi="Arial" w:eastAsia="Arial"/>
                <w:b w:val="0"/>
                <w:sz w:val="15"/>
              </w:rPr>
              <w:t>Incomplete windows excluded from the risk set</w:t>
            </w:r>
          </w:p>
        </w:tc>
        <w:tc>
          <w:tcPr>
            <w:tcW w:type="dxa" w:w="1376"/>
            <w:vAlign w:val="center"/>
          </w:tcPr>
          <w:p>
            <w:pPr>
              <w:keepNext/>
              <w:spacing w:after="0" w:line="240" w:lineRule="auto"/>
            </w:pPr>
            <w:r>
              <w:rPr>
                <w:rFonts w:ascii="Arial" w:hAnsi="Arial" w:eastAsia="Arial"/>
                <w:b w:val="0"/>
                <w:sz w:val="15"/>
              </w:rPr>
              <w:t>252/390 (64.6%); reported</w:t>
            </w:r>
          </w:p>
        </w:tc>
      </w:tr>
      <w:tr>
        <w:trPr>
          <w:cantSplit/>
        </w:trPr>
        <w:tc>
          <w:tcPr>
            <w:tcW w:type="dxa" w:w="1376"/>
            <w:vAlign w:val="center"/>
          </w:tcPr>
          <w:p>
            <w:pPr>
              <w:keepNext/>
              <w:spacing w:after="0" w:line="240" w:lineRule="auto"/>
            </w:pPr>
            <w:r>
              <w:rPr>
                <w:rFonts w:ascii="Arial" w:hAnsi="Arial" w:eastAsia="Arial"/>
                <w:b w:val="0"/>
                <w:sz w:val="15"/>
              </w:rPr>
              <w:t>Aim 1 first-observed-use model</w:t>
            </w:r>
          </w:p>
        </w:tc>
        <w:tc>
          <w:tcPr>
            <w:tcW w:type="dxa" w:w="1376"/>
            <w:vAlign w:val="center"/>
          </w:tcPr>
          <w:p>
            <w:pPr>
              <w:keepNext/>
              <w:spacing w:after="0" w:line="240" w:lineRule="auto"/>
            </w:pPr>
            <w:r>
              <w:rPr>
                <w:rFonts w:ascii="Arial" w:hAnsi="Arial" w:eastAsia="Arial"/>
                <w:b w:val="0"/>
                <w:sz w:val="15"/>
              </w:rPr>
              <w:t>Eligible hospital-months</w:t>
            </w:r>
          </w:p>
        </w:tc>
        <w:tc>
          <w:tcPr>
            <w:tcW w:type="dxa" w:w="1376"/>
            <w:vAlign w:val="center"/>
          </w:tcPr>
          <w:p>
            <w:pPr>
              <w:keepNext/>
              <w:spacing w:after="0" w:line="240" w:lineRule="auto"/>
            </w:pPr>
            <w:r>
              <w:rPr>
                <w:rFonts w:ascii="Arial" w:hAnsi="Arial" w:eastAsia="Arial"/>
                <w:b w:val="0"/>
                <w:sz w:val="15"/>
              </w:rPr>
              <w:t>Frozen CNES risk set</w:t>
            </w:r>
          </w:p>
        </w:tc>
        <w:tc>
          <w:tcPr>
            <w:tcW w:type="dxa" w:w="1376"/>
            <w:vAlign w:val="center"/>
          </w:tcPr>
          <w:p>
            <w:pPr>
              <w:keepNext/>
              <w:spacing w:after="0" w:line="240" w:lineRule="auto"/>
            </w:pPr>
            <w:r>
              <w:rPr>
                <w:rFonts w:ascii="Arial" w:hAnsi="Arial" w:eastAsia="Arial"/>
                <w:b w:val="0"/>
                <w:sz w:val="15"/>
              </w:rPr>
              <w:t>Associational model of first observed coded use</w:t>
            </w:r>
          </w:p>
        </w:tc>
        <w:tc>
          <w:tcPr>
            <w:tcW w:type="dxa" w:w="1376"/>
            <w:vAlign w:val="center"/>
          </w:tcPr>
          <w:p>
            <w:pPr>
              <w:keepNext/>
              <w:spacing w:after="0" w:line="240" w:lineRule="auto"/>
            </w:pPr>
            <w:r>
              <w:rPr>
                <w:rFonts w:ascii="Arial" w:hAnsi="Arial" w:eastAsia="Arial"/>
                <w:b w:val="0"/>
                <w:sz w:val="15"/>
              </w:rPr>
              <w:t>Associational</w:t>
            </w:r>
          </w:p>
        </w:tc>
        <w:tc>
          <w:tcPr>
            <w:tcW w:type="dxa" w:w="1376"/>
            <w:vAlign w:val="center"/>
          </w:tcPr>
          <w:p>
            <w:pPr>
              <w:keepNext/>
              <w:spacing w:after="0" w:line="240" w:lineRule="auto"/>
            </w:pPr>
            <w:r>
              <w:rPr>
                <w:rFonts w:ascii="Arial" w:hAnsi="Arial" w:eastAsia="Arial"/>
                <w:b w:val="0"/>
                <w:sz w:val="15"/>
              </w:rPr>
              <w:t>No causal adoption interpretation</w:t>
            </w:r>
          </w:p>
        </w:tc>
        <w:tc>
          <w:tcPr>
            <w:tcW w:type="dxa" w:w="1376"/>
            <w:vAlign w:val="center"/>
          </w:tcPr>
          <w:p>
            <w:pPr>
              <w:keepNext/>
              <w:spacing w:after="0" w:line="240" w:lineRule="auto"/>
            </w:pPr>
            <w:r>
              <w:rPr>
                <w:rFonts w:ascii="Arial" w:hAnsi="Arial" w:eastAsia="Arial"/>
                <w:b w:val="0"/>
                <w:sz w:val="15"/>
              </w:rPr>
              <w:t>Associational; limited events per parameter</w:t>
            </w:r>
          </w:p>
        </w:tc>
      </w:tr>
      <w:tr>
        <w:trPr>
          <w:cantSplit/>
        </w:trPr>
        <w:tc>
          <w:tcPr>
            <w:tcW w:type="dxa" w:w="1376"/>
            <w:vAlign w:val="center"/>
          </w:tcPr>
          <w:p>
            <w:pPr>
              <w:keepNext/>
              <w:spacing w:after="0" w:line="240" w:lineRule="auto"/>
            </w:pPr>
            <w:r>
              <w:rPr>
                <w:rFonts w:ascii="Arial" w:hAnsi="Arial" w:eastAsia="Arial"/>
                <w:b w:val="0"/>
                <w:sz w:val="15"/>
              </w:rPr>
              <w:t>Aim 2 ecological equity</w:t>
            </w:r>
          </w:p>
        </w:tc>
        <w:tc>
          <w:tcPr>
            <w:tcW w:type="dxa" w:w="1376"/>
            <w:vAlign w:val="center"/>
          </w:tcPr>
          <w:p>
            <w:pPr>
              <w:keepNext/>
              <w:spacing w:after="0" w:line="240" w:lineRule="auto"/>
            </w:pPr>
            <w:r>
              <w:rPr>
                <w:rFonts w:ascii="Arial" w:hAnsi="Arial" w:eastAsia="Arial"/>
                <w:b w:val="0"/>
                <w:sz w:val="15"/>
              </w:rPr>
              <w:t>Cohort B municipality-years</w:t>
            </w:r>
          </w:p>
        </w:tc>
        <w:tc>
          <w:tcPr>
            <w:tcW w:type="dxa" w:w="1376"/>
            <w:vAlign w:val="center"/>
          </w:tcPr>
          <w:p>
            <w:pPr>
              <w:keepNext/>
              <w:spacing w:after="0" w:line="240" w:lineRule="auto"/>
            </w:pPr>
            <w:r>
              <w:rPr>
                <w:rFonts w:ascii="Arial" w:hAnsi="Arial" w:eastAsia="Arial"/>
                <w:b w:val="0"/>
                <w:sz w:val="15"/>
              </w:rPr>
              <w:t>27,825 municipality-years</w:t>
            </w:r>
          </w:p>
        </w:tc>
        <w:tc>
          <w:tcPr>
            <w:tcW w:type="dxa" w:w="1376"/>
            <w:vAlign w:val="center"/>
          </w:tcPr>
          <w:p>
            <w:pPr>
              <w:keepNext/>
              <w:spacing w:after="0" w:line="240" w:lineRule="auto"/>
            </w:pPr>
            <w:r>
              <w:rPr>
                <w:rFonts w:ascii="Arial" w:hAnsi="Arial" w:eastAsia="Arial"/>
                <w:b w:val="0"/>
                <w:sz w:val="15"/>
              </w:rPr>
              <w:t>Adult-standardised treated-use gradient across ranked IVS</w:t>
            </w:r>
          </w:p>
        </w:tc>
        <w:tc>
          <w:tcPr>
            <w:tcW w:type="dxa" w:w="1376"/>
            <w:vAlign w:val="center"/>
          </w:tcPr>
          <w:p>
            <w:pPr>
              <w:keepNext/>
              <w:spacing w:after="0" w:line="240" w:lineRule="auto"/>
            </w:pPr>
            <w:r>
              <w:rPr>
                <w:rFonts w:ascii="Arial" w:hAnsi="Arial" w:eastAsia="Arial"/>
                <w:b w:val="0"/>
                <w:sz w:val="15"/>
              </w:rPr>
              <w:t>Ecological associational</w:t>
            </w:r>
          </w:p>
        </w:tc>
        <w:tc>
          <w:tcPr>
            <w:tcW w:type="dxa" w:w="1376"/>
            <w:vAlign w:val="center"/>
          </w:tcPr>
          <w:p>
            <w:pPr>
              <w:keepNext/>
              <w:spacing w:after="0" w:line="240" w:lineRule="auto"/>
            </w:pPr>
            <w:r>
              <w:rPr>
                <w:rFonts w:ascii="Arial" w:hAnsi="Arial" w:eastAsia="Arial"/>
                <w:b w:val="0"/>
                <w:sz w:val="15"/>
              </w:rPr>
              <w:t>Static 2010 IVS; no individual interpretation</w:t>
            </w:r>
          </w:p>
        </w:tc>
        <w:tc>
          <w:tcPr>
            <w:tcW w:type="dxa" w:w="1376"/>
            <w:vAlign w:val="center"/>
          </w:tcPr>
          <w:p>
            <w:pPr>
              <w:keepNext/>
              <w:spacing w:after="0" w:line="240" w:lineRule="auto"/>
            </w:pPr>
            <w:r>
              <w:rPr>
                <w:rFonts w:ascii="Arial" w:hAnsi="Arial" w:eastAsia="Arial"/>
                <w:b w:val="0"/>
                <w:sz w:val="15"/>
              </w:rPr>
              <w:t>SII and RII reported; modified-Poisson inference DOWNGRADE</w:t>
            </w:r>
          </w:p>
        </w:tc>
      </w:tr>
      <w:tr>
        <w:trPr>
          <w:cantSplit/>
        </w:trPr>
        <w:tc>
          <w:tcPr>
            <w:tcW w:type="dxa" w:w="1376"/>
            <w:vAlign w:val="center"/>
          </w:tcPr>
          <w:p>
            <w:pPr>
              <w:keepNext/>
              <w:spacing w:after="0" w:line="240" w:lineRule="auto"/>
            </w:pPr>
            <w:r>
              <w:rPr>
                <w:rFonts w:ascii="Arial" w:hAnsi="Arial" w:eastAsia="Arial"/>
                <w:b w:val="0"/>
                <w:sz w:val="15"/>
              </w:rPr>
              <w:t>Aim 2 realised routes</w:t>
            </w:r>
          </w:p>
        </w:tc>
        <w:tc>
          <w:tcPr>
            <w:tcW w:type="dxa" w:w="1376"/>
            <w:vAlign w:val="center"/>
          </w:tcPr>
          <w:p>
            <w:pPr>
              <w:keepNext/>
              <w:spacing w:after="0" w:line="240" w:lineRule="auto"/>
            </w:pPr>
            <w:r>
              <w:rPr>
                <w:rFonts w:ascii="Arial" w:hAnsi="Arial" w:eastAsia="Arial"/>
                <w:b w:val="0"/>
                <w:sz w:val="15"/>
              </w:rPr>
              <w:t>Cohort B routed AIHs</w:t>
            </w:r>
          </w:p>
        </w:tc>
        <w:tc>
          <w:tcPr>
            <w:tcW w:type="dxa" w:w="1376"/>
            <w:vAlign w:val="center"/>
          </w:tcPr>
          <w:p>
            <w:pPr>
              <w:keepNext/>
              <w:spacing w:after="0" w:line="240" w:lineRule="auto"/>
            </w:pPr>
            <w:r>
              <w:rPr>
                <w:rFonts w:ascii="Arial" w:hAnsi="Arial" w:eastAsia="Arial"/>
                <w:b w:val="0"/>
                <w:sz w:val="15"/>
              </w:rPr>
              <w:t>33,321 routed AIHs</w:t>
            </w:r>
          </w:p>
        </w:tc>
        <w:tc>
          <w:tcPr>
            <w:tcW w:type="dxa" w:w="1376"/>
            <w:vAlign w:val="center"/>
          </w:tcPr>
          <w:p>
            <w:pPr>
              <w:keepNext/>
              <w:spacing w:after="0" w:line="240" w:lineRule="auto"/>
            </w:pPr>
            <w:r>
              <w:rPr>
                <w:rFonts w:ascii="Arial" w:hAnsi="Arial" w:eastAsia="Arial"/>
                <w:b w:val="0"/>
                <w:sz w:val="15"/>
              </w:rPr>
              <w:t>Flow-weighted route-time distribution among treated flows</w:t>
            </w:r>
          </w:p>
        </w:tc>
        <w:tc>
          <w:tcPr>
            <w:tcW w:type="dxa" w:w="1376"/>
            <w:vAlign w:val="center"/>
          </w:tcPr>
          <w:p>
            <w:pPr>
              <w:keepNext/>
              <w:spacing w:after="0" w:line="240" w:lineRule="auto"/>
            </w:pPr>
            <w:r>
              <w:rPr>
                <w:rFonts w:ascii="Arial" w:hAnsi="Arial" w:eastAsia="Arial"/>
                <w:b w:val="0"/>
                <w:sz w:val="15"/>
              </w:rPr>
              <w:t>Descriptive</w:t>
            </w:r>
          </w:p>
        </w:tc>
        <w:tc>
          <w:tcPr>
            <w:tcW w:type="dxa" w:w="1376"/>
            <w:vAlign w:val="center"/>
          </w:tcPr>
          <w:p>
            <w:pPr>
              <w:keepNext/>
              <w:spacing w:after="0" w:line="240" w:lineRule="auto"/>
            </w:pPr>
            <w:r>
              <w:rPr>
                <w:rFonts w:ascii="Arial" w:hAnsi="Arial" w:eastAsia="Arial"/>
                <w:b w:val="0"/>
                <w:sz w:val="15"/>
              </w:rPr>
              <w:t>Unrouted flows excluded from route summaries; no unmet-need inference</w:t>
            </w:r>
          </w:p>
        </w:tc>
        <w:tc>
          <w:tcPr>
            <w:tcW w:type="dxa" w:w="1376"/>
            <w:vAlign w:val="center"/>
          </w:tcPr>
          <w:p>
            <w:pPr>
              <w:keepNext/>
              <w:spacing w:after="0" w:line="240" w:lineRule="auto"/>
            </w:pPr>
            <w:r>
              <w:rPr>
                <w:rFonts w:ascii="Arial" w:hAnsi="Arial" w:eastAsia="Arial"/>
                <w:b w:val="0"/>
                <w:sz w:val="15"/>
              </w:rPr>
              <w:t>Reported</w:t>
            </w:r>
          </w:p>
        </w:tc>
      </w:tr>
      <w:tr>
        <w:trPr>
          <w:cantSplit/>
        </w:trPr>
        <w:tc>
          <w:tcPr>
            <w:tcW w:type="dxa" w:w="1376"/>
            <w:vAlign w:val="center"/>
          </w:tcPr>
          <w:p>
            <w:pPr>
              <w:keepNext/>
              <w:spacing w:after="0" w:line="240" w:lineRule="auto"/>
            </w:pPr>
            <w:r>
              <w:rPr>
                <w:rFonts w:ascii="Arial" w:hAnsi="Arial" w:eastAsia="Arial"/>
                <w:b w:val="0"/>
                <w:sz w:val="15"/>
              </w:rPr>
              <w:t>Aim 2 potential reach</w:t>
            </w:r>
          </w:p>
        </w:tc>
        <w:tc>
          <w:tcPr>
            <w:tcW w:type="dxa" w:w="1376"/>
            <w:vAlign w:val="center"/>
          </w:tcPr>
          <w:p>
            <w:pPr>
              <w:keepNext/>
              <w:spacing w:after="0" w:line="240" w:lineRule="auto"/>
            </w:pPr>
            <w:r>
              <w:rPr>
                <w:rFonts w:ascii="Arial" w:hAnsi="Arial" w:eastAsia="Arial"/>
                <w:b w:val="0"/>
                <w:sz w:val="15"/>
              </w:rPr>
              <w:t>Adult municipality-year population</w:t>
            </w:r>
          </w:p>
        </w:tc>
        <w:tc>
          <w:tcPr>
            <w:tcW w:type="dxa" w:w="1376"/>
            <w:vAlign w:val="center"/>
          </w:tcPr>
          <w:p>
            <w:pPr>
              <w:keepNext/>
              <w:spacing w:after="0" w:line="240" w:lineRule="auto"/>
            </w:pPr>
            <w:r>
              <w:rPr>
                <w:rFonts w:ascii="Arial" w:hAnsi="Arial" w:eastAsia="Arial"/>
                <w:b w:val="0"/>
                <w:sz w:val="15"/>
              </w:rPr>
              <w:t>801,100,903 adult person-years in anchor audit</w:t>
            </w:r>
          </w:p>
        </w:tc>
        <w:tc>
          <w:tcPr>
            <w:tcW w:type="dxa" w:w="1376"/>
            <w:vAlign w:val="center"/>
          </w:tcPr>
          <w:p>
            <w:pPr>
              <w:keepNext/>
              <w:spacing w:after="0" w:line="240" w:lineRule="auto"/>
            </w:pPr>
            <w:r>
              <w:rPr>
                <w:rFonts w:ascii="Arial" w:hAnsi="Arial" w:eastAsia="Arial"/>
                <w:b w:val="0"/>
                <w:sz w:val="15"/>
              </w:rPr>
              <w:t>Population within 120 and cumulative 180 road-minutes of observed provider municipalities</w:t>
            </w:r>
          </w:p>
        </w:tc>
        <w:tc>
          <w:tcPr>
            <w:tcW w:type="dxa" w:w="1376"/>
            <w:vAlign w:val="center"/>
          </w:tcPr>
          <w:p>
            <w:pPr>
              <w:keepNext/>
              <w:spacing w:after="0" w:line="240" w:lineRule="auto"/>
            </w:pPr>
            <w:r>
              <w:rPr>
                <w:rFonts w:ascii="Arial" w:hAnsi="Arial" w:eastAsia="Arial"/>
                <w:b w:val="0"/>
                <w:sz w:val="15"/>
              </w:rPr>
              <w:t>Descriptive modelled opportunity</w:t>
            </w:r>
          </w:p>
        </w:tc>
        <w:tc>
          <w:tcPr>
            <w:tcW w:type="dxa" w:w="1376"/>
            <w:vAlign w:val="center"/>
          </w:tcPr>
          <w:p>
            <w:pPr>
              <w:keepNext/>
              <w:spacing w:after="0" w:line="240" w:lineRule="auto"/>
            </w:pPr>
            <w:r>
              <w:rPr>
                <w:rFonts w:ascii="Arial" w:hAnsi="Arial" w:eastAsia="Arial"/>
                <w:b w:val="0"/>
                <w:sz w:val="15"/>
              </w:rPr>
              <w:t>Invalid anchors remain unknown; one municipality unknown in 2025</w:t>
            </w:r>
          </w:p>
        </w:tc>
        <w:tc>
          <w:tcPr>
            <w:tcW w:type="dxa" w:w="1376"/>
            <w:vAlign w:val="center"/>
          </w:tcPr>
          <w:p>
            <w:pPr>
              <w:keepNext/>
              <w:spacing w:after="0" w:line="240" w:lineRule="auto"/>
            </w:pPr>
            <w:r>
              <w:rPr>
                <w:rFonts w:ascii="Arial" w:hAnsi="Arial" w:eastAsia="Arial"/>
                <w:b w:val="0"/>
                <w:sz w:val="15"/>
              </w:rPr>
              <w:t>National component reported; regional and vulnerability-gap components NOT_EVALUATED</w:t>
            </w:r>
          </w:p>
        </w:tc>
      </w:tr>
      <w:tr>
        <w:trPr>
          <w:cantSplit/>
        </w:trPr>
        <w:tc>
          <w:tcPr>
            <w:tcW w:type="dxa" w:w="1376"/>
            <w:vAlign w:val="center"/>
          </w:tcPr>
          <w:p>
            <w:pPr>
              <w:keepNext/>
              <w:spacing w:after="0" w:line="240" w:lineRule="auto"/>
            </w:pPr>
            <w:r>
              <w:rPr>
                <w:rFonts w:ascii="Arial" w:hAnsi="Arial" w:eastAsia="Arial"/>
                <w:b w:val="0"/>
                <w:sz w:val="15"/>
              </w:rPr>
              <w:t>Aim 3 patient-flow network</w:t>
            </w:r>
          </w:p>
        </w:tc>
        <w:tc>
          <w:tcPr>
            <w:tcW w:type="dxa" w:w="1376"/>
            <w:vAlign w:val="center"/>
          </w:tcPr>
          <w:p>
            <w:pPr>
              <w:keepNext/>
              <w:spacing w:after="0" w:line="240" w:lineRule="auto"/>
            </w:pPr>
            <w:r>
              <w:rPr>
                <w:rFonts w:ascii="Arial" w:hAnsi="Arial" w:eastAsia="Arial"/>
                <w:b w:val="0"/>
                <w:sz w:val="15"/>
              </w:rPr>
              <w:t>Observed residence-to-provider flows and pooled municipal projection</w:t>
            </w:r>
          </w:p>
        </w:tc>
        <w:tc>
          <w:tcPr>
            <w:tcW w:type="dxa" w:w="1376"/>
            <w:vAlign w:val="center"/>
          </w:tcPr>
          <w:p>
            <w:pPr>
              <w:keepNext/>
              <w:spacing w:after="0" w:line="240" w:lineRule="auto"/>
            </w:pPr>
            <w:r>
              <w:rPr>
                <w:rFonts w:ascii="Arial" w:hAnsi="Arial" w:eastAsia="Arial"/>
                <w:b w:val="0"/>
                <w:sz w:val="15"/>
              </w:rPr>
              <w:t>3,338 nodes; 166,959 shared-destination edges</w:t>
            </w:r>
          </w:p>
        </w:tc>
        <w:tc>
          <w:tcPr>
            <w:tcW w:type="dxa" w:w="1376"/>
            <w:vAlign w:val="center"/>
          </w:tcPr>
          <w:p>
            <w:pPr>
              <w:keepNext/>
              <w:spacing w:after="0" w:line="240" w:lineRule="auto"/>
            </w:pPr>
            <w:r>
              <w:rPr>
                <w:rFonts w:ascii="Arial" w:hAnsi="Arial" w:eastAsia="Arial"/>
                <w:b w:val="0"/>
                <w:sz w:val="15"/>
              </w:rPr>
              <w:t>Destination and shared-destination structure</w:t>
            </w:r>
          </w:p>
        </w:tc>
        <w:tc>
          <w:tcPr>
            <w:tcW w:type="dxa" w:w="1376"/>
            <w:vAlign w:val="center"/>
          </w:tcPr>
          <w:p>
            <w:pPr>
              <w:keepNext/>
              <w:spacing w:after="0" w:line="240" w:lineRule="auto"/>
            </w:pPr>
            <w:r>
              <w:rPr>
                <w:rFonts w:ascii="Arial" w:hAnsi="Arial" w:eastAsia="Arial"/>
                <w:b w:val="0"/>
                <w:sz w:val="15"/>
              </w:rPr>
              <w:t>Descriptive</w:t>
            </w:r>
          </w:p>
        </w:tc>
        <w:tc>
          <w:tcPr>
            <w:tcW w:type="dxa" w:w="1376"/>
            <w:vAlign w:val="center"/>
          </w:tcPr>
          <w:p>
            <w:pPr>
              <w:keepNext/>
              <w:spacing w:after="0" w:line="240" w:lineRule="auto"/>
            </w:pPr>
            <w:r>
              <w:rPr>
                <w:rFonts w:ascii="Arial" w:hAnsi="Arial" w:eastAsia="Arial"/>
                <w:b w:val="0"/>
                <w:sz w:val="15"/>
              </w:rPr>
              <w:t>Public cells below 5 suppressed; no patient-to-patient interpretation</w:t>
            </w:r>
          </w:p>
        </w:tc>
        <w:tc>
          <w:tcPr>
            <w:tcW w:type="dxa" w:w="1376"/>
            <w:vAlign w:val="center"/>
          </w:tcPr>
          <w:p>
            <w:pPr>
              <w:keepNext/>
              <w:spacing w:after="0" w:line="240" w:lineRule="auto"/>
            </w:pPr>
            <w:r>
              <w:rPr>
                <w:rFonts w:ascii="Arial" w:hAnsi="Arial" w:eastAsia="Arial"/>
                <w:b w:val="0"/>
                <w:sz w:val="15"/>
              </w:rPr>
              <w:t>Reported</w:t>
            </w:r>
          </w:p>
        </w:tc>
      </w:tr>
      <w:tr>
        <w:trPr>
          <w:cantSplit/>
        </w:trPr>
        <w:tc>
          <w:tcPr>
            <w:tcW w:type="dxa" w:w="1376"/>
            <w:vAlign w:val="center"/>
          </w:tcPr>
          <w:p>
            <w:pPr>
              <w:keepNext/>
              <w:spacing w:after="0" w:line="240" w:lineRule="auto"/>
            </w:pPr>
            <w:r>
              <w:rPr>
                <w:rFonts w:ascii="Arial" w:hAnsi="Arial" w:eastAsia="Arial"/>
                <w:b w:val="0"/>
                <w:sz w:val="15"/>
              </w:rPr>
              <w:t>Aim 3 service areas</w:t>
            </w:r>
          </w:p>
        </w:tc>
        <w:tc>
          <w:tcPr>
            <w:tcW w:type="dxa" w:w="1376"/>
            <w:vAlign w:val="center"/>
          </w:tcPr>
          <w:p>
            <w:pPr>
              <w:keepNext/>
              <w:spacing w:after="0" w:line="240" w:lineRule="auto"/>
            </w:pPr>
            <w:r>
              <w:rPr>
                <w:rFonts w:ascii="Arial" w:hAnsi="Arial" w:eastAsia="Arial"/>
                <w:b w:val="0"/>
                <w:sz w:val="15"/>
              </w:rPr>
              <w:t>Residence municipality-year records</w:t>
            </w:r>
          </w:p>
        </w:tc>
        <w:tc>
          <w:tcPr>
            <w:tcW w:type="dxa" w:w="1376"/>
            <w:vAlign w:val="center"/>
          </w:tcPr>
          <w:p>
            <w:pPr>
              <w:keepNext/>
              <w:spacing w:after="0" w:line="240" w:lineRule="auto"/>
            </w:pPr>
            <w:r>
              <w:rPr>
                <w:rFonts w:ascii="Arial" w:hAnsi="Arial" w:eastAsia="Arial"/>
                <w:b w:val="0"/>
                <w:sz w:val="15"/>
              </w:rPr>
              <w:t>5,565 municipal IVS records for contextual summaries</w:t>
            </w:r>
          </w:p>
        </w:tc>
        <w:tc>
          <w:tcPr>
            <w:tcW w:type="dxa" w:w="1376"/>
            <w:vAlign w:val="center"/>
          </w:tcPr>
          <w:p>
            <w:pPr>
              <w:keepNext/>
              <w:spacing w:after="0" w:line="240" w:lineRule="auto"/>
            </w:pPr>
            <w:r>
              <w:rPr>
                <w:rFonts w:ascii="Arial" w:hAnsi="Arial" w:eastAsia="Arial"/>
                <w:b w:val="0"/>
                <w:sz w:val="15"/>
              </w:rPr>
              <w:t>Modal observed destination and destination share</w:t>
            </w:r>
          </w:p>
        </w:tc>
        <w:tc>
          <w:tcPr>
            <w:tcW w:type="dxa" w:w="1376"/>
            <w:vAlign w:val="center"/>
          </w:tcPr>
          <w:p>
            <w:pPr>
              <w:keepNext/>
              <w:spacing w:after="0" w:line="240" w:lineRule="auto"/>
            </w:pPr>
            <w:r>
              <w:rPr>
                <w:rFonts w:ascii="Arial" w:hAnsi="Arial" w:eastAsia="Arial"/>
                <w:b w:val="0"/>
                <w:sz w:val="15"/>
              </w:rPr>
              <w:t>Descriptive</w:t>
            </w:r>
          </w:p>
        </w:tc>
        <w:tc>
          <w:tcPr>
            <w:tcW w:type="dxa" w:w="1376"/>
            <w:vAlign w:val="center"/>
          </w:tcPr>
          <w:p>
            <w:pPr>
              <w:keepNext/>
              <w:spacing w:after="0" w:line="240" w:lineRule="auto"/>
            </w:pPr>
            <w:r>
              <w:rPr>
                <w:rFonts w:ascii="Arial" w:hAnsi="Arial" w:eastAsia="Arial"/>
                <w:b w:val="0"/>
                <w:sz w:val="15"/>
              </w:rPr>
              <w:t>Suppressed flows remain suppressed; no need or appropriateness inference</w:t>
            </w:r>
          </w:p>
        </w:tc>
        <w:tc>
          <w:tcPr>
            <w:tcW w:type="dxa" w:w="1376"/>
            <w:vAlign w:val="center"/>
          </w:tcPr>
          <w:p>
            <w:pPr>
              <w:keepNext/>
              <w:spacing w:after="0" w:line="240" w:lineRule="auto"/>
            </w:pPr>
            <w:r>
              <w:rPr>
                <w:rFonts w:ascii="Arial" w:hAnsi="Arial" w:eastAsia="Arial"/>
                <w:b w:val="0"/>
                <w:sz w:val="15"/>
              </w:rPr>
              <w:t>Reported</w:t>
            </w:r>
          </w:p>
        </w:tc>
      </w:tr>
      <w:tr>
        <w:trPr>
          <w:cantSplit/>
        </w:trPr>
        <w:tc>
          <w:tcPr>
            <w:tcW w:type="dxa" w:w="1376"/>
            <w:vAlign w:val="center"/>
          </w:tcPr>
          <w:p>
            <w:pPr>
              <w:keepNext/>
              <w:spacing w:after="0" w:line="240" w:lineRule="auto"/>
            </w:pPr>
            <w:r>
              <w:rPr>
                <w:rFonts w:ascii="Arial" w:hAnsi="Arial" w:eastAsia="Arial"/>
                <w:b w:val="0"/>
                <w:sz w:val="15"/>
              </w:rPr>
              <w:t>Aim 3 structural resilience</w:t>
            </w:r>
          </w:p>
        </w:tc>
        <w:tc>
          <w:tcPr>
            <w:tcW w:type="dxa" w:w="1376"/>
            <w:vAlign w:val="center"/>
          </w:tcPr>
          <w:p>
            <w:pPr>
              <w:keepNext/>
              <w:spacing w:after="0" w:line="240" w:lineRule="auto"/>
            </w:pPr>
            <w:r>
              <w:rPr>
                <w:rFonts w:ascii="Arial" w:hAnsi="Arial" w:eastAsia="Arial"/>
                <w:b w:val="0"/>
                <w:sz w:val="15"/>
              </w:rPr>
              <w:t>Potential-access matrix / adults</w:t>
            </w:r>
          </w:p>
        </w:tc>
        <w:tc>
          <w:tcPr>
            <w:tcW w:type="dxa" w:w="1376"/>
            <w:vAlign w:val="center"/>
          </w:tcPr>
          <w:p>
            <w:pPr>
              <w:keepNext/>
              <w:spacing w:after="0" w:line="240" w:lineRule="auto"/>
            </w:pPr>
            <w:r>
              <w:rPr>
                <w:rFonts w:ascii="Arial" w:hAnsi="Arial" w:eastAsia="Arial"/>
                <w:b w:val="0"/>
                <w:sz w:val="15"/>
              </w:rPr>
              <w:t>8,723,036 matrix rows; 142,299 reachable rows</w:t>
            </w:r>
          </w:p>
        </w:tc>
        <w:tc>
          <w:tcPr>
            <w:tcW w:type="dxa" w:w="1376"/>
            <w:vAlign w:val="center"/>
          </w:tcPr>
          <w:p>
            <w:pPr>
              <w:keepNext/>
              <w:spacing w:after="0" w:line="240" w:lineRule="auto"/>
            </w:pPr>
            <w:r>
              <w:rPr>
                <w:rFonts w:ascii="Arial" w:hAnsi="Arial" w:eastAsia="Arial"/>
                <w:b w:val="0"/>
                <w:sz w:val="15"/>
              </w:rPr>
              <w:t>Adults losing an alternative provider under targeted hub removal</w:t>
            </w:r>
          </w:p>
        </w:tc>
        <w:tc>
          <w:tcPr>
            <w:tcW w:type="dxa" w:w="1376"/>
            <w:vAlign w:val="center"/>
          </w:tcPr>
          <w:p>
            <w:pPr>
              <w:keepNext/>
              <w:spacing w:after="0" w:line="240" w:lineRule="auto"/>
            </w:pPr>
            <w:r>
              <w:rPr>
                <w:rFonts w:ascii="Arial" w:hAnsi="Arial" w:eastAsia="Arial"/>
                <w:b w:val="0"/>
                <w:sz w:val="15"/>
              </w:rPr>
              <w:t>Descriptive structural stress test</w:t>
            </w:r>
          </w:p>
        </w:tc>
        <w:tc>
          <w:tcPr>
            <w:tcW w:type="dxa" w:w="1376"/>
            <w:vAlign w:val="center"/>
          </w:tcPr>
          <w:p>
            <w:pPr>
              <w:keepNext/>
              <w:spacing w:after="0" w:line="240" w:lineRule="auto"/>
            </w:pPr>
            <w:r>
              <w:rPr>
                <w:rFonts w:ascii="Arial" w:hAnsi="Arial" w:eastAsia="Arial"/>
                <w:b w:val="0"/>
                <w:sz w:val="15"/>
              </w:rPr>
              <w:t>Complete-case and upper-bound handling retain unknown anchors</w:t>
            </w:r>
          </w:p>
        </w:tc>
        <w:tc>
          <w:tcPr>
            <w:tcW w:type="dxa" w:w="1376"/>
            <w:vAlign w:val="center"/>
          </w:tcPr>
          <w:p>
            <w:pPr>
              <w:keepNext/>
              <w:spacing w:after="0" w:line="240" w:lineRule="auto"/>
            </w:pPr>
            <w:r>
              <w:rPr>
                <w:rFonts w:ascii="Arial" w:hAnsi="Arial" w:eastAsia="Arial"/>
                <w:b w:val="0"/>
                <w:sz w:val="15"/>
              </w:rPr>
              <w:t>Reported as a structural stress test; not a real-world counterfactual</w:t>
            </w:r>
          </w:p>
        </w:tc>
      </w:tr>
      <w:tr>
        <w:trPr>
          <w:cantSplit/>
        </w:trPr>
        <w:tc>
          <w:tcPr>
            <w:tcW w:type="dxa" w:w="1376"/>
            <w:vAlign w:val="center"/>
          </w:tcPr>
          <w:p>
            <w:pPr>
              <w:keepNext/>
              <w:spacing w:after="0" w:line="240" w:lineRule="auto"/>
            </w:pPr>
            <w:r>
              <w:rPr>
                <w:rFonts w:ascii="Arial" w:hAnsi="Arial" w:eastAsia="Arial"/>
                <w:b w:val="0"/>
                <w:sz w:val="15"/>
              </w:rPr>
              <w:t>Aim 4 supportive outcome</w:t>
            </w:r>
          </w:p>
        </w:tc>
        <w:tc>
          <w:tcPr>
            <w:tcW w:type="dxa" w:w="1376"/>
            <w:vAlign w:val="center"/>
          </w:tcPr>
          <w:p>
            <w:pPr>
              <w:keepNext/>
              <w:spacing w:after="0" w:line="240" w:lineRule="auto"/>
            </w:pPr>
            <w:r>
              <w:rPr>
                <w:rFonts w:ascii="Arial" w:hAnsi="Arial" w:eastAsia="Arial"/>
                <w:b w:val="0"/>
                <w:sz w:val="15"/>
              </w:rPr>
              <w:t>Cohort B complete-context AIHs</w:t>
            </w:r>
          </w:p>
        </w:tc>
        <w:tc>
          <w:tcPr>
            <w:tcW w:type="dxa" w:w="1376"/>
            <w:vAlign w:val="center"/>
          </w:tcPr>
          <w:p>
            <w:pPr>
              <w:keepNext/>
              <w:spacing w:after="0" w:line="240" w:lineRule="auto"/>
            </w:pPr>
            <w:r>
              <w:rPr>
                <w:rFonts w:ascii="Arial" w:hAnsi="Arial" w:eastAsia="Arial"/>
                <w:b w:val="0"/>
                <w:sz w:val="15"/>
              </w:rPr>
              <w:t>30,900 AIHs; 378 deaths; 360 hospitals</w:t>
            </w:r>
          </w:p>
        </w:tc>
        <w:tc>
          <w:tcPr>
            <w:tcW w:type="dxa" w:w="1376"/>
            <w:vAlign w:val="center"/>
          </w:tcPr>
          <w:p>
            <w:pPr>
              <w:keepNext/>
              <w:spacing w:after="0" w:line="240" w:lineRule="auto"/>
            </w:pPr>
            <w:r>
              <w:rPr>
                <w:rFonts w:ascii="Arial" w:hAnsi="Arial" w:eastAsia="Arial"/>
                <w:b w:val="0"/>
                <w:sz w:val="15"/>
              </w:rPr>
              <w:t>Standardised risk contrast at hospital-volume p90 versus p10</w:t>
            </w:r>
          </w:p>
        </w:tc>
        <w:tc>
          <w:tcPr>
            <w:tcW w:type="dxa" w:w="1376"/>
            <w:vAlign w:val="center"/>
          </w:tcPr>
          <w:p>
            <w:pPr>
              <w:keepNext/>
              <w:spacing w:after="0" w:line="240" w:lineRule="auto"/>
            </w:pPr>
            <w:r>
              <w:rPr>
                <w:rFonts w:ascii="Arial" w:hAnsi="Arial" w:eastAsia="Arial"/>
                <w:b w:val="0"/>
                <w:sz w:val="15"/>
              </w:rPr>
              <w:t>Associational/supportive</w:t>
            </w:r>
          </w:p>
        </w:tc>
        <w:tc>
          <w:tcPr>
            <w:tcW w:type="dxa" w:w="1376"/>
            <w:vAlign w:val="center"/>
          </w:tcPr>
          <w:p>
            <w:pPr>
              <w:keepNext/>
              <w:spacing w:after="0" w:line="240" w:lineRule="auto"/>
            </w:pPr>
            <w:r>
              <w:rPr>
                <w:rFonts w:ascii="Arial" w:hAnsi="Arial" w:eastAsia="Arial"/>
                <w:b w:val="0"/>
                <w:sz w:val="15"/>
              </w:rPr>
              <w:t>Complete-context design; no imputation-based alternative was used</w:t>
            </w:r>
          </w:p>
        </w:tc>
        <w:tc>
          <w:tcPr>
            <w:tcW w:type="dxa" w:w="1376"/>
            <w:vAlign w:val="center"/>
          </w:tcPr>
          <w:p>
            <w:pPr>
              <w:keepNext/>
              <w:spacing w:after="0" w:line="240" w:lineRule="auto"/>
            </w:pPr>
            <w:r>
              <w:rPr>
                <w:rFonts w:ascii="Arial" w:hAnsi="Arial" w:eastAsia="Arial"/>
                <w:b w:val="0"/>
                <w:sz w:val="15"/>
              </w:rPr>
              <w:t>Bootstrap DOWNGRADE; formal CI NOT_EVALUATED</w:t>
            </w:r>
          </w:p>
        </w:tc>
      </w:tr>
      <w:tr>
        <w:trPr>
          <w:cantSplit/>
        </w:trPr>
        <w:tc>
          <w:tcPr>
            <w:tcW w:type="dxa" w:w="1376"/>
            <w:vAlign w:val="center"/>
          </w:tcPr>
          <w:p>
            <w:pPr>
              <w:keepNext w:val="0"/>
              <w:spacing w:after="0" w:line="240" w:lineRule="auto"/>
            </w:pPr>
            <w:r>
              <w:rPr>
                <w:rFonts w:ascii="Arial" w:hAnsi="Arial" w:eastAsia="Arial"/>
                <w:b w:val="0"/>
                <w:sz w:val="15"/>
              </w:rPr>
              <w:t>Planned staggered-uptake analysis</w:t>
            </w:r>
          </w:p>
        </w:tc>
        <w:tc>
          <w:tcPr>
            <w:tcW w:type="dxa" w:w="1376"/>
            <w:vAlign w:val="center"/>
          </w:tcPr>
          <w:p>
            <w:pPr>
              <w:keepNext w:val="0"/>
              <w:spacing w:after="0" w:line="240" w:lineRule="auto"/>
            </w:pPr>
            <w:r>
              <w:rPr>
                <w:rFonts w:ascii="Arial" w:hAnsi="Arial" w:eastAsia="Arial"/>
                <w:b w:val="0"/>
                <w:sz w:val="15"/>
              </w:rPr>
              <w:t>Hospital-month design</w:t>
            </w:r>
          </w:p>
        </w:tc>
        <w:tc>
          <w:tcPr>
            <w:tcW w:type="dxa" w:w="1376"/>
            <w:vAlign w:val="center"/>
          </w:tcPr>
          <w:p>
            <w:pPr>
              <w:keepNext w:val="0"/>
              <w:spacing w:after="0" w:line="240" w:lineRule="auto"/>
            </w:pPr>
            <w:r>
              <w:rPr>
                <w:rFonts w:ascii="Arial" w:hAnsi="Arial" w:eastAsia="Arial"/>
                <w:b w:val="0"/>
                <w:sz w:val="15"/>
              </w:rPr>
              <w:t>No pre-first-observed-use hospital-months</w:t>
            </w:r>
          </w:p>
        </w:tc>
        <w:tc>
          <w:tcPr>
            <w:tcW w:type="dxa" w:w="1376"/>
            <w:vAlign w:val="center"/>
          </w:tcPr>
          <w:p>
            <w:pPr>
              <w:keepNext w:val="0"/>
              <w:spacing w:after="0" w:line="240" w:lineRule="auto"/>
            </w:pPr>
            <w:r>
              <w:rPr>
                <w:rFonts w:ascii="Arial" w:hAnsi="Arial" w:eastAsia="Arial"/>
                <w:b w:val="0"/>
                <w:sz w:val="15"/>
              </w:rPr>
              <w:t>Planned quasi-causal family</w:t>
            </w:r>
          </w:p>
        </w:tc>
        <w:tc>
          <w:tcPr>
            <w:tcW w:type="dxa" w:w="1376"/>
            <w:vAlign w:val="center"/>
          </w:tcPr>
          <w:p>
            <w:pPr>
              <w:keepNext w:val="0"/>
              <w:spacing w:after="0" w:line="240" w:lineRule="auto"/>
            </w:pPr>
            <w:r>
              <w:rPr>
                <w:rFonts w:ascii="Arial" w:hAnsi="Arial" w:eastAsia="Arial"/>
                <w:b w:val="0"/>
                <w:sz w:val="15"/>
              </w:rPr>
              <w:t>Not a release result</w:t>
            </w:r>
          </w:p>
        </w:tc>
        <w:tc>
          <w:tcPr>
            <w:tcW w:type="dxa" w:w="1376"/>
            <w:vAlign w:val="center"/>
          </w:tcPr>
          <w:p>
            <w:pPr>
              <w:keepNext w:val="0"/>
              <w:spacing w:after="0" w:line="240" w:lineRule="auto"/>
            </w:pPr>
            <w:r>
              <w:rPr>
                <w:rFonts w:ascii="Arial" w:hAnsi="Arial" w:eastAsia="Arial"/>
                <w:b w:val="0"/>
                <w:sz w:val="15"/>
              </w:rPr>
              <w:t>Structural absence of pre-period observations</w:t>
            </w:r>
          </w:p>
        </w:tc>
        <w:tc>
          <w:tcPr>
            <w:tcW w:type="dxa" w:w="1376"/>
            <w:vAlign w:val="center"/>
          </w:tcPr>
          <w:p>
            <w:pPr>
              <w:keepNext w:val="0"/>
              <w:spacing w:after="0" w:line="240" w:lineRule="auto"/>
            </w:pPr>
            <w:r>
              <w:rPr>
                <w:rFonts w:ascii="Arial" w:hAnsi="Arial" w:eastAsia="Arial"/>
                <w:b w:val="0"/>
                <w:sz w:val="15"/>
              </w:rPr>
              <w:t>Not reported because pre-period observations were unavailable</w:t>
            </w:r>
          </w:p>
        </w:tc>
      </w:tr>
    </w:tbl>
    <w:p>
      <w:pPr>
        <w:spacing w:after="160"/>
      </w:pPr>
      <w:r>
        <w:rPr>
          <w:i/>
          <w:sz w:val="16"/>
        </w:rPr>
        <w:t>AIH, Autorização de Internação Hospitalar; ERCP, endoscopic retrograde cholangiopancreatography.</w:t>
      </w:r>
    </w:p>
    <w:p>
      <w:pPr>
        <w:pStyle w:val="Heading1"/>
      </w:pPr>
      <w:r>
        <w:t>Observed uptake and maintenance diagnostics</w:t>
      </w:r>
    </w:p>
    <w:p>
      <w:pPr>
        <w:widowControl/>
        <w:jc w:val="both"/>
      </w:pPr>
      <w:r>
        <w:t>Observed uptake was defined as first observed coded use rather than true adoption. Maintenance required coded activity in at least six months of the first complete 12-month window; only hospitals with a fully observable window entered the denominator. The first-observed-use model had limited events per parameter and was interpreted as associational.</w:t>
      </w:r>
    </w:p>
    <w:p>
      <w:pPr>
        <w:pStyle w:val="Heading1"/>
      </w:pPr>
      <w:r>
        <w:t>Ecological equity, routing, and potential reach</w:t>
      </w:r>
    </w:p>
    <w:p>
      <w:pPr>
        <w:widowControl/>
        <w:jc w:val="both"/>
      </w:pPr>
      <w:r>
        <w:t>The 2010 municipal IVS was carried forward as a static ranked ecological exposure through 2025. The RII was 0.55 and the SII was -2.56 treated AIHs per 100,000 adults. These estimates do not identify individual socioeconomic effects.</w:t>
      </w:r>
    </w:p>
    <w:p>
      <w:pPr>
        <w:widowControl/>
        <w:jc w:val="both"/>
      </w:pPr>
      <w:r>
        <w:t>Realised route estimates were available for 33,321 Cohort B AIHs. The flow-weighted median was 23.2 minutes, the 90th percentile was 213.4 minutes, and 20.7% exceeded 120 minutes. Municipal anchors approximate locations rather than patient addresses or observed journeys.</w:t>
      </w:r>
    </w:p>
    <w:p>
      <w:pPr>
        <w:widowControl/>
        <w:jc w:val="both"/>
      </w:pPr>
      <w:r>
        <w:t>All 456 provider-threshold routing entries were completed. IBGE city-seat anchors were substituted for municipalities 314800, 330010, and 510790 only after their original anchors returned Point not found. Twenty-nine timeout-only municipalities retained their original anchors with a longer runtime. Because raw contours were non-nested for 58 providers, cumulative 180-minute reach used the union of the 120- and 180-minute polygons. Adult person-year anchor coverage was 99.999504%; one municipality remained without a valid anchor in 2025. National 120-minute potential reach increased from 71.9% to 82.1%, and cumulative 180-minute reach from 81.2% to 90.4%. Regional coverage and a municipal vulnerability-gap analysis were not evaluated because the required region mapping and municipality-level IVS join were unavailable.</w:t>
      </w:r>
    </w:p>
    <w:p>
      <w:pPr>
        <w:widowControl/>
        <w:jc w:val="both"/>
      </w:pPr>
      <w:r>
        <w:t>The prespecified modified-Poisson model produced some standardised potential-coverage predictions above 1. This model family was therefore downgraded and its predictions were excluded from formal inference. The descriptive national coverage series remains reported separately.</w:t>
      </w:r>
    </w:p>
    <w:p>
      <w:pPr>
        <w:pStyle w:val="Heading1"/>
      </w:pPr>
      <w:r>
        <w:t>Patient-flow network, service areas, privacy, and structural resilience</w:t>
      </w:r>
    </w:p>
    <w:p>
      <w:pPr>
        <w:widowControl/>
        <w:jc w:val="both"/>
      </w:pPr>
      <w:r>
        <w:t>The pooled municipal projection contained 3,338 nodes and 166,959 shared-destination edges. Public network displays suppressed counts below five, and suppressed values were not imputed. Centrality and service-area summaries do not establish referral quality, capacity, or appropriateness.</w:t>
      </w:r>
    </w:p>
    <w:p>
      <w:pPr>
        <w:widowControl/>
        <w:jc w:val="both"/>
      </w:pPr>
      <w:r>
        <w:t>Structural resilience was examined by sequential removal of prespecified high-in-strength hubs and comparison with seeded random removal at k=1, 5, 10, and 20. Each threshold-scenario used 1,000 replicates with seed 20260830. Random 2.5th–97.5th percentile envelopes are simulation benchmarks, not confidence intervals. At 180 minutes, targeted removal of 5, 10, and 20 hubs newly uncovered 11.3, 25.5, and 33.5 million adults, compared with random means of 3.1, 6.4, and 12.3 million. The stress test does not model facility closure, capacity redistribution, behavioural adaptation, or actual rerouting.</w:t>
      </w:r>
    </w:p>
    <w:p>
      <w:pPr>
        <w:keepNext/>
        <w:jc w:val="center"/>
      </w:pPr>
      <w:r>
        <w:drawing>
          <wp:inline xmlns:a="http://schemas.openxmlformats.org/drawingml/2006/main" xmlns:pic="http://schemas.openxmlformats.org/drawingml/2006/picture">
            <wp:extent cx="5715000" cy="3747411"/>
            <wp:docPr id="1" name="Picture 1"/>
            <wp:cNvGraphicFramePr>
              <a:graphicFrameLocks noChangeAspect="1"/>
            </wp:cNvGraphicFramePr>
            <a:graphic>
              <a:graphicData uri="http://schemas.openxmlformats.org/drawingml/2006/picture">
                <pic:pic>
                  <pic:nvPicPr>
                    <pic:cNvPr id="0" name="Supplementary_Figure_1.png"/>
                    <pic:cNvPicPr/>
                  </pic:nvPicPr>
                  <pic:blipFill>
                    <a:blip r:embed="rId9"/>
                    <a:stretch>
                      <a:fillRect/>
                    </a:stretch>
                  </pic:blipFill>
                  <pic:spPr>
                    <a:xfrm>
                      <a:off x="0" y="0"/>
                      <a:ext cx="5715000" cy="3747411"/>
                    </a:xfrm>
                    <a:prstGeom prst="rect"/>
                  </pic:spPr>
                </pic:pic>
              </a:graphicData>
            </a:graphic>
          </wp:inline>
        </w:drawing>
      </w:r>
    </w:p>
    <w:p>
      <w:pPr>
        <w:spacing w:after="160"/>
      </w:pPr>
      <w:r>
        <w:rPr>
          <w:b/>
          <w:sz w:val="18"/>
        </w:rPr>
        <w:t>Supplementary Figure 1. Structural hub-removal stress test. Targeted high-in-strength hub removal is compared with seeded random-removal benchmarks. This is a structural stress test, not a prediction of real-world closure or rerouting.</w:t>
      </w:r>
    </w:p>
    <w:p>
      <w:pPr>
        <w:pStyle w:val="Heading1"/>
      </w:pPr>
      <w:r>
        <w:t>Supportive in-hospital outcome analysis</w:t>
      </w:r>
    </w:p>
    <w:p>
      <w:pPr>
        <w:widowControl/>
        <w:jc w:val="both"/>
      </w:pPr>
      <w:r>
        <w:t>The outcome was in-hospital death. Exposure was trailing 12-month all-indication unique Cohort A ERCP AIH volume at the treating hospital, represented by a four-knot restricted cubic spline. The complete model included prespecified patient, hospital, contextual, provider-state, and calendar-month terms. ICU use, length of stay, reimbursement, and other post-exposure variables were excluded. Reimbursement is a payment field, not a measure of cost.</w:t>
      </w:r>
    </w:p>
    <w:p>
      <w:pPr>
        <w:widowControl/>
        <w:jc w:val="both"/>
      </w:pPr>
      <w:r>
        <w:t>Separation diagnostics triggered two prespecified bias-reduced estimators. Standardised risks at volume p10 and p90 were 0.014341850368641714 and 0.014306146454349527; the risk difference was -0.000035703914292186875 and the risk ratio was 0.9975105085205566. These are associational point estimates. Their numerical proximity does not establish no association or equivalence.</w:t>
      </w:r>
    </w:p>
    <w:p>
      <w:pPr>
        <w:widowControl/>
        <w:jc w:val="both"/>
      </w:pPr>
      <w:r>
        <w:t>The hospital-cluster bootstrap used 2,000 replicates and seed 20260830. Formal inferential reporting required at least 1,900 valid replicates; 1,800–1,899 would support exploratory reporting, and fewer than 1,800 required downgrade. Only 618 AS_mean and 617 MPL_Jeffreys replicates were valid. Formal percentile intervals were therefore not evaluated, and bootstrap quantiles are not presented as confidence intervals. Among failed replicates, AS_mean had 726 nonconvergence and 656 rank-deficient failures; MPL_Jeffreys had 726 nonconvergence, 656 rank-deficient failures, and one unclassified failure. These categories concern computational validity rather than clinical heterogeneity. No reduced model, altered seed, lower replicate target, or substitute interval was used.</w:t>
      </w:r>
    </w:p>
    <w:p>
      <w:pPr>
        <w:pStyle w:val="Heading1"/>
      </w:pPr>
      <w:r>
        <w:t>Planned quasi-causal analysis</w:t>
      </w:r>
    </w:p>
    <w:p>
      <w:pPr>
        <w:widowControl/>
        <w:jc w:val="both"/>
      </w:pPr>
      <w:r>
        <w:t>No hospital-months preceded first observed coded use, so the prespecified causal eligibility condition could not be met. Quasi-causal estimates, negative controls, and associated robustness analyses are not presented. This absence is not a null finding.</w:t>
      </w:r>
    </w:p>
    <w:p>
      <w:pPr>
        <w:pStyle w:val="Heading1"/>
      </w:pPr>
      <w:r>
        <w:t>Additional figure and tables</w:t>
      </w:r>
    </w:p>
    <w:p>
      <w:pPr>
        <w:keepNext/>
      </w:pPr>
      <w:r>
        <w:rPr>
          <w:b/>
          <w:sz w:val="19"/>
        </w:rPr>
        <w:t>Supplementary Table 3. Ecological equity, travel, potential reach, and network measures.</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cantSplit/>
          <w:tblHeader w:val="true"/>
        </w:trPr>
        <w:tc>
          <w:tcPr>
            <w:tcW w:type="dxa" w:w="1926"/>
            <w:vAlign w:val="center"/>
            <w:shd w:fill="D9EAF7"/>
          </w:tcPr>
          <w:p>
            <w:pPr>
              <w:keepNext/>
              <w:spacing w:after="0" w:line="240" w:lineRule="auto"/>
            </w:pPr>
            <w:r>
              <w:rPr>
                <w:rFonts w:ascii="Arial" w:hAnsi="Arial" w:eastAsia="Arial"/>
                <w:b/>
                <w:sz w:val="13"/>
              </w:rPr>
              <w:t>Measure</w:t>
            </w:r>
          </w:p>
        </w:tc>
        <w:tc>
          <w:tcPr>
            <w:tcW w:type="dxa" w:w="1926"/>
            <w:vAlign w:val="center"/>
            <w:shd w:fill="D9EAF7"/>
          </w:tcPr>
          <w:p>
            <w:pPr>
              <w:keepNext/>
              <w:spacing w:after="0" w:line="240" w:lineRule="auto"/>
            </w:pPr>
            <w:r>
              <w:rPr>
                <w:rFonts w:ascii="Arial" w:hAnsi="Arial" w:eastAsia="Arial"/>
                <w:b/>
                <w:sz w:val="13"/>
              </w:rPr>
              <w:t>Value</w:t>
            </w:r>
          </w:p>
        </w:tc>
        <w:tc>
          <w:tcPr>
            <w:tcW w:type="dxa" w:w="1926"/>
            <w:vAlign w:val="center"/>
            <w:shd w:fill="D9EAF7"/>
          </w:tcPr>
          <w:p>
            <w:pPr>
              <w:keepNext/>
              <w:spacing w:after="0" w:line="240" w:lineRule="auto"/>
            </w:pPr>
            <w:r>
              <w:rPr>
                <w:rFonts w:ascii="Arial" w:hAnsi="Arial" w:eastAsia="Arial"/>
                <w:b/>
                <w:sz w:val="13"/>
              </w:rPr>
              <w:t>Denominator</w:t>
            </w:r>
          </w:p>
        </w:tc>
        <w:tc>
          <w:tcPr>
            <w:tcW w:type="dxa" w:w="1926"/>
            <w:vAlign w:val="center"/>
            <w:shd w:fill="D9EAF7"/>
          </w:tcPr>
          <w:p>
            <w:pPr>
              <w:keepNext/>
              <w:spacing w:after="0" w:line="240" w:lineRule="auto"/>
            </w:pPr>
            <w:r>
              <w:rPr>
                <w:rFonts w:ascii="Arial" w:hAnsi="Arial" w:eastAsia="Arial"/>
                <w:b/>
                <w:sz w:val="13"/>
              </w:rPr>
              <w:t>Evidence</w:t>
            </w:r>
          </w:p>
        </w:tc>
        <w:tc>
          <w:tcPr>
            <w:tcW w:type="dxa" w:w="1926"/>
            <w:vAlign w:val="center"/>
            <w:shd w:fill="D9EAF7"/>
          </w:tcPr>
          <w:p>
            <w:pPr>
              <w:keepNext/>
              <w:spacing w:after="0" w:line="240" w:lineRule="auto"/>
            </w:pPr>
            <w:r>
              <w:rPr>
                <w:rFonts w:ascii="Arial" w:hAnsi="Arial" w:eastAsia="Arial"/>
                <w:b/>
                <w:sz w:val="13"/>
              </w:rPr>
              <w:t>Key limitation</w:t>
            </w:r>
          </w:p>
        </w:tc>
      </w:tr>
      <w:tr>
        <w:trPr>
          <w:cantSplit/>
        </w:trPr>
        <w:tc>
          <w:tcPr>
            <w:tcW w:type="dxa" w:w="1926"/>
            <w:vAlign w:val="center"/>
          </w:tcPr>
          <w:p>
            <w:pPr>
              <w:keepNext/>
              <w:spacing w:after="0" w:line="240" w:lineRule="auto"/>
            </w:pPr>
            <w:r>
              <w:rPr>
                <w:rFonts w:ascii="Arial" w:hAnsi="Arial" w:eastAsia="Arial"/>
                <w:b w:val="0"/>
                <w:sz w:val="13"/>
              </w:rPr>
              <w:t>IVS relative index of inequality</w:t>
            </w:r>
          </w:p>
        </w:tc>
        <w:tc>
          <w:tcPr>
            <w:tcW w:type="dxa" w:w="1926"/>
            <w:vAlign w:val="center"/>
          </w:tcPr>
          <w:p>
            <w:pPr>
              <w:keepNext/>
              <w:spacing w:after="0" w:line="240" w:lineRule="auto"/>
            </w:pPr>
            <w:r>
              <w:rPr>
                <w:rFonts w:ascii="Arial" w:hAnsi="Arial" w:eastAsia="Arial"/>
                <w:b w:val="0"/>
                <w:sz w:val="13"/>
              </w:rPr>
              <w:t>0.55</w:t>
            </w:r>
          </w:p>
        </w:tc>
        <w:tc>
          <w:tcPr>
            <w:tcW w:type="dxa" w:w="1926"/>
            <w:vAlign w:val="center"/>
          </w:tcPr>
          <w:p>
            <w:pPr>
              <w:keepNext/>
              <w:spacing w:after="0" w:line="240" w:lineRule="auto"/>
            </w:pPr>
            <w:r>
              <w:rPr>
                <w:rFonts w:ascii="Arial" w:hAnsi="Arial" w:eastAsia="Arial"/>
                <w:b w:val="0"/>
                <w:sz w:val="13"/>
              </w:rPr>
              <w:t>27,825 municipality-years</w:t>
            </w:r>
          </w:p>
        </w:tc>
        <w:tc>
          <w:tcPr>
            <w:tcW w:type="dxa" w:w="1926"/>
            <w:vAlign w:val="center"/>
          </w:tcPr>
          <w:p>
            <w:pPr>
              <w:keepNext/>
              <w:spacing w:after="0" w:line="240" w:lineRule="auto"/>
            </w:pPr>
            <w:r>
              <w:rPr>
                <w:rFonts w:ascii="Arial" w:hAnsi="Arial" w:eastAsia="Arial"/>
                <w:b w:val="0"/>
                <w:sz w:val="13"/>
              </w:rPr>
              <w:t>associational</w:t>
            </w:r>
          </w:p>
        </w:tc>
        <w:tc>
          <w:tcPr>
            <w:tcW w:type="dxa" w:w="1926"/>
            <w:vAlign w:val="center"/>
          </w:tcPr>
          <w:p>
            <w:pPr>
              <w:keepNext/>
              <w:spacing w:after="0" w:line="240" w:lineRule="auto"/>
            </w:pPr>
            <w:r>
              <w:rPr>
                <w:rFonts w:ascii="Arial" w:hAnsi="Arial" w:eastAsia="Arial"/>
                <w:b w:val="0"/>
                <w:sz w:val="13"/>
              </w:rPr>
              <w:t>IVS is an ecological contextual exposure and does not identify individual socioeconomic effects.</w:t>
            </w:r>
          </w:p>
        </w:tc>
      </w:tr>
      <w:tr>
        <w:trPr>
          <w:cantSplit/>
        </w:trPr>
        <w:tc>
          <w:tcPr>
            <w:tcW w:type="dxa" w:w="1926"/>
            <w:vAlign w:val="center"/>
          </w:tcPr>
          <w:p>
            <w:pPr>
              <w:keepNext/>
              <w:spacing w:after="0" w:line="240" w:lineRule="auto"/>
            </w:pPr>
            <w:r>
              <w:rPr>
                <w:rFonts w:ascii="Arial" w:hAnsi="Arial" w:eastAsia="Arial"/>
                <w:b w:val="0"/>
                <w:sz w:val="13"/>
              </w:rPr>
              <w:t>IVS slope index of inequality</w:t>
            </w:r>
          </w:p>
        </w:tc>
        <w:tc>
          <w:tcPr>
            <w:tcW w:type="dxa" w:w="1926"/>
            <w:vAlign w:val="center"/>
          </w:tcPr>
          <w:p>
            <w:pPr>
              <w:keepNext/>
              <w:spacing w:after="0" w:line="240" w:lineRule="auto"/>
            </w:pPr>
            <w:r>
              <w:rPr>
                <w:rFonts w:ascii="Arial" w:hAnsi="Arial" w:eastAsia="Arial"/>
                <w:b w:val="0"/>
                <w:sz w:val="13"/>
              </w:rPr>
              <w:t>-2.56 treated AIHs per 100,000 adults</w:t>
            </w:r>
          </w:p>
        </w:tc>
        <w:tc>
          <w:tcPr>
            <w:tcW w:type="dxa" w:w="1926"/>
            <w:vAlign w:val="center"/>
          </w:tcPr>
          <w:p>
            <w:pPr>
              <w:keepNext/>
              <w:spacing w:after="0" w:line="240" w:lineRule="auto"/>
            </w:pPr>
            <w:r>
              <w:rPr>
                <w:rFonts w:ascii="Arial" w:hAnsi="Arial" w:eastAsia="Arial"/>
                <w:b w:val="0"/>
                <w:sz w:val="13"/>
              </w:rPr>
              <w:t>27,825 municipality-years</w:t>
            </w:r>
          </w:p>
        </w:tc>
        <w:tc>
          <w:tcPr>
            <w:tcW w:type="dxa" w:w="1926"/>
            <w:vAlign w:val="center"/>
          </w:tcPr>
          <w:p>
            <w:pPr>
              <w:keepNext/>
              <w:spacing w:after="0" w:line="240" w:lineRule="auto"/>
            </w:pPr>
            <w:r>
              <w:rPr>
                <w:rFonts w:ascii="Arial" w:hAnsi="Arial" w:eastAsia="Arial"/>
                <w:b w:val="0"/>
                <w:sz w:val="13"/>
              </w:rPr>
              <w:t>associational</w:t>
            </w:r>
          </w:p>
        </w:tc>
        <w:tc>
          <w:tcPr>
            <w:tcW w:type="dxa" w:w="1926"/>
            <w:vAlign w:val="center"/>
          </w:tcPr>
          <w:p>
            <w:pPr>
              <w:keepNext/>
              <w:spacing w:after="0" w:line="240" w:lineRule="auto"/>
            </w:pPr>
            <w:r>
              <w:rPr>
                <w:rFonts w:ascii="Arial" w:hAnsi="Arial" w:eastAsia="Arial"/>
                <w:b w:val="0"/>
                <w:sz w:val="13"/>
              </w:rPr>
              <w:t>IVS is an ecological contextual exposure and the association is not causal.</w:t>
            </w:r>
          </w:p>
        </w:tc>
      </w:tr>
      <w:tr>
        <w:trPr>
          <w:cantSplit/>
        </w:trPr>
        <w:tc>
          <w:tcPr>
            <w:tcW w:type="dxa" w:w="1926"/>
            <w:vAlign w:val="center"/>
          </w:tcPr>
          <w:p>
            <w:pPr>
              <w:keepNext/>
              <w:spacing w:after="0" w:line="240" w:lineRule="auto"/>
            </w:pPr>
            <w:r>
              <w:rPr>
                <w:rFonts w:ascii="Arial" w:hAnsi="Arial" w:eastAsia="Arial"/>
                <w:b w:val="0"/>
                <w:sz w:val="13"/>
              </w:rPr>
              <w:t>Flow-weighted median realised route time</w:t>
            </w:r>
          </w:p>
        </w:tc>
        <w:tc>
          <w:tcPr>
            <w:tcW w:type="dxa" w:w="1926"/>
            <w:vAlign w:val="center"/>
          </w:tcPr>
          <w:p>
            <w:pPr>
              <w:keepNext/>
              <w:spacing w:after="0" w:line="240" w:lineRule="auto"/>
            </w:pPr>
            <w:r>
              <w:rPr>
                <w:rFonts w:ascii="Arial" w:hAnsi="Arial" w:eastAsia="Arial"/>
                <w:b w:val="0"/>
                <w:sz w:val="13"/>
              </w:rPr>
              <w:t>23.2 minutes</w:t>
            </w:r>
          </w:p>
        </w:tc>
        <w:tc>
          <w:tcPr>
            <w:tcW w:type="dxa" w:w="1926"/>
            <w:vAlign w:val="center"/>
          </w:tcPr>
          <w:p>
            <w:pPr>
              <w:keepNext/>
              <w:spacing w:after="0" w:line="240" w:lineRule="auto"/>
            </w:pPr>
            <w:r>
              <w:rPr>
                <w:rFonts w:ascii="Arial" w:hAnsi="Arial" w:eastAsia="Arial"/>
                <w:b w:val="0"/>
                <w:sz w:val="13"/>
              </w:rPr>
              <w:t>33,321 AIHs with a route</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Municipal anchors approximate residence and provider locations; this is realised treated flow, not direct patient travel.</w:t>
            </w:r>
          </w:p>
        </w:tc>
      </w:tr>
      <w:tr>
        <w:trPr>
          <w:cantSplit/>
        </w:trPr>
        <w:tc>
          <w:tcPr>
            <w:tcW w:type="dxa" w:w="1926"/>
            <w:vAlign w:val="center"/>
          </w:tcPr>
          <w:p>
            <w:pPr>
              <w:keepNext/>
              <w:spacing w:after="0" w:line="240" w:lineRule="auto"/>
            </w:pPr>
            <w:r>
              <w:rPr>
                <w:rFonts w:ascii="Arial" w:hAnsi="Arial" w:eastAsia="Arial"/>
                <w:b w:val="0"/>
                <w:sz w:val="13"/>
              </w:rPr>
              <w:t>Flow-weighted 90th percentile realised route time</w:t>
            </w:r>
          </w:p>
        </w:tc>
        <w:tc>
          <w:tcPr>
            <w:tcW w:type="dxa" w:w="1926"/>
            <w:vAlign w:val="center"/>
          </w:tcPr>
          <w:p>
            <w:pPr>
              <w:keepNext/>
              <w:spacing w:after="0" w:line="240" w:lineRule="auto"/>
            </w:pPr>
            <w:r>
              <w:rPr>
                <w:rFonts w:ascii="Arial" w:hAnsi="Arial" w:eastAsia="Arial"/>
                <w:b w:val="0"/>
                <w:sz w:val="13"/>
              </w:rPr>
              <w:t>213.4 minutes</w:t>
            </w:r>
          </w:p>
        </w:tc>
        <w:tc>
          <w:tcPr>
            <w:tcW w:type="dxa" w:w="1926"/>
            <w:vAlign w:val="center"/>
          </w:tcPr>
          <w:p>
            <w:pPr>
              <w:keepNext/>
              <w:spacing w:after="0" w:line="240" w:lineRule="auto"/>
            </w:pPr>
            <w:r>
              <w:rPr>
                <w:rFonts w:ascii="Arial" w:hAnsi="Arial" w:eastAsia="Arial"/>
                <w:b w:val="0"/>
                <w:sz w:val="13"/>
              </w:rPr>
              <w:t>33,321 AIHs with a route</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Municipal anchors approximate residence and provider locations; this is realised treated flow, not direct patient travel.</w:t>
            </w:r>
          </w:p>
        </w:tc>
      </w:tr>
      <w:tr>
        <w:trPr>
          <w:cantSplit/>
        </w:trPr>
        <w:tc>
          <w:tcPr>
            <w:tcW w:type="dxa" w:w="1926"/>
            <w:vAlign w:val="center"/>
          </w:tcPr>
          <w:p>
            <w:pPr>
              <w:keepNext/>
              <w:spacing w:after="0" w:line="240" w:lineRule="auto"/>
            </w:pPr>
            <w:r>
              <w:rPr>
                <w:rFonts w:ascii="Arial" w:hAnsi="Arial" w:eastAsia="Arial"/>
                <w:b w:val="0"/>
                <w:sz w:val="13"/>
              </w:rPr>
              <w:t>Realised treated flow above 120 minutes</w:t>
            </w:r>
          </w:p>
        </w:tc>
        <w:tc>
          <w:tcPr>
            <w:tcW w:type="dxa" w:w="1926"/>
            <w:vAlign w:val="center"/>
          </w:tcPr>
          <w:p>
            <w:pPr>
              <w:keepNext/>
              <w:spacing w:after="0" w:line="240" w:lineRule="auto"/>
            </w:pPr>
            <w:r>
              <w:rPr>
                <w:rFonts w:ascii="Arial" w:hAnsi="Arial" w:eastAsia="Arial"/>
                <w:b w:val="0"/>
                <w:sz w:val="13"/>
              </w:rPr>
              <w:t>20.7%</w:t>
            </w:r>
          </w:p>
        </w:tc>
        <w:tc>
          <w:tcPr>
            <w:tcW w:type="dxa" w:w="1926"/>
            <w:vAlign w:val="center"/>
          </w:tcPr>
          <w:p>
            <w:pPr>
              <w:keepNext/>
              <w:spacing w:after="0" w:line="240" w:lineRule="auto"/>
            </w:pPr>
            <w:r>
              <w:rPr>
                <w:rFonts w:ascii="Arial" w:hAnsi="Arial" w:eastAsia="Arial"/>
                <w:b w:val="0"/>
                <w:sz w:val="13"/>
              </w:rPr>
              <w:t>33,321 AIHs with a route</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This describes routed treated flows and cannot be interpreted as population access or unmet need.</w:t>
            </w:r>
          </w:p>
        </w:tc>
      </w:tr>
      <w:tr>
        <w:trPr>
          <w:cantSplit/>
        </w:trPr>
        <w:tc>
          <w:tcPr>
            <w:tcW w:type="dxa" w:w="1926"/>
            <w:vAlign w:val="center"/>
          </w:tcPr>
          <w:p>
            <w:pPr>
              <w:keepNext/>
              <w:spacing w:after="0" w:line="240" w:lineRule="auto"/>
            </w:pPr>
            <w:r>
              <w:rPr>
                <w:rFonts w:ascii="Arial" w:hAnsi="Arial" w:eastAsia="Arial"/>
                <w:b w:val="0"/>
                <w:sz w:val="13"/>
              </w:rPr>
              <w:t>Adult population within 120 road-minutes in 2021</w:t>
            </w:r>
          </w:p>
        </w:tc>
        <w:tc>
          <w:tcPr>
            <w:tcW w:type="dxa" w:w="1926"/>
            <w:vAlign w:val="center"/>
          </w:tcPr>
          <w:p>
            <w:pPr>
              <w:keepNext/>
              <w:spacing w:after="0" w:line="240" w:lineRule="auto"/>
            </w:pPr>
            <w:r>
              <w:rPr>
                <w:rFonts w:ascii="Arial" w:hAnsi="Arial" w:eastAsia="Arial"/>
                <w:b w:val="0"/>
                <w:sz w:val="13"/>
              </w:rPr>
              <w:t>71.9%</w:t>
            </w:r>
          </w:p>
        </w:tc>
        <w:tc>
          <w:tcPr>
            <w:tcW w:type="dxa" w:w="1926"/>
            <w:vAlign w:val="center"/>
          </w:tcPr>
          <w:p>
            <w:pPr>
              <w:keepNext/>
              <w:spacing w:after="0" w:line="240" w:lineRule="auto"/>
            </w:pPr>
            <w:r>
              <w:rPr>
                <w:rFonts w:ascii="Arial" w:hAnsi="Arial" w:eastAsia="Arial"/>
                <w:b w:val="0"/>
                <w:sz w:val="13"/>
              </w:rPr>
              <w:t>157,421,555 adults</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Modelled potential road access does not measure realised access, capacity, quality, or need.</w:t>
            </w:r>
          </w:p>
        </w:tc>
      </w:tr>
      <w:tr>
        <w:trPr>
          <w:cantSplit/>
        </w:trPr>
        <w:tc>
          <w:tcPr>
            <w:tcW w:type="dxa" w:w="1926"/>
            <w:vAlign w:val="center"/>
          </w:tcPr>
          <w:p>
            <w:pPr>
              <w:keepNext/>
              <w:spacing w:after="0" w:line="240" w:lineRule="auto"/>
            </w:pPr>
            <w:r>
              <w:rPr>
                <w:rFonts w:ascii="Arial" w:hAnsi="Arial" w:eastAsia="Arial"/>
                <w:b w:val="0"/>
                <w:sz w:val="13"/>
              </w:rPr>
              <w:t>Adult population within 180 road-minutes in 2021</w:t>
            </w:r>
          </w:p>
        </w:tc>
        <w:tc>
          <w:tcPr>
            <w:tcW w:type="dxa" w:w="1926"/>
            <w:vAlign w:val="center"/>
          </w:tcPr>
          <w:p>
            <w:pPr>
              <w:keepNext/>
              <w:spacing w:after="0" w:line="240" w:lineRule="auto"/>
            </w:pPr>
            <w:r>
              <w:rPr>
                <w:rFonts w:ascii="Arial" w:hAnsi="Arial" w:eastAsia="Arial"/>
                <w:b w:val="0"/>
                <w:sz w:val="13"/>
              </w:rPr>
              <w:t>81.2%</w:t>
            </w:r>
          </w:p>
        </w:tc>
        <w:tc>
          <w:tcPr>
            <w:tcW w:type="dxa" w:w="1926"/>
            <w:vAlign w:val="center"/>
          </w:tcPr>
          <w:p>
            <w:pPr>
              <w:keepNext/>
              <w:spacing w:after="0" w:line="240" w:lineRule="auto"/>
            </w:pPr>
            <w:r>
              <w:rPr>
                <w:rFonts w:ascii="Arial" w:hAnsi="Arial" w:eastAsia="Arial"/>
                <w:b w:val="0"/>
                <w:sz w:val="13"/>
              </w:rPr>
              <w:t>157,421,555 adults</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The cumulative 180-minute estimand unions raw 120- and 180-minute contours when GraphHopper approximation is non-nested.</w:t>
            </w:r>
          </w:p>
        </w:tc>
      </w:tr>
      <w:tr>
        <w:trPr>
          <w:cantSplit/>
        </w:trPr>
        <w:tc>
          <w:tcPr>
            <w:tcW w:type="dxa" w:w="1926"/>
            <w:vAlign w:val="center"/>
          </w:tcPr>
          <w:p>
            <w:pPr>
              <w:keepNext/>
              <w:spacing w:after="0" w:line="240" w:lineRule="auto"/>
            </w:pPr>
            <w:r>
              <w:rPr>
                <w:rFonts w:ascii="Arial" w:hAnsi="Arial" w:eastAsia="Arial"/>
                <w:b w:val="0"/>
                <w:sz w:val="13"/>
              </w:rPr>
              <w:t>Adult population within 120 road-minutes in 2025</w:t>
            </w:r>
          </w:p>
        </w:tc>
        <w:tc>
          <w:tcPr>
            <w:tcW w:type="dxa" w:w="1926"/>
            <w:vAlign w:val="center"/>
          </w:tcPr>
          <w:p>
            <w:pPr>
              <w:keepNext/>
              <w:spacing w:after="0" w:line="240" w:lineRule="auto"/>
            </w:pPr>
            <w:r>
              <w:rPr>
                <w:rFonts w:ascii="Arial" w:hAnsi="Arial" w:eastAsia="Arial"/>
                <w:b w:val="0"/>
                <w:sz w:val="13"/>
              </w:rPr>
              <w:t>82.1%</w:t>
            </w:r>
          </w:p>
        </w:tc>
        <w:tc>
          <w:tcPr>
            <w:tcW w:type="dxa" w:w="1926"/>
            <w:vAlign w:val="center"/>
          </w:tcPr>
          <w:p>
            <w:pPr>
              <w:keepNext/>
              <w:spacing w:after="0" w:line="240" w:lineRule="auto"/>
            </w:pPr>
            <w:r>
              <w:rPr>
                <w:rFonts w:ascii="Arial" w:hAnsi="Arial" w:eastAsia="Arial"/>
                <w:b w:val="0"/>
                <w:sz w:val="13"/>
              </w:rPr>
              <w:t>163,078,720 anchored adults</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One 2025 municipality lacks a road anchor; anchored-denominator and bounds must be reported.</w:t>
            </w:r>
          </w:p>
        </w:tc>
      </w:tr>
      <w:tr>
        <w:trPr>
          <w:cantSplit/>
        </w:trPr>
        <w:tc>
          <w:tcPr>
            <w:tcW w:type="dxa" w:w="1926"/>
            <w:vAlign w:val="center"/>
          </w:tcPr>
          <w:p>
            <w:pPr>
              <w:keepNext/>
              <w:spacing w:after="0" w:line="240" w:lineRule="auto"/>
            </w:pPr>
            <w:r>
              <w:rPr>
                <w:rFonts w:ascii="Arial" w:hAnsi="Arial" w:eastAsia="Arial"/>
                <w:b w:val="0"/>
                <w:sz w:val="13"/>
              </w:rPr>
              <w:t>Adult population within 180 road-minutes in 2025</w:t>
            </w:r>
          </w:p>
        </w:tc>
        <w:tc>
          <w:tcPr>
            <w:tcW w:type="dxa" w:w="1926"/>
            <w:vAlign w:val="center"/>
          </w:tcPr>
          <w:p>
            <w:pPr>
              <w:keepNext/>
              <w:spacing w:after="0" w:line="240" w:lineRule="auto"/>
            </w:pPr>
            <w:r>
              <w:rPr>
                <w:rFonts w:ascii="Arial" w:hAnsi="Arial" w:eastAsia="Arial"/>
                <w:b w:val="0"/>
                <w:sz w:val="13"/>
              </w:rPr>
              <w:t>90.4%</w:t>
            </w:r>
          </w:p>
        </w:tc>
        <w:tc>
          <w:tcPr>
            <w:tcW w:type="dxa" w:w="1926"/>
            <w:vAlign w:val="center"/>
          </w:tcPr>
          <w:p>
            <w:pPr>
              <w:keepNext/>
              <w:spacing w:after="0" w:line="240" w:lineRule="auto"/>
            </w:pPr>
            <w:r>
              <w:rPr>
                <w:rFonts w:ascii="Arial" w:hAnsi="Arial" w:eastAsia="Arial"/>
                <w:b w:val="0"/>
                <w:sz w:val="13"/>
              </w:rPr>
              <w:t>163,078,720 anchored adults</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One 2025 municipality lacks a road anchor; the cumulative geometry rule and bounds must be retained.</w:t>
            </w:r>
          </w:p>
        </w:tc>
      </w:tr>
      <w:tr>
        <w:trPr>
          <w:cantSplit/>
        </w:trPr>
        <w:tc>
          <w:tcPr>
            <w:tcW w:type="dxa" w:w="1926"/>
            <w:vAlign w:val="center"/>
          </w:tcPr>
          <w:p>
            <w:pPr>
              <w:keepNext/>
              <w:spacing w:after="0" w:line="240" w:lineRule="auto"/>
            </w:pPr>
            <w:r>
              <w:rPr>
                <w:rFonts w:ascii="Arial" w:hAnsi="Arial" w:eastAsia="Arial"/>
                <w:b w:val="0"/>
                <w:sz w:val="13"/>
              </w:rPr>
              <w:t>Adult population road-anchor coverage</w:t>
            </w:r>
          </w:p>
        </w:tc>
        <w:tc>
          <w:tcPr>
            <w:tcW w:type="dxa" w:w="1926"/>
            <w:vAlign w:val="center"/>
          </w:tcPr>
          <w:p>
            <w:pPr>
              <w:keepNext/>
              <w:spacing w:after="0" w:line="240" w:lineRule="auto"/>
            </w:pPr>
            <w:r>
              <w:rPr>
                <w:rFonts w:ascii="Arial" w:hAnsi="Arial" w:eastAsia="Arial"/>
                <w:b w:val="0"/>
                <w:sz w:val="13"/>
              </w:rPr>
              <w:t>99.9995%</w:t>
            </w:r>
          </w:p>
        </w:tc>
        <w:tc>
          <w:tcPr>
            <w:tcW w:type="dxa" w:w="1926"/>
            <w:vAlign w:val="center"/>
          </w:tcPr>
          <w:p>
            <w:pPr>
              <w:keepNext/>
              <w:spacing w:after="0" w:line="240" w:lineRule="auto"/>
            </w:pPr>
            <w:r>
              <w:rPr>
                <w:rFonts w:ascii="Arial" w:hAnsi="Arial" w:eastAsia="Arial"/>
                <w:b w:val="0"/>
                <w:sz w:val="13"/>
              </w:rPr>
              <w:t>801,100,903 adult person-years</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Municipalities without anchors remain unknown and are never recoded as uncovered.</w:t>
            </w:r>
          </w:p>
        </w:tc>
      </w:tr>
      <w:tr>
        <w:trPr>
          <w:cantSplit/>
        </w:trPr>
        <w:tc>
          <w:tcPr>
            <w:tcW w:type="dxa" w:w="1926"/>
            <w:vAlign w:val="center"/>
          </w:tcPr>
          <w:p>
            <w:pPr>
              <w:keepNext/>
              <w:spacing w:after="0" w:line="240" w:lineRule="auto"/>
            </w:pPr>
            <w:r>
              <w:rPr>
                <w:rFonts w:ascii="Arial" w:hAnsi="Arial" w:eastAsia="Arial"/>
                <w:b w:val="0"/>
                <w:sz w:val="13"/>
              </w:rPr>
              <w:t>Aim 2 primary-family inferential status</w:t>
            </w:r>
          </w:p>
        </w:tc>
        <w:tc>
          <w:tcPr>
            <w:tcW w:type="dxa" w:w="1926"/>
            <w:vAlign w:val="center"/>
          </w:tcPr>
          <w:p>
            <w:pPr>
              <w:keepNext/>
              <w:spacing w:after="0" w:line="240" w:lineRule="auto"/>
            </w:pPr>
            <w:r>
              <w:rPr>
                <w:rFonts w:ascii="Arial" w:hAnsi="Arial" w:eastAsia="Arial"/>
                <w:b w:val="0"/>
                <w:sz w:val="13"/>
              </w:rPr>
              <w:t>DOWNGRADE</w:t>
            </w:r>
          </w:p>
        </w:tc>
        <w:tc>
          <w:tcPr>
            <w:tcW w:type="dxa" w:w="1926"/>
            <w:vAlign w:val="center"/>
          </w:tcPr>
          <w:p>
            <w:pPr>
              <w:keepNext/>
              <w:spacing w:after="0" w:line="240" w:lineRule="auto"/>
            </w:pPr>
            <w:r>
              <w:rPr>
                <w:rFonts w:ascii="Arial" w:hAnsi="Arial" w:eastAsia="Arial"/>
                <w:b w:val="0"/>
                <w:sz w:val="13"/>
              </w:rPr>
              <w:t>—</w:t>
            </w:r>
          </w:p>
        </w:tc>
        <w:tc>
          <w:tcPr>
            <w:tcW w:type="dxa" w:w="1926"/>
            <w:vAlign w:val="center"/>
          </w:tcPr>
          <w:p>
            <w:pPr>
              <w:keepNext/>
              <w:spacing w:after="0" w:line="240" w:lineRule="auto"/>
            </w:pPr>
            <w:r>
              <w:rPr>
                <w:rFonts w:ascii="Arial" w:hAnsi="Arial" w:eastAsia="Arial"/>
                <w:b w:val="0"/>
                <w:sz w:val="13"/>
              </w:rPr>
              <w:t>associational</w:t>
            </w:r>
          </w:p>
        </w:tc>
        <w:tc>
          <w:tcPr>
            <w:tcW w:type="dxa" w:w="1926"/>
            <w:vAlign w:val="center"/>
          </w:tcPr>
          <w:p>
            <w:pPr>
              <w:keepNext/>
              <w:spacing w:after="0" w:line="240" w:lineRule="auto"/>
            </w:pPr>
            <w:r>
              <w:rPr>
                <w:rFonts w:ascii="Arial" w:hAnsi="Arial" w:eastAsia="Arial"/>
                <w:b w:val="0"/>
                <w:sz w:val="13"/>
              </w:rPr>
              <w:t>Modified-Poisson standardized potential-coverage predictions exceeded probability 1; the model was not rerun or relaxed.</w:t>
            </w:r>
          </w:p>
        </w:tc>
      </w:tr>
      <w:tr>
        <w:trPr>
          <w:cantSplit/>
        </w:trPr>
        <w:tc>
          <w:tcPr>
            <w:tcW w:type="dxa" w:w="1926"/>
            <w:vAlign w:val="center"/>
          </w:tcPr>
          <w:p>
            <w:pPr>
              <w:keepNext/>
              <w:spacing w:after="0" w:line="240" w:lineRule="auto"/>
            </w:pPr>
            <w:r>
              <w:rPr>
                <w:rFonts w:ascii="Arial" w:hAnsi="Arial" w:eastAsia="Arial"/>
                <w:b w:val="0"/>
                <w:sz w:val="13"/>
              </w:rPr>
              <w:t>Pooled patient-flow projection nodes</w:t>
            </w:r>
          </w:p>
        </w:tc>
        <w:tc>
          <w:tcPr>
            <w:tcW w:type="dxa" w:w="1926"/>
            <w:vAlign w:val="center"/>
          </w:tcPr>
          <w:p>
            <w:pPr>
              <w:keepNext/>
              <w:spacing w:after="0" w:line="240" w:lineRule="auto"/>
            </w:pPr>
            <w:r>
              <w:rPr>
                <w:rFonts w:ascii="Arial" w:hAnsi="Arial" w:eastAsia="Arial"/>
                <w:b w:val="0"/>
                <w:sz w:val="13"/>
              </w:rPr>
              <w:t>3,338 municipalities</w:t>
            </w:r>
          </w:p>
        </w:tc>
        <w:tc>
          <w:tcPr>
            <w:tcW w:type="dxa" w:w="1926"/>
            <w:vAlign w:val="center"/>
          </w:tcPr>
          <w:p>
            <w:pPr>
              <w:keepNext/>
              <w:spacing w:after="0" w:line="240" w:lineRule="auto"/>
            </w:pPr>
            <w:r>
              <w:rPr>
                <w:rFonts w:ascii="Arial" w:hAnsi="Arial" w:eastAsia="Arial"/>
                <w:b w:val="0"/>
                <w:sz w:val="13"/>
              </w:rPr>
              <w:t>—</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The patient-flow network reflects observed treated flows, not population need or referral appropriateness.</w:t>
            </w:r>
          </w:p>
        </w:tc>
      </w:tr>
      <w:tr>
        <w:trPr>
          <w:cantSplit/>
        </w:trPr>
        <w:tc>
          <w:tcPr>
            <w:tcW w:type="dxa" w:w="1926"/>
            <w:vAlign w:val="center"/>
          </w:tcPr>
          <w:p>
            <w:pPr>
              <w:keepNext/>
              <w:spacing w:after="0" w:line="240" w:lineRule="auto"/>
            </w:pPr>
            <w:r>
              <w:rPr>
                <w:rFonts w:ascii="Arial" w:hAnsi="Arial" w:eastAsia="Arial"/>
                <w:b w:val="0"/>
                <w:sz w:val="13"/>
              </w:rPr>
              <w:t>Pooled patient-flow projection edges</w:t>
            </w:r>
          </w:p>
        </w:tc>
        <w:tc>
          <w:tcPr>
            <w:tcW w:type="dxa" w:w="1926"/>
            <w:vAlign w:val="center"/>
          </w:tcPr>
          <w:p>
            <w:pPr>
              <w:keepNext/>
              <w:spacing w:after="0" w:line="240" w:lineRule="auto"/>
            </w:pPr>
            <w:r>
              <w:rPr>
                <w:rFonts w:ascii="Arial" w:hAnsi="Arial" w:eastAsia="Arial"/>
                <w:b w:val="0"/>
                <w:sz w:val="13"/>
              </w:rPr>
              <w:t>166,959 edges</w:t>
            </w:r>
          </w:p>
        </w:tc>
        <w:tc>
          <w:tcPr>
            <w:tcW w:type="dxa" w:w="1926"/>
            <w:vAlign w:val="center"/>
          </w:tcPr>
          <w:p>
            <w:pPr>
              <w:keepNext/>
              <w:spacing w:after="0" w:line="240" w:lineRule="auto"/>
            </w:pPr>
            <w:r>
              <w:rPr>
                <w:rFonts w:ascii="Arial" w:hAnsi="Arial" w:eastAsia="Arial"/>
                <w:b w:val="0"/>
                <w:sz w:val="13"/>
              </w:rPr>
              <w:t>—</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Projection edges encode shared performing destinations and are not direct patient-to-patient links.</w:t>
            </w:r>
          </w:p>
        </w:tc>
      </w:tr>
      <w:tr>
        <w:trPr>
          <w:cantSplit/>
        </w:trPr>
        <w:tc>
          <w:tcPr>
            <w:tcW w:type="dxa" w:w="1926"/>
            <w:vAlign w:val="center"/>
          </w:tcPr>
          <w:p>
            <w:pPr>
              <w:keepNext/>
              <w:spacing w:after="0" w:line="240" w:lineRule="auto"/>
            </w:pPr>
            <w:r>
              <w:rPr>
                <w:rFonts w:ascii="Arial" w:hAnsi="Arial" w:eastAsia="Arial"/>
                <w:b w:val="0"/>
                <w:sz w:val="13"/>
              </w:rPr>
              <w:t>Potential-access matrix rows</w:t>
            </w:r>
          </w:p>
        </w:tc>
        <w:tc>
          <w:tcPr>
            <w:tcW w:type="dxa" w:w="1926"/>
            <w:vAlign w:val="center"/>
          </w:tcPr>
          <w:p>
            <w:pPr>
              <w:keepNext/>
              <w:spacing w:after="0" w:line="240" w:lineRule="auto"/>
            </w:pPr>
            <w:r>
              <w:rPr>
                <w:rFonts w:ascii="Arial" w:hAnsi="Arial" w:eastAsia="Arial"/>
                <w:b w:val="0"/>
                <w:sz w:val="13"/>
              </w:rPr>
              <w:t>8,723,036 rows</w:t>
            </w:r>
          </w:p>
        </w:tc>
        <w:tc>
          <w:tcPr>
            <w:tcW w:type="dxa" w:w="1926"/>
            <w:vAlign w:val="center"/>
          </w:tcPr>
          <w:p>
            <w:pPr>
              <w:keepNext/>
              <w:spacing w:after="0" w:line="240" w:lineRule="auto"/>
            </w:pPr>
            <w:r>
              <w:rPr>
                <w:rFonts w:ascii="Arial" w:hAnsi="Arial" w:eastAsia="Arial"/>
                <w:b w:val="0"/>
                <w:sz w:val="13"/>
              </w:rPr>
              <w:t>—</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This is a modelled potential-access matrix and contains no capacity or realised-use inference.</w:t>
            </w:r>
          </w:p>
        </w:tc>
      </w:tr>
      <w:tr>
        <w:trPr>
          <w:cantSplit/>
        </w:trPr>
        <w:tc>
          <w:tcPr>
            <w:tcW w:type="dxa" w:w="1926"/>
            <w:vAlign w:val="center"/>
          </w:tcPr>
          <w:p>
            <w:pPr>
              <w:keepNext/>
              <w:spacing w:after="0" w:line="240" w:lineRule="auto"/>
            </w:pPr>
            <w:r>
              <w:rPr>
                <w:rFonts w:ascii="Arial" w:hAnsi="Arial" w:eastAsia="Arial"/>
                <w:b w:val="0"/>
                <w:sz w:val="13"/>
              </w:rPr>
              <w:t>Reachable potential-access matrix rows</w:t>
            </w:r>
          </w:p>
        </w:tc>
        <w:tc>
          <w:tcPr>
            <w:tcW w:type="dxa" w:w="1926"/>
            <w:vAlign w:val="center"/>
          </w:tcPr>
          <w:p>
            <w:pPr>
              <w:keepNext/>
              <w:spacing w:after="0" w:line="240" w:lineRule="auto"/>
            </w:pPr>
            <w:r>
              <w:rPr>
                <w:rFonts w:ascii="Arial" w:hAnsi="Arial" w:eastAsia="Arial"/>
                <w:b w:val="0"/>
                <w:sz w:val="13"/>
              </w:rPr>
              <w:t>142,299 rows</w:t>
            </w:r>
          </w:p>
        </w:tc>
        <w:tc>
          <w:tcPr>
            <w:tcW w:type="dxa" w:w="1926"/>
            <w:vAlign w:val="center"/>
          </w:tcPr>
          <w:p>
            <w:pPr>
              <w:keepNext/>
              <w:spacing w:after="0" w:line="240" w:lineRule="auto"/>
            </w:pPr>
            <w:r>
              <w:rPr>
                <w:rFonts w:ascii="Arial" w:hAnsi="Arial" w:eastAsia="Arial"/>
                <w:b w:val="0"/>
                <w:sz w:val="13"/>
              </w:rPr>
              <w:t>8,723,036 potential-access matrix rows</w:t>
            </w:r>
          </w:p>
        </w:tc>
        <w:tc>
          <w:tcPr>
            <w:tcW w:type="dxa" w:w="1926"/>
            <w:vAlign w:val="center"/>
          </w:tcPr>
          <w:p>
            <w:pPr>
              <w:keepNext/>
              <w:spacing w:after="0" w:line="240" w:lineRule="auto"/>
            </w:pPr>
            <w:r>
              <w:rPr>
                <w:rFonts w:ascii="Arial" w:hAnsi="Arial" w:eastAsia="Arial"/>
                <w:b w:val="0"/>
                <w:sz w:val="13"/>
              </w:rPr>
              <w:t>descriptive</w:t>
            </w:r>
          </w:p>
        </w:tc>
        <w:tc>
          <w:tcPr>
            <w:tcW w:type="dxa" w:w="1926"/>
            <w:vAlign w:val="center"/>
          </w:tcPr>
          <w:p>
            <w:pPr>
              <w:keepNext/>
              <w:spacing w:after="0" w:line="240" w:lineRule="auto"/>
            </w:pPr>
            <w:r>
              <w:rPr>
                <w:rFonts w:ascii="Arial" w:hAnsi="Arial" w:eastAsia="Arial"/>
                <w:b w:val="0"/>
                <w:sz w:val="13"/>
              </w:rPr>
              <w:t>Reachability is potential road access, not observed service use or capacity.</w:t>
            </w:r>
          </w:p>
        </w:tc>
      </w:tr>
      <w:tr>
        <w:trPr>
          <w:cantSplit/>
        </w:trPr>
        <w:tc>
          <w:tcPr>
            <w:tcW w:type="dxa" w:w="1926"/>
            <w:vAlign w:val="center"/>
          </w:tcPr>
          <w:p>
            <w:pPr>
              <w:keepNext w:val="0"/>
              <w:spacing w:after="0" w:line="240" w:lineRule="auto"/>
            </w:pPr>
            <w:r>
              <w:rPr>
                <w:rFonts w:ascii="Arial" w:hAnsi="Arial" w:eastAsia="Arial"/>
                <w:b w:val="0"/>
                <w:sz w:val="13"/>
              </w:rPr>
              <w:t>IVS municipal-total records selected</w:t>
            </w:r>
          </w:p>
        </w:tc>
        <w:tc>
          <w:tcPr>
            <w:tcW w:type="dxa" w:w="1926"/>
            <w:vAlign w:val="center"/>
          </w:tcPr>
          <w:p>
            <w:pPr>
              <w:keepNext w:val="0"/>
              <w:spacing w:after="0" w:line="240" w:lineRule="auto"/>
            </w:pPr>
            <w:r>
              <w:rPr>
                <w:rFonts w:ascii="Arial" w:hAnsi="Arial" w:eastAsia="Arial"/>
                <w:b w:val="0"/>
                <w:sz w:val="13"/>
              </w:rPr>
              <w:t>5,565 municipalities</w:t>
            </w:r>
          </w:p>
        </w:tc>
        <w:tc>
          <w:tcPr>
            <w:tcW w:type="dxa" w:w="1926"/>
            <w:vAlign w:val="center"/>
          </w:tcPr>
          <w:p>
            <w:pPr>
              <w:keepNext w:val="0"/>
              <w:spacing w:after="0" w:line="240" w:lineRule="auto"/>
            </w:pPr>
            <w:r>
              <w:rPr>
                <w:rFonts w:ascii="Arial" w:hAnsi="Arial" w:eastAsia="Arial"/>
                <w:b w:val="0"/>
                <w:sz w:val="13"/>
              </w:rPr>
              <w:t>—</w:t>
            </w:r>
          </w:p>
        </w:tc>
        <w:tc>
          <w:tcPr>
            <w:tcW w:type="dxa" w:w="1926"/>
            <w:vAlign w:val="center"/>
          </w:tcPr>
          <w:p>
            <w:pPr>
              <w:keepNext w:val="0"/>
              <w:spacing w:after="0" w:line="240" w:lineRule="auto"/>
            </w:pPr>
            <w:r>
              <w:rPr>
                <w:rFonts w:ascii="Arial" w:hAnsi="Arial" w:eastAsia="Arial"/>
                <w:b w:val="0"/>
                <w:sz w:val="13"/>
              </w:rPr>
              <w:t>descriptive</w:t>
            </w:r>
          </w:p>
        </w:tc>
        <w:tc>
          <w:tcPr>
            <w:tcW w:type="dxa" w:w="1926"/>
            <w:vAlign w:val="center"/>
          </w:tcPr>
          <w:p>
            <w:pPr>
              <w:keepNext w:val="0"/>
              <w:spacing w:after="0" w:line="240" w:lineRule="auto"/>
            </w:pPr>
            <w:r>
              <w:rPr>
                <w:rFonts w:ascii="Arial" w:hAnsi="Arial" w:eastAsia="Arial"/>
                <w:b w:val="0"/>
                <w:sz w:val="13"/>
              </w:rPr>
              <w:t>The 2010 IVS is a static ecological contextual exposure carried across 2021-2025.</w:t>
            </w:r>
          </w:p>
        </w:tc>
      </w:tr>
    </w:tbl>
    <w:p>
      <w:pPr>
        <w:spacing w:after="160"/>
      </w:pPr>
      <w:r>
        <w:rPr>
          <w:i/>
          <w:sz w:val="16"/>
        </w:rPr>
        <w:t>AIH, Autorização de Internação Hospitalar; ERCP, endoscopic retrograde cholangiopancreatography.</w:t>
      </w:r>
    </w:p>
    <w:p>
      <w:pPr>
        <w:keepNext/>
      </w:pPr>
      <w:r>
        <w:rPr>
          <w:b/>
          <w:sz w:val="19"/>
        </w:rPr>
        <w:t>Supplementary Table 4. Supportive outcome-analysis measures and inferential limitations.</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cantSplit/>
          <w:tblHeader w:val="true"/>
        </w:trPr>
        <w:tc>
          <w:tcPr>
            <w:tcW w:type="dxa" w:w="1926"/>
            <w:vAlign w:val="center"/>
            <w:shd w:fill="D9EAF7"/>
          </w:tcPr>
          <w:p>
            <w:pPr>
              <w:keepNext/>
              <w:spacing w:after="0" w:line="240" w:lineRule="auto"/>
            </w:pPr>
            <w:r>
              <w:rPr>
                <w:rFonts w:ascii="Arial" w:hAnsi="Arial" w:eastAsia="Arial"/>
                <w:b/>
                <w:sz w:val="15"/>
              </w:rPr>
              <w:t>Measure</w:t>
            </w:r>
          </w:p>
        </w:tc>
        <w:tc>
          <w:tcPr>
            <w:tcW w:type="dxa" w:w="1926"/>
            <w:vAlign w:val="center"/>
            <w:shd w:fill="D9EAF7"/>
          </w:tcPr>
          <w:p>
            <w:pPr>
              <w:keepNext/>
              <w:spacing w:after="0" w:line="240" w:lineRule="auto"/>
            </w:pPr>
            <w:r>
              <w:rPr>
                <w:rFonts w:ascii="Arial" w:hAnsi="Arial" w:eastAsia="Arial"/>
                <w:b/>
                <w:sz w:val="15"/>
              </w:rPr>
              <w:t>Value</w:t>
            </w:r>
          </w:p>
        </w:tc>
        <w:tc>
          <w:tcPr>
            <w:tcW w:type="dxa" w:w="1926"/>
            <w:vAlign w:val="center"/>
            <w:shd w:fill="D9EAF7"/>
          </w:tcPr>
          <w:p>
            <w:pPr>
              <w:keepNext/>
              <w:spacing w:after="0" w:line="240" w:lineRule="auto"/>
            </w:pPr>
            <w:r>
              <w:rPr>
                <w:rFonts w:ascii="Arial" w:hAnsi="Arial" w:eastAsia="Arial"/>
                <w:b/>
                <w:sz w:val="15"/>
              </w:rPr>
              <w:t>Denominator</w:t>
            </w:r>
          </w:p>
        </w:tc>
        <w:tc>
          <w:tcPr>
            <w:tcW w:type="dxa" w:w="1926"/>
            <w:vAlign w:val="center"/>
            <w:shd w:fill="D9EAF7"/>
          </w:tcPr>
          <w:p>
            <w:pPr>
              <w:keepNext/>
              <w:spacing w:after="0" w:line="240" w:lineRule="auto"/>
            </w:pPr>
            <w:r>
              <w:rPr>
                <w:rFonts w:ascii="Arial" w:hAnsi="Arial" w:eastAsia="Arial"/>
                <w:b/>
                <w:sz w:val="15"/>
              </w:rPr>
              <w:t>Evidence</w:t>
            </w:r>
          </w:p>
        </w:tc>
        <w:tc>
          <w:tcPr>
            <w:tcW w:type="dxa" w:w="1926"/>
            <w:vAlign w:val="center"/>
            <w:shd w:fill="D9EAF7"/>
          </w:tcPr>
          <w:p>
            <w:pPr>
              <w:keepNext/>
              <w:spacing w:after="0" w:line="240" w:lineRule="auto"/>
            </w:pPr>
            <w:r>
              <w:rPr>
                <w:rFonts w:ascii="Arial" w:hAnsi="Arial" w:eastAsia="Arial"/>
                <w:b/>
                <w:sz w:val="15"/>
              </w:rPr>
              <w:t>Key limitation</w:t>
            </w:r>
          </w:p>
        </w:tc>
      </w:tr>
      <w:tr>
        <w:trPr>
          <w:cantSplit/>
        </w:trPr>
        <w:tc>
          <w:tcPr>
            <w:tcW w:type="dxa" w:w="1926"/>
            <w:vAlign w:val="center"/>
          </w:tcPr>
          <w:p>
            <w:pPr>
              <w:keepNext/>
              <w:spacing w:after="0" w:line="240" w:lineRule="auto"/>
            </w:pPr>
            <w:r>
              <w:rPr>
                <w:rFonts w:ascii="Arial" w:hAnsi="Arial" w:eastAsia="Arial"/>
                <w:b w:val="0"/>
                <w:sz w:val="15"/>
              </w:rPr>
              <w:t>Aim 4 complete primary analysis rows</w:t>
            </w:r>
          </w:p>
        </w:tc>
        <w:tc>
          <w:tcPr>
            <w:tcW w:type="dxa" w:w="1926"/>
            <w:vAlign w:val="center"/>
          </w:tcPr>
          <w:p>
            <w:pPr>
              <w:keepNext/>
              <w:spacing w:after="0" w:line="240" w:lineRule="auto"/>
            </w:pPr>
            <w:r>
              <w:rPr>
                <w:rFonts w:ascii="Arial" w:hAnsi="Arial" w:eastAsia="Arial"/>
                <w:b w:val="0"/>
                <w:sz w:val="15"/>
              </w:rPr>
              <w:t>30,900 AIHs</w:t>
            </w:r>
          </w:p>
        </w:tc>
        <w:tc>
          <w:tcPr>
            <w:tcW w:type="dxa" w:w="1926"/>
            <w:vAlign w:val="center"/>
          </w:tcPr>
          <w:p>
            <w:pPr>
              <w:keepNext/>
              <w:spacing w:after="0" w:line="240" w:lineRule="auto"/>
            </w:pPr>
            <w:r>
              <w:rPr>
                <w:rFonts w:ascii="Arial" w:hAnsi="Arial" w:eastAsia="Arial"/>
                <w:b w:val="0"/>
                <w:sz w:val="15"/>
              </w:rPr>
              <w:t>33,497 Cohort B unique AIHs</w:t>
            </w:r>
          </w:p>
        </w:tc>
        <w:tc>
          <w:tcPr>
            <w:tcW w:type="dxa" w:w="1926"/>
            <w:vAlign w:val="center"/>
          </w:tcPr>
          <w:p>
            <w:pPr>
              <w:keepNext/>
              <w:spacing w:after="0" w:line="240" w:lineRule="auto"/>
            </w:pPr>
            <w:r>
              <w:rPr>
                <w:rFonts w:ascii="Arial" w:hAnsi="Arial" w:eastAsia="Arial"/>
                <w:b w:val="0"/>
                <w:sz w:val="15"/>
              </w:rPr>
              <w:t>associational</w:t>
            </w:r>
          </w:p>
        </w:tc>
        <w:tc>
          <w:tcPr>
            <w:tcW w:type="dxa" w:w="1926"/>
            <w:vAlign w:val="center"/>
          </w:tcPr>
          <w:p>
            <w:pPr>
              <w:keepNext/>
              <w:spacing w:after="0" w:line="240" w:lineRule="auto"/>
            </w:pPr>
            <w:r>
              <w:rPr>
                <w:rFonts w:ascii="Arial" w:hAnsi="Arial" w:eastAsia="Arial"/>
                <w:b w:val="0"/>
                <w:sz w:val="15"/>
              </w:rPr>
              <w:t>Complete-context restriction and residual confounding limit generalisability and causal interpretation.</w:t>
            </w:r>
          </w:p>
        </w:tc>
      </w:tr>
      <w:tr>
        <w:trPr>
          <w:cantSplit/>
        </w:trPr>
        <w:tc>
          <w:tcPr>
            <w:tcW w:type="dxa" w:w="1926"/>
            <w:vAlign w:val="center"/>
          </w:tcPr>
          <w:p>
            <w:pPr>
              <w:keepNext/>
              <w:spacing w:after="0" w:line="240" w:lineRule="auto"/>
            </w:pPr>
            <w:r>
              <w:rPr>
                <w:rFonts w:ascii="Arial" w:hAnsi="Arial" w:eastAsia="Arial"/>
                <w:b w:val="0"/>
                <w:sz w:val="15"/>
              </w:rPr>
              <w:t>Aim 4 in-hospital death events</w:t>
            </w:r>
          </w:p>
        </w:tc>
        <w:tc>
          <w:tcPr>
            <w:tcW w:type="dxa" w:w="1926"/>
            <w:vAlign w:val="center"/>
          </w:tcPr>
          <w:p>
            <w:pPr>
              <w:keepNext/>
              <w:spacing w:after="0" w:line="240" w:lineRule="auto"/>
            </w:pPr>
            <w:r>
              <w:rPr>
                <w:rFonts w:ascii="Arial" w:hAnsi="Arial" w:eastAsia="Arial"/>
                <w:b w:val="0"/>
                <w:sz w:val="15"/>
              </w:rPr>
              <w:t>378 deaths</w:t>
            </w:r>
          </w:p>
        </w:tc>
        <w:tc>
          <w:tcPr>
            <w:tcW w:type="dxa" w:w="1926"/>
            <w:vAlign w:val="center"/>
          </w:tcPr>
          <w:p>
            <w:pPr>
              <w:keepNext/>
              <w:spacing w:after="0" w:line="240" w:lineRule="auto"/>
            </w:pPr>
            <w:r>
              <w:rPr>
                <w:rFonts w:ascii="Arial" w:hAnsi="Arial" w:eastAsia="Arial"/>
                <w:b w:val="0"/>
                <w:sz w:val="15"/>
              </w:rPr>
              <w:t>30,900 Aim 4 analysis AIHs</w:t>
            </w:r>
          </w:p>
        </w:tc>
        <w:tc>
          <w:tcPr>
            <w:tcW w:type="dxa" w:w="1926"/>
            <w:vAlign w:val="center"/>
          </w:tcPr>
          <w:p>
            <w:pPr>
              <w:keepNext/>
              <w:spacing w:after="0" w:line="240" w:lineRule="auto"/>
            </w:pPr>
            <w:r>
              <w:rPr>
                <w:rFonts w:ascii="Arial" w:hAnsi="Arial" w:eastAsia="Arial"/>
                <w:b w:val="0"/>
                <w:sz w:val="15"/>
              </w:rPr>
              <w:t>associational</w:t>
            </w:r>
          </w:p>
        </w:tc>
        <w:tc>
          <w:tcPr>
            <w:tcW w:type="dxa" w:w="1926"/>
            <w:vAlign w:val="center"/>
          </w:tcPr>
          <w:p>
            <w:pPr>
              <w:keepNext/>
              <w:spacing w:after="0" w:line="240" w:lineRule="auto"/>
            </w:pPr>
            <w:r>
              <w:rPr>
                <w:rFonts w:ascii="Arial" w:hAnsi="Arial" w:eastAsia="Arial"/>
                <w:b w:val="0"/>
                <w:sz w:val="15"/>
              </w:rPr>
              <w:t>Administrative in-hospital death does not capture post-discharge mortality.</w:t>
            </w:r>
          </w:p>
        </w:tc>
      </w:tr>
      <w:tr>
        <w:trPr>
          <w:cantSplit/>
        </w:trPr>
        <w:tc>
          <w:tcPr>
            <w:tcW w:type="dxa" w:w="1926"/>
            <w:vAlign w:val="center"/>
          </w:tcPr>
          <w:p>
            <w:pPr>
              <w:keepNext/>
              <w:spacing w:after="0" w:line="240" w:lineRule="auto"/>
            </w:pPr>
            <w:r>
              <w:rPr>
                <w:rFonts w:ascii="Arial" w:hAnsi="Arial" w:eastAsia="Arial"/>
                <w:b w:val="0"/>
                <w:sz w:val="15"/>
              </w:rPr>
              <w:t>Aim 4 hospitals</w:t>
            </w:r>
          </w:p>
        </w:tc>
        <w:tc>
          <w:tcPr>
            <w:tcW w:type="dxa" w:w="1926"/>
            <w:vAlign w:val="center"/>
          </w:tcPr>
          <w:p>
            <w:pPr>
              <w:keepNext/>
              <w:spacing w:after="0" w:line="240" w:lineRule="auto"/>
            </w:pPr>
            <w:r>
              <w:rPr>
                <w:rFonts w:ascii="Arial" w:hAnsi="Arial" w:eastAsia="Arial"/>
                <w:b w:val="0"/>
                <w:sz w:val="15"/>
              </w:rPr>
              <w:t>360 hospitals</w:t>
            </w:r>
          </w:p>
        </w:tc>
        <w:tc>
          <w:tcPr>
            <w:tcW w:type="dxa" w:w="1926"/>
            <w:vAlign w:val="center"/>
          </w:tcPr>
          <w:p>
            <w:pPr>
              <w:keepNext/>
              <w:spacing w:after="0" w:line="240" w:lineRule="auto"/>
            </w:pPr>
            <w:r>
              <w:rPr>
                <w:rFonts w:ascii="Arial" w:hAnsi="Arial" w:eastAsia="Arial"/>
                <w:b w:val="0"/>
                <w:sz w:val="15"/>
              </w:rPr>
              <w:t>30,900 Aim 4 analysis AIHs</w:t>
            </w:r>
          </w:p>
        </w:tc>
        <w:tc>
          <w:tcPr>
            <w:tcW w:type="dxa" w:w="1926"/>
            <w:vAlign w:val="center"/>
          </w:tcPr>
          <w:p>
            <w:pPr>
              <w:keepNext/>
              <w:spacing w:after="0" w:line="240" w:lineRule="auto"/>
            </w:pPr>
            <w:r>
              <w:rPr>
                <w:rFonts w:ascii="Arial" w:hAnsi="Arial" w:eastAsia="Arial"/>
                <w:b w:val="0"/>
                <w:sz w:val="15"/>
              </w:rPr>
              <w:t>associational</w:t>
            </w:r>
          </w:p>
        </w:tc>
        <w:tc>
          <w:tcPr>
            <w:tcW w:type="dxa" w:w="1926"/>
            <w:vAlign w:val="center"/>
          </w:tcPr>
          <w:p>
            <w:pPr>
              <w:keepNext/>
              <w:spacing w:after="0" w:line="240" w:lineRule="auto"/>
            </w:pPr>
            <w:r>
              <w:rPr>
                <w:rFonts w:ascii="Arial" w:hAnsi="Arial" w:eastAsia="Arial"/>
                <w:b w:val="0"/>
                <w:sz w:val="15"/>
              </w:rPr>
              <w:t>Hospital-level associations remain susceptible to residual confounding and referral selection.</w:t>
            </w:r>
          </w:p>
        </w:tc>
      </w:tr>
      <w:tr>
        <w:trPr>
          <w:cantSplit/>
        </w:trPr>
        <w:tc>
          <w:tcPr>
            <w:tcW w:type="dxa" w:w="1926"/>
            <w:vAlign w:val="center"/>
          </w:tcPr>
          <w:p>
            <w:pPr>
              <w:keepNext/>
              <w:spacing w:after="0" w:line="240" w:lineRule="auto"/>
            </w:pPr>
            <w:r>
              <w:rPr>
                <w:rFonts w:ascii="Arial" w:hAnsi="Arial" w:eastAsia="Arial"/>
                <w:b w:val="0"/>
                <w:sz w:val="15"/>
              </w:rPr>
              <w:t>Aim 4 bootstrap validity status</w:t>
            </w:r>
          </w:p>
        </w:tc>
        <w:tc>
          <w:tcPr>
            <w:tcW w:type="dxa" w:w="1926"/>
            <w:vAlign w:val="center"/>
          </w:tcPr>
          <w:p>
            <w:pPr>
              <w:keepNext/>
              <w:spacing w:after="0" w:line="240" w:lineRule="auto"/>
            </w:pPr>
            <w:r>
              <w:rPr>
                <w:rFonts w:ascii="Arial" w:hAnsi="Arial" w:eastAsia="Arial"/>
                <w:b w:val="0"/>
                <w:sz w:val="15"/>
              </w:rPr>
              <w:t>DOWNGRADE</w:t>
            </w:r>
          </w:p>
        </w:tc>
        <w:tc>
          <w:tcPr>
            <w:tcW w:type="dxa" w:w="1926"/>
            <w:vAlign w:val="center"/>
          </w:tcPr>
          <w:p>
            <w:pPr>
              <w:keepNext/>
              <w:spacing w:after="0" w:line="240" w:lineRule="auto"/>
            </w:pPr>
            <w:r>
              <w:rPr>
                <w:rFonts w:ascii="Arial" w:hAnsi="Arial" w:eastAsia="Arial"/>
                <w:b w:val="0"/>
                <w:sz w:val="15"/>
              </w:rPr>
              <w:t>2,000 expected replicates</w:t>
            </w:r>
          </w:p>
        </w:tc>
        <w:tc>
          <w:tcPr>
            <w:tcW w:type="dxa" w:w="1926"/>
            <w:vAlign w:val="center"/>
          </w:tcPr>
          <w:p>
            <w:pPr>
              <w:keepNext/>
              <w:spacing w:after="0" w:line="240" w:lineRule="auto"/>
            </w:pPr>
            <w:r>
              <w:rPr>
                <w:rFonts w:ascii="Arial" w:hAnsi="Arial" w:eastAsia="Arial"/>
                <w:b w:val="0"/>
                <w:sz w:val="15"/>
              </w:rPr>
              <w:t>associational</w:t>
            </w:r>
          </w:p>
        </w:tc>
        <w:tc>
          <w:tcPr>
            <w:tcW w:type="dxa" w:w="1926"/>
            <w:vAlign w:val="center"/>
          </w:tcPr>
          <w:p>
            <w:pPr>
              <w:keepNext/>
              <w:spacing w:after="0" w:line="240" w:lineRule="auto"/>
            </w:pPr>
            <w:r>
              <w:rPr>
                <w:rFonts w:ascii="Arial" w:hAnsi="Arial" w:eastAsia="Arial"/>
                <w:b w:val="0"/>
                <w:sz w:val="15"/>
              </w:rPr>
              <w:t>The prespecified bootstrap validity criterion was not met; no reduced model or substitute interval was used.</w:t>
            </w:r>
          </w:p>
        </w:tc>
      </w:tr>
      <w:tr>
        <w:trPr>
          <w:cantSplit/>
        </w:trPr>
        <w:tc>
          <w:tcPr>
            <w:tcW w:type="dxa" w:w="1926"/>
            <w:vAlign w:val="center"/>
          </w:tcPr>
          <w:p>
            <w:pPr>
              <w:keepNext/>
              <w:spacing w:after="0" w:line="240" w:lineRule="auto"/>
            </w:pPr>
            <w:r>
              <w:rPr>
                <w:rFonts w:ascii="Arial" w:hAnsi="Arial" w:eastAsia="Arial"/>
                <w:b w:val="0"/>
                <w:sz w:val="15"/>
              </w:rPr>
              <w:t>Valid AS_mean bootstrap replicates</w:t>
            </w:r>
          </w:p>
        </w:tc>
        <w:tc>
          <w:tcPr>
            <w:tcW w:type="dxa" w:w="1926"/>
            <w:vAlign w:val="center"/>
          </w:tcPr>
          <w:p>
            <w:pPr>
              <w:keepNext/>
              <w:spacing w:after="0" w:line="240" w:lineRule="auto"/>
            </w:pPr>
            <w:r>
              <w:rPr>
                <w:rFonts w:ascii="Arial" w:hAnsi="Arial" w:eastAsia="Arial"/>
                <w:b w:val="0"/>
                <w:sz w:val="15"/>
              </w:rPr>
              <w:t>618 replicates</w:t>
            </w:r>
          </w:p>
        </w:tc>
        <w:tc>
          <w:tcPr>
            <w:tcW w:type="dxa" w:w="1926"/>
            <w:vAlign w:val="center"/>
          </w:tcPr>
          <w:p>
            <w:pPr>
              <w:keepNext/>
              <w:spacing w:after="0" w:line="240" w:lineRule="auto"/>
            </w:pPr>
            <w:r>
              <w:rPr>
                <w:rFonts w:ascii="Arial" w:hAnsi="Arial" w:eastAsia="Arial"/>
                <w:b w:val="0"/>
                <w:sz w:val="15"/>
              </w:rPr>
              <w:t>2,000 expected replicates</w:t>
            </w:r>
          </w:p>
        </w:tc>
        <w:tc>
          <w:tcPr>
            <w:tcW w:type="dxa" w:w="1926"/>
            <w:vAlign w:val="center"/>
          </w:tcPr>
          <w:p>
            <w:pPr>
              <w:keepNext/>
              <w:spacing w:after="0" w:line="240" w:lineRule="auto"/>
            </w:pPr>
            <w:r>
              <w:rPr>
                <w:rFonts w:ascii="Arial" w:hAnsi="Arial" w:eastAsia="Arial"/>
                <w:b w:val="0"/>
                <w:sz w:val="15"/>
              </w:rPr>
              <w:t>associational</w:t>
            </w:r>
          </w:p>
        </w:tc>
        <w:tc>
          <w:tcPr>
            <w:tcW w:type="dxa" w:w="1926"/>
            <w:vAlign w:val="center"/>
          </w:tcPr>
          <w:p>
            <w:pPr>
              <w:keepNext/>
              <w:spacing w:after="0" w:line="240" w:lineRule="auto"/>
            </w:pPr>
            <w:r>
              <w:rPr>
                <w:rFonts w:ascii="Arial" w:hAnsi="Arial" w:eastAsia="Arial"/>
                <w:b w:val="0"/>
                <w:sz w:val="15"/>
              </w:rPr>
              <w:t>Valid-replicate yield was below the prespecified threshold; inferential intervals are downgraded.</w:t>
            </w:r>
          </w:p>
        </w:tc>
      </w:tr>
      <w:tr>
        <w:trPr>
          <w:cantSplit/>
        </w:trPr>
        <w:tc>
          <w:tcPr>
            <w:tcW w:type="dxa" w:w="1926"/>
            <w:vAlign w:val="center"/>
          </w:tcPr>
          <w:p>
            <w:pPr>
              <w:keepNext/>
              <w:spacing w:after="0" w:line="240" w:lineRule="auto"/>
            </w:pPr>
            <w:r>
              <w:rPr>
                <w:rFonts w:ascii="Arial" w:hAnsi="Arial" w:eastAsia="Arial"/>
                <w:b w:val="0"/>
                <w:sz w:val="15"/>
              </w:rPr>
              <w:t>Valid MPL_Jeffreys bootstrap replicates</w:t>
            </w:r>
          </w:p>
        </w:tc>
        <w:tc>
          <w:tcPr>
            <w:tcW w:type="dxa" w:w="1926"/>
            <w:vAlign w:val="center"/>
          </w:tcPr>
          <w:p>
            <w:pPr>
              <w:keepNext/>
              <w:spacing w:after="0" w:line="240" w:lineRule="auto"/>
            </w:pPr>
            <w:r>
              <w:rPr>
                <w:rFonts w:ascii="Arial" w:hAnsi="Arial" w:eastAsia="Arial"/>
                <w:b w:val="0"/>
                <w:sz w:val="15"/>
              </w:rPr>
              <w:t>617 replicates</w:t>
            </w:r>
          </w:p>
        </w:tc>
        <w:tc>
          <w:tcPr>
            <w:tcW w:type="dxa" w:w="1926"/>
            <w:vAlign w:val="center"/>
          </w:tcPr>
          <w:p>
            <w:pPr>
              <w:keepNext/>
              <w:spacing w:after="0" w:line="240" w:lineRule="auto"/>
            </w:pPr>
            <w:r>
              <w:rPr>
                <w:rFonts w:ascii="Arial" w:hAnsi="Arial" w:eastAsia="Arial"/>
                <w:b w:val="0"/>
                <w:sz w:val="15"/>
              </w:rPr>
              <w:t>2,000 expected replicates</w:t>
            </w:r>
          </w:p>
        </w:tc>
        <w:tc>
          <w:tcPr>
            <w:tcW w:type="dxa" w:w="1926"/>
            <w:vAlign w:val="center"/>
          </w:tcPr>
          <w:p>
            <w:pPr>
              <w:keepNext/>
              <w:spacing w:after="0" w:line="240" w:lineRule="auto"/>
            </w:pPr>
            <w:r>
              <w:rPr>
                <w:rFonts w:ascii="Arial" w:hAnsi="Arial" w:eastAsia="Arial"/>
                <w:b w:val="0"/>
                <w:sz w:val="15"/>
              </w:rPr>
              <w:t>associational</w:t>
            </w:r>
          </w:p>
        </w:tc>
        <w:tc>
          <w:tcPr>
            <w:tcW w:type="dxa" w:w="1926"/>
            <w:vAlign w:val="center"/>
          </w:tcPr>
          <w:p>
            <w:pPr>
              <w:keepNext/>
              <w:spacing w:after="0" w:line="240" w:lineRule="auto"/>
            </w:pPr>
            <w:r>
              <w:rPr>
                <w:rFonts w:ascii="Arial" w:hAnsi="Arial" w:eastAsia="Arial"/>
                <w:b w:val="0"/>
                <w:sz w:val="15"/>
              </w:rPr>
              <w:t>Valid-replicate yield was below the prespecified threshold; inferential intervals are downgraded.</w:t>
            </w:r>
          </w:p>
        </w:tc>
      </w:tr>
      <w:tr>
        <w:trPr>
          <w:cantSplit/>
        </w:trPr>
        <w:tc>
          <w:tcPr>
            <w:tcW w:type="dxa" w:w="1926"/>
            <w:vAlign w:val="center"/>
          </w:tcPr>
          <w:p>
            <w:pPr>
              <w:keepNext w:val="0"/>
              <w:spacing w:after="0" w:line="240" w:lineRule="auto"/>
            </w:pPr>
            <w:r>
              <w:rPr>
                <w:rFonts w:ascii="Arial" w:hAnsi="Arial" w:eastAsia="Arial"/>
                <w:b w:val="0"/>
                <w:sz w:val="15"/>
              </w:rPr>
              <w:t>Planned quasi-causal analysis</w:t>
            </w:r>
          </w:p>
        </w:tc>
        <w:tc>
          <w:tcPr>
            <w:tcW w:type="dxa" w:w="1926"/>
            <w:vAlign w:val="center"/>
          </w:tcPr>
          <w:p>
            <w:pPr>
              <w:keepNext w:val="0"/>
              <w:spacing w:after="0" w:line="240" w:lineRule="auto"/>
            </w:pPr>
            <w:r>
              <w:rPr>
                <w:rFonts w:ascii="Arial" w:hAnsi="Arial" w:eastAsia="Arial"/>
                <w:b w:val="0"/>
                <w:sz w:val="15"/>
              </w:rPr>
              <w:t>Not reported</w:t>
            </w:r>
          </w:p>
        </w:tc>
        <w:tc>
          <w:tcPr>
            <w:tcW w:type="dxa" w:w="1926"/>
            <w:vAlign w:val="center"/>
          </w:tcPr>
          <w:p>
            <w:pPr>
              <w:keepNext w:val="0"/>
              <w:spacing w:after="0" w:line="240" w:lineRule="auto"/>
            </w:pPr>
            <w:r>
              <w:rPr>
                <w:rFonts w:ascii="Arial" w:hAnsi="Arial" w:eastAsia="Arial"/>
                <w:b w:val="0"/>
                <w:sz w:val="15"/>
              </w:rPr>
              <w:t>—</w:t>
            </w:r>
          </w:p>
        </w:tc>
        <w:tc>
          <w:tcPr>
            <w:tcW w:type="dxa" w:w="1926"/>
            <w:vAlign w:val="center"/>
          </w:tcPr>
          <w:p>
            <w:pPr>
              <w:keepNext w:val="0"/>
              <w:spacing w:after="0" w:line="240" w:lineRule="auto"/>
            </w:pPr>
            <w:r>
              <w:rPr>
                <w:rFonts w:ascii="Arial" w:hAnsi="Arial" w:eastAsia="Arial"/>
                <w:b w:val="0"/>
                <w:sz w:val="15"/>
              </w:rPr>
              <w:t>associational</w:t>
            </w:r>
          </w:p>
        </w:tc>
        <w:tc>
          <w:tcPr>
            <w:tcW w:type="dxa" w:w="1926"/>
            <w:vAlign w:val="center"/>
          </w:tcPr>
          <w:p>
            <w:pPr>
              <w:keepNext w:val="0"/>
              <w:spacing w:after="0" w:line="240" w:lineRule="auto"/>
            </w:pPr>
            <w:r>
              <w:rPr>
                <w:rFonts w:ascii="Arial" w:hAnsi="Arial" w:eastAsia="Arial"/>
                <w:b w:val="0"/>
                <w:sz w:val="15"/>
              </w:rPr>
              <w:t>No pre-first-observed-use hospital-months were available; quasi-causal estimates and negative controls are not reported.</w:t>
            </w:r>
          </w:p>
        </w:tc>
      </w:tr>
    </w:tbl>
    <w:p>
      <w:pPr>
        <w:spacing w:after="160"/>
      </w:pPr>
      <w:r>
        <w:rPr>
          <w:i/>
          <w:sz w:val="16"/>
        </w:rPr>
        <w:t>AIH, Autorização de Internação Hospitalar; ERCP, endoscopic retrograde cholangiopancreatography.</w:t>
      </w:r>
    </w:p>
    <w:p>
      <w:pPr>
        <w:pStyle w:val="Heading1"/>
      </w:pPr>
      <w:r>
        <w:t>RECORD reporting checklist</w:t>
      </w:r>
    </w:p>
    <w:p>
      <w:pPr>
        <w:keepNext/>
      </w:pPr>
      <w:r>
        <w:rPr>
          <w:b/>
          <w:sz w:val="19"/>
        </w:rPr>
        <w:t>Supplementary Table 5. RECORD reporting checklist.</w:t>
      </w:r>
    </w:p>
    <w:tbl>
      <w:tblPr>
        <w:tblStyle w:val="TableGrid"/>
        <w:tblW w:type="auto" w:w="0"/>
        <w:jc w:val="center"/>
        <w:tblLook w:firstColumn="1" w:firstRow="1" w:lastColumn="0" w:lastRow="0" w:noHBand="0" w:noVBand="1" w:val="04A0"/>
      </w:tblPr>
      <w:tblGrid>
        <w:gridCol w:w="3211"/>
        <w:gridCol w:w="3211"/>
        <w:gridCol w:w="3211"/>
      </w:tblGrid>
      <w:tr>
        <w:trPr>
          <w:cantSplit/>
          <w:tblHeader w:val="true"/>
        </w:trPr>
        <w:tc>
          <w:tcPr>
            <w:tcW w:type="dxa" w:w="3211"/>
            <w:vAlign w:val="center"/>
            <w:shd w:fill="D9EAF7"/>
          </w:tcPr>
          <w:p>
            <w:pPr>
              <w:keepNext/>
              <w:spacing w:after="0" w:line="240" w:lineRule="auto"/>
            </w:pPr>
            <w:r>
              <w:rPr>
                <w:rFonts w:ascii="Arial" w:hAnsi="Arial" w:eastAsia="Arial"/>
                <w:b/>
                <w:sz w:val="15"/>
              </w:rPr>
              <w:t>RECORD item group</w:t>
            </w:r>
          </w:p>
        </w:tc>
        <w:tc>
          <w:tcPr>
            <w:tcW w:type="dxa" w:w="3211"/>
            <w:vAlign w:val="center"/>
            <w:shd w:fill="D9EAF7"/>
          </w:tcPr>
          <w:p>
            <w:pPr>
              <w:keepNext/>
              <w:spacing w:after="0" w:line="240" w:lineRule="auto"/>
            </w:pPr>
            <w:r>
              <w:rPr>
                <w:rFonts w:ascii="Arial" w:hAnsi="Arial" w:eastAsia="Arial"/>
                <w:b/>
                <w:sz w:val="15"/>
              </w:rPr>
              <w:t>Locator</w:t>
            </w:r>
          </w:p>
        </w:tc>
        <w:tc>
          <w:tcPr>
            <w:tcW w:type="dxa" w:w="3211"/>
            <w:vAlign w:val="center"/>
            <w:shd w:fill="D9EAF7"/>
          </w:tcPr>
          <w:p>
            <w:pPr>
              <w:keepNext/>
              <w:spacing w:after="0" w:line="240" w:lineRule="auto"/>
            </w:pPr>
            <w:r>
              <w:rPr>
                <w:rFonts w:ascii="Arial" w:hAnsi="Arial" w:eastAsia="Arial"/>
                <w:b/>
                <w:sz w:val="15"/>
              </w:rPr>
              <w:t>Status</w:t>
            </w:r>
          </w:p>
        </w:tc>
      </w:tr>
      <w:tr>
        <w:trPr>
          <w:cantSplit/>
        </w:trPr>
        <w:tc>
          <w:tcPr>
            <w:tcW w:type="dxa" w:w="3211"/>
            <w:vAlign w:val="center"/>
          </w:tcPr>
          <w:p>
            <w:pPr>
              <w:keepNext/>
              <w:spacing w:after="0" w:line="240" w:lineRule="auto"/>
            </w:pPr>
            <w:r>
              <w:rPr>
                <w:rFonts w:ascii="Arial" w:hAnsi="Arial" w:eastAsia="Arial"/>
                <w:b w:val="0"/>
                <w:sz w:val="15"/>
              </w:rPr>
              <w:t>Routinely collected data source and setting</w:t>
            </w:r>
          </w:p>
        </w:tc>
        <w:tc>
          <w:tcPr>
            <w:tcW w:type="dxa" w:w="3211"/>
            <w:vAlign w:val="center"/>
          </w:tcPr>
          <w:p>
            <w:pPr>
              <w:keepNext/>
              <w:spacing w:after="0" w:line="240" w:lineRule="auto"/>
            </w:pPr>
            <w:r>
              <w:rPr>
                <w:rFonts w:ascii="Arial" w:hAnsi="Arial" w:eastAsia="Arial"/>
                <w:b w:val="0"/>
                <w:sz w:val="15"/>
              </w:rPr>
              <w:t>Methods: Data sources; the supplementary data-sources section</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Code/algorithm-based population selection</w:t>
            </w:r>
          </w:p>
        </w:tc>
        <w:tc>
          <w:tcPr>
            <w:tcW w:type="dxa" w:w="3211"/>
            <w:vAlign w:val="center"/>
          </w:tcPr>
          <w:p>
            <w:pPr>
              <w:keepNext/>
              <w:spacing w:after="0" w:line="240" w:lineRule="auto"/>
            </w:pPr>
            <w:r>
              <w:rPr>
                <w:rFonts w:ascii="Arial" w:hAnsi="Arial" w:eastAsia="Arial"/>
                <w:b w:val="0"/>
                <w:sz w:val="15"/>
              </w:rPr>
              <w:t>Methods: Cohorts; the supplementary cohort-construction section</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Validation of codes/algorithms</w:t>
            </w:r>
          </w:p>
        </w:tc>
        <w:tc>
          <w:tcPr>
            <w:tcW w:type="dxa" w:w="3211"/>
            <w:vAlign w:val="center"/>
          </w:tcPr>
          <w:p>
            <w:pPr>
              <w:keepNext/>
              <w:spacing w:after="0" w:line="240" w:lineRule="auto"/>
            </w:pPr>
            <w:r>
              <w:rPr>
                <w:rFonts w:ascii="Arial" w:hAnsi="Arial" w:eastAsia="Arial"/>
                <w:b w:val="0"/>
                <w:sz w:val="15"/>
              </w:rPr>
              <w:t>Discussion limitations; the supplementary cohort-construction section</w:t>
            </w:r>
          </w:p>
        </w:tc>
        <w:tc>
          <w:tcPr>
            <w:tcW w:type="dxa" w:w="3211"/>
            <w:vAlign w:val="center"/>
          </w:tcPr>
          <w:p>
            <w:pPr>
              <w:keepNext/>
              <w:spacing w:after="0" w:line="240" w:lineRule="auto"/>
            </w:pPr>
            <w:r>
              <w:rPr>
                <w:rFonts w:ascii="Arial" w:hAnsi="Arial" w:eastAsia="Arial"/>
                <w:b w:val="0"/>
                <w:sz w:val="15"/>
              </w:rPr>
              <w:t>No chart validation available; explicitly stated</w:t>
            </w:r>
          </w:p>
        </w:tc>
      </w:tr>
      <w:tr>
        <w:trPr>
          <w:cantSplit/>
        </w:trPr>
        <w:tc>
          <w:tcPr>
            <w:tcW w:type="dxa" w:w="3211"/>
            <w:vAlign w:val="center"/>
          </w:tcPr>
          <w:p>
            <w:pPr>
              <w:keepNext/>
              <w:spacing w:after="0" w:line="240" w:lineRule="auto"/>
            </w:pPr>
            <w:r>
              <w:rPr>
                <w:rFonts w:ascii="Arial" w:hAnsi="Arial" w:eastAsia="Arial"/>
                <w:b w:val="0"/>
                <w:sz w:val="15"/>
              </w:rPr>
              <w:t>Linkage methods and quality</w:t>
            </w:r>
          </w:p>
        </w:tc>
        <w:tc>
          <w:tcPr>
            <w:tcW w:type="dxa" w:w="3211"/>
            <w:vAlign w:val="center"/>
          </w:tcPr>
          <w:p>
            <w:pPr>
              <w:keepNext/>
              <w:spacing w:after="0" w:line="240" w:lineRule="auto"/>
            </w:pPr>
            <w:r>
              <w:rPr>
                <w:rFonts w:ascii="Arial" w:hAnsi="Arial" w:eastAsia="Arial"/>
                <w:b w:val="0"/>
                <w:sz w:val="15"/>
              </w:rPr>
              <w:t>Methods: Cohorts; the supplementary cohort-construction section</w:t>
            </w:r>
          </w:p>
        </w:tc>
        <w:tc>
          <w:tcPr>
            <w:tcW w:type="dxa" w:w="3211"/>
            <w:vAlign w:val="center"/>
          </w:tcPr>
          <w:p>
            <w:pPr>
              <w:keepNext/>
              <w:spacing w:after="0" w:line="240" w:lineRule="auto"/>
            </w:pPr>
            <w:r>
              <w:rPr>
                <w:rFonts w:ascii="Arial" w:hAnsi="Arial" w:eastAsia="Arial"/>
                <w:b w:val="0"/>
                <w:sz w:val="15"/>
              </w:rPr>
              <w:t>Exact linkage rule reported; reason-specific intermediate breakdown unavailable</w:t>
            </w:r>
          </w:p>
        </w:tc>
      </w:tr>
      <w:tr>
        <w:trPr>
          <w:cantSplit/>
        </w:trPr>
        <w:tc>
          <w:tcPr>
            <w:tcW w:type="dxa" w:w="3211"/>
            <w:vAlign w:val="center"/>
          </w:tcPr>
          <w:p>
            <w:pPr>
              <w:keepNext/>
              <w:spacing w:after="0" w:line="240" w:lineRule="auto"/>
            </w:pPr>
            <w:r>
              <w:rPr>
                <w:rFonts w:ascii="Arial" w:hAnsi="Arial" w:eastAsia="Arial"/>
                <w:b w:val="0"/>
                <w:sz w:val="15"/>
              </w:rPr>
              <w:t>Data cleaning and deduplication</w:t>
            </w:r>
          </w:p>
        </w:tc>
        <w:tc>
          <w:tcPr>
            <w:tcW w:type="dxa" w:w="3211"/>
            <w:vAlign w:val="center"/>
          </w:tcPr>
          <w:p>
            <w:pPr>
              <w:keepNext/>
              <w:spacing w:after="0" w:line="240" w:lineRule="auto"/>
            </w:pPr>
            <w:r>
              <w:rPr>
                <w:rFonts w:ascii="Arial" w:hAnsi="Arial" w:eastAsia="Arial"/>
                <w:b w:val="0"/>
                <w:sz w:val="15"/>
              </w:rPr>
              <w:t>Methods: Cohorts; the supplementary cohort-construction section</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Data access and privacy</w:t>
            </w:r>
          </w:p>
        </w:tc>
        <w:tc>
          <w:tcPr>
            <w:tcW w:type="dxa" w:w="3211"/>
            <w:vAlign w:val="center"/>
          </w:tcPr>
          <w:p>
            <w:pPr>
              <w:keepNext/>
              <w:spacing w:after="0" w:line="240" w:lineRule="auto"/>
            </w:pPr>
            <w:r>
              <w:rPr>
                <w:rFonts w:ascii="Arial" w:hAnsi="Arial" w:eastAsia="Arial"/>
                <w:b w:val="0"/>
                <w:sz w:val="15"/>
              </w:rPr>
              <w:t>Data availability; the supplementary sections ‘Data sources and acquisition boundary’ and ‘Aim 3 patient-flow network, service areas, privacy, and resilience’</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Flow of records and exclusions</w:t>
            </w:r>
          </w:p>
        </w:tc>
        <w:tc>
          <w:tcPr>
            <w:tcW w:type="dxa" w:w="3211"/>
            <w:vAlign w:val="center"/>
          </w:tcPr>
          <w:p>
            <w:pPr>
              <w:keepNext/>
              <w:spacing w:after="0" w:line="240" w:lineRule="auto"/>
            </w:pPr>
            <w:r>
              <w:rPr>
                <w:rFonts w:ascii="Arial" w:hAnsi="Arial" w:eastAsia="Arial"/>
                <w:b w:val="0"/>
                <w:sz w:val="15"/>
              </w:rPr>
              <w:t>Figure 1; the supplementary sections ‘Code lists, linkage, and cohort construction’ and ‘Variable availability and missing-data handling’</w:t>
            </w:r>
          </w:p>
        </w:tc>
        <w:tc>
          <w:tcPr>
            <w:tcW w:type="dxa" w:w="3211"/>
            <w:vAlign w:val="center"/>
          </w:tcPr>
          <w:p>
            <w:pPr>
              <w:keepNext/>
              <w:spacing w:after="0" w:line="240" w:lineRule="auto"/>
            </w:pPr>
            <w:r>
              <w:rPr>
                <w:rFonts w:ascii="Arial" w:hAnsi="Arial" w:eastAsia="Arial"/>
                <w:b w:val="0"/>
                <w:sz w:val="15"/>
              </w:rPr>
              <w:t>Aggregate flow reported; reason-specific intermediate breakdown unavailable</w:t>
            </w:r>
          </w:p>
        </w:tc>
      </w:tr>
      <w:tr>
        <w:trPr>
          <w:cantSplit/>
        </w:trPr>
        <w:tc>
          <w:tcPr>
            <w:tcW w:type="dxa" w:w="3211"/>
            <w:vAlign w:val="center"/>
          </w:tcPr>
          <w:p>
            <w:pPr>
              <w:keepNext w:val="0"/>
              <w:spacing w:after="0" w:line="240" w:lineRule="auto"/>
            </w:pPr>
            <w:r>
              <w:rPr>
                <w:rFonts w:ascii="Arial" w:hAnsi="Arial" w:eastAsia="Arial"/>
                <w:b w:val="0"/>
                <w:sz w:val="15"/>
              </w:rPr>
              <w:t>Extent of database access for replication</w:t>
            </w:r>
          </w:p>
        </w:tc>
        <w:tc>
          <w:tcPr>
            <w:tcW w:type="dxa" w:w="3211"/>
            <w:vAlign w:val="center"/>
          </w:tcPr>
          <w:p>
            <w:pPr>
              <w:keepNext w:val="0"/>
              <w:spacing w:after="0" w:line="240" w:lineRule="auto"/>
            </w:pPr>
            <w:r>
              <w:rPr>
                <w:rFonts w:ascii="Arial" w:hAnsi="Arial" w:eastAsia="Arial"/>
                <w:b w:val="0"/>
                <w:sz w:val="15"/>
              </w:rPr>
              <w:t>Code/Data availability; the supplementary reproducibility and declarations section</w:t>
            </w:r>
          </w:p>
        </w:tc>
        <w:tc>
          <w:tcPr>
            <w:tcW w:type="dxa" w:w="3211"/>
            <w:vAlign w:val="center"/>
          </w:tcPr>
          <w:p>
            <w:pPr>
              <w:keepNext w:val="0"/>
              <w:spacing w:after="0" w:line="240" w:lineRule="auto"/>
            </w:pPr>
            <w:r>
              <w:rPr>
                <w:rFonts w:ascii="Arial" w:hAnsi="Arial" w:eastAsia="Arial"/>
                <w:b w:val="0"/>
                <w:sz w:val="15"/>
              </w:rPr>
              <w:t>Reported with restricted-row boundary</w:t>
            </w:r>
          </w:p>
        </w:tc>
      </w:tr>
    </w:tbl>
    <w:p>
      <w:pPr>
        <w:spacing w:after="160"/>
      </w:pPr>
      <w:r>
        <w:rPr>
          <w:i/>
          <w:sz w:val="16"/>
        </w:rPr>
        <w:t>AIH, Autorização de Internação Hospitalar; ERCP, endoscopic retrograde cholangiopancreatography.</w:t>
      </w:r>
    </w:p>
    <w:p>
      <w:pPr>
        <w:pStyle w:val="Heading1"/>
      </w:pPr>
      <w:r>
        <w:t>STROBE reporting checklist</w:t>
      </w:r>
    </w:p>
    <w:p>
      <w:pPr>
        <w:keepNext/>
      </w:pPr>
      <w:r>
        <w:rPr>
          <w:b/>
          <w:sz w:val="19"/>
        </w:rPr>
        <w:t>Supplementary Table 6. STROBE reporting checklist.</w:t>
      </w:r>
    </w:p>
    <w:tbl>
      <w:tblPr>
        <w:tblStyle w:val="TableGrid"/>
        <w:tblW w:type="auto" w:w="0"/>
        <w:jc w:val="center"/>
        <w:tblLook w:firstColumn="1" w:firstRow="1" w:lastColumn="0" w:lastRow="0" w:noHBand="0" w:noVBand="1" w:val="04A0"/>
      </w:tblPr>
      <w:tblGrid>
        <w:gridCol w:w="3211"/>
        <w:gridCol w:w="3211"/>
        <w:gridCol w:w="3211"/>
      </w:tblGrid>
      <w:tr>
        <w:trPr>
          <w:cantSplit/>
          <w:tblHeader w:val="true"/>
        </w:trPr>
        <w:tc>
          <w:tcPr>
            <w:tcW w:type="dxa" w:w="3211"/>
            <w:vAlign w:val="center"/>
            <w:shd w:fill="D9EAF7"/>
          </w:tcPr>
          <w:p>
            <w:pPr>
              <w:keepNext/>
              <w:spacing w:after="0" w:line="240" w:lineRule="auto"/>
            </w:pPr>
            <w:r>
              <w:rPr>
                <w:rFonts w:ascii="Arial" w:hAnsi="Arial" w:eastAsia="Arial"/>
                <w:b/>
                <w:sz w:val="15"/>
              </w:rPr>
              <w:t>STROBE item</w:t>
            </w:r>
          </w:p>
        </w:tc>
        <w:tc>
          <w:tcPr>
            <w:tcW w:type="dxa" w:w="3211"/>
            <w:vAlign w:val="center"/>
            <w:shd w:fill="D9EAF7"/>
          </w:tcPr>
          <w:p>
            <w:pPr>
              <w:keepNext/>
              <w:spacing w:after="0" w:line="240" w:lineRule="auto"/>
            </w:pPr>
            <w:r>
              <w:rPr>
                <w:rFonts w:ascii="Arial" w:hAnsi="Arial" w:eastAsia="Arial"/>
                <w:b/>
                <w:sz w:val="15"/>
              </w:rPr>
              <w:t>Locator</w:t>
            </w:r>
          </w:p>
        </w:tc>
        <w:tc>
          <w:tcPr>
            <w:tcW w:type="dxa" w:w="3211"/>
            <w:vAlign w:val="center"/>
            <w:shd w:fill="D9EAF7"/>
          </w:tcPr>
          <w:p>
            <w:pPr>
              <w:keepNext/>
              <w:spacing w:after="0" w:line="240" w:lineRule="auto"/>
            </w:pPr>
            <w:r>
              <w:rPr>
                <w:rFonts w:ascii="Arial" w:hAnsi="Arial" w:eastAsia="Arial"/>
                <w:b/>
                <w:sz w:val="15"/>
              </w:rPr>
              <w:t>Status</w:t>
            </w:r>
          </w:p>
        </w:tc>
      </w:tr>
      <w:tr>
        <w:trPr>
          <w:cantSplit/>
        </w:trPr>
        <w:tc>
          <w:tcPr>
            <w:tcW w:type="dxa" w:w="3211"/>
            <w:vAlign w:val="center"/>
          </w:tcPr>
          <w:p>
            <w:pPr>
              <w:keepNext/>
              <w:spacing w:after="0" w:line="240" w:lineRule="auto"/>
            </w:pPr>
            <w:r>
              <w:rPr>
                <w:rFonts w:ascii="Arial" w:hAnsi="Arial" w:eastAsia="Arial"/>
                <w:b w:val="0"/>
                <w:sz w:val="15"/>
              </w:rPr>
              <w:t>Title/abstract design</w:t>
            </w:r>
          </w:p>
        </w:tc>
        <w:tc>
          <w:tcPr>
            <w:tcW w:type="dxa" w:w="3211"/>
            <w:vAlign w:val="center"/>
          </w:tcPr>
          <w:p>
            <w:pPr>
              <w:keepNext/>
              <w:spacing w:after="0" w:line="240" w:lineRule="auto"/>
            </w:pPr>
            <w:r>
              <w:rPr>
                <w:rFonts w:ascii="Arial" w:hAnsi="Arial" w:eastAsia="Arial"/>
                <w:b w:val="0"/>
                <w:sz w:val="15"/>
              </w:rPr>
              <w:t>Title; Structured abstract</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Background and objectives</w:t>
            </w:r>
          </w:p>
        </w:tc>
        <w:tc>
          <w:tcPr>
            <w:tcW w:type="dxa" w:w="3211"/>
            <w:vAlign w:val="center"/>
          </w:tcPr>
          <w:p>
            <w:pPr>
              <w:keepNext/>
              <w:spacing w:after="0" w:line="240" w:lineRule="auto"/>
            </w:pPr>
            <w:r>
              <w:rPr>
                <w:rFonts w:ascii="Arial" w:hAnsi="Arial" w:eastAsia="Arial"/>
                <w:b w:val="0"/>
                <w:sz w:val="15"/>
              </w:rPr>
              <w:t>Introduction</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Study design, setting, dates</w:t>
            </w:r>
          </w:p>
        </w:tc>
        <w:tc>
          <w:tcPr>
            <w:tcW w:type="dxa" w:w="3211"/>
            <w:vAlign w:val="center"/>
          </w:tcPr>
          <w:p>
            <w:pPr>
              <w:keepNext/>
              <w:spacing w:after="0" w:line="240" w:lineRule="auto"/>
            </w:pPr>
            <w:r>
              <w:rPr>
                <w:rFonts w:ascii="Arial" w:hAnsi="Arial" w:eastAsia="Arial"/>
                <w:b w:val="0"/>
                <w:sz w:val="15"/>
              </w:rPr>
              <w:t>Methods: Study design</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Participants and eligibility</w:t>
            </w:r>
          </w:p>
        </w:tc>
        <w:tc>
          <w:tcPr>
            <w:tcW w:type="dxa" w:w="3211"/>
            <w:vAlign w:val="center"/>
          </w:tcPr>
          <w:p>
            <w:pPr>
              <w:keepNext/>
              <w:spacing w:after="0" w:line="240" w:lineRule="auto"/>
            </w:pPr>
            <w:r>
              <w:rPr>
                <w:rFonts w:ascii="Arial" w:hAnsi="Arial" w:eastAsia="Arial"/>
                <w:b w:val="0"/>
                <w:sz w:val="15"/>
              </w:rPr>
              <w:t>Methods: Cohorts; the supplementary cohort-construction section</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Variables, outcomes, exposures, confounders</w:t>
            </w:r>
          </w:p>
        </w:tc>
        <w:tc>
          <w:tcPr>
            <w:tcW w:type="dxa" w:w="3211"/>
            <w:vAlign w:val="center"/>
          </w:tcPr>
          <w:p>
            <w:pPr>
              <w:keepNext/>
              <w:spacing w:after="0" w:line="240" w:lineRule="auto"/>
            </w:pPr>
            <w:r>
              <w:rPr>
                <w:rFonts w:ascii="Arial" w:hAnsi="Arial" w:eastAsia="Arial"/>
                <w:b w:val="0"/>
                <w:sz w:val="15"/>
              </w:rPr>
              <w:t>Methods by aim; the supplementary estimand map and Aim 4 section</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Data sources and measurement</w:t>
            </w:r>
          </w:p>
        </w:tc>
        <w:tc>
          <w:tcPr>
            <w:tcW w:type="dxa" w:w="3211"/>
            <w:vAlign w:val="center"/>
          </w:tcPr>
          <w:p>
            <w:pPr>
              <w:keepNext/>
              <w:spacing w:after="0" w:line="240" w:lineRule="auto"/>
            </w:pPr>
            <w:r>
              <w:rPr>
                <w:rFonts w:ascii="Arial" w:hAnsi="Arial" w:eastAsia="Arial"/>
                <w:b w:val="0"/>
                <w:sz w:val="15"/>
              </w:rPr>
              <w:t>Methods: Data sources; the supplementary sections on data sources and the aim-specific methods</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Bias</w:t>
            </w:r>
          </w:p>
        </w:tc>
        <w:tc>
          <w:tcPr>
            <w:tcW w:type="dxa" w:w="3211"/>
            <w:vAlign w:val="center"/>
          </w:tcPr>
          <w:p>
            <w:pPr>
              <w:keepNext/>
              <w:spacing w:after="0" w:line="240" w:lineRule="auto"/>
            </w:pPr>
            <w:r>
              <w:rPr>
                <w:rFonts w:ascii="Arial" w:hAnsi="Arial" w:eastAsia="Arial"/>
                <w:b w:val="0"/>
                <w:sz w:val="15"/>
              </w:rPr>
              <w:t>Methods: Missing data; Discussion limitations</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Study size</w:t>
            </w:r>
          </w:p>
        </w:tc>
        <w:tc>
          <w:tcPr>
            <w:tcW w:type="dxa" w:w="3211"/>
            <w:vAlign w:val="center"/>
          </w:tcPr>
          <w:p>
            <w:pPr>
              <w:keepNext/>
              <w:spacing w:after="0" w:line="240" w:lineRule="auto"/>
            </w:pPr>
            <w:r>
              <w:rPr>
                <w:rFonts w:ascii="Arial" w:hAnsi="Arial" w:eastAsia="Arial"/>
                <w:b w:val="0"/>
                <w:sz w:val="15"/>
              </w:rPr>
              <w:t>National administrative census; the supplementary estimand map</w:t>
            </w:r>
          </w:p>
        </w:tc>
        <w:tc>
          <w:tcPr>
            <w:tcW w:type="dxa" w:w="3211"/>
            <w:vAlign w:val="center"/>
          </w:tcPr>
          <w:p>
            <w:pPr>
              <w:keepNext/>
              <w:spacing w:after="0" w:line="240" w:lineRule="auto"/>
            </w:pPr>
            <w:r>
              <w:rPr>
                <w:rFonts w:ascii="Arial" w:hAnsi="Arial" w:eastAsia="Arial"/>
                <w:b w:val="0"/>
                <w:sz w:val="15"/>
              </w:rPr>
              <w:t>Reported; no sampling power calculation used</w:t>
            </w:r>
          </w:p>
        </w:tc>
      </w:tr>
      <w:tr>
        <w:trPr>
          <w:cantSplit/>
        </w:trPr>
        <w:tc>
          <w:tcPr>
            <w:tcW w:type="dxa" w:w="3211"/>
            <w:vAlign w:val="center"/>
          </w:tcPr>
          <w:p>
            <w:pPr>
              <w:keepNext/>
              <w:spacing w:after="0" w:line="240" w:lineRule="auto"/>
            </w:pPr>
            <w:r>
              <w:rPr>
                <w:rFonts w:ascii="Arial" w:hAnsi="Arial" w:eastAsia="Arial"/>
                <w:b w:val="0"/>
                <w:sz w:val="15"/>
              </w:rPr>
              <w:t>Quantitative variables and statistical methods</w:t>
            </w:r>
          </w:p>
        </w:tc>
        <w:tc>
          <w:tcPr>
            <w:tcW w:type="dxa" w:w="3211"/>
            <w:vAlign w:val="center"/>
          </w:tcPr>
          <w:p>
            <w:pPr>
              <w:keepNext/>
              <w:spacing w:after="0" w:line="240" w:lineRule="auto"/>
            </w:pPr>
            <w:r>
              <w:rPr>
                <w:rFonts w:ascii="Arial" w:hAnsi="Arial" w:eastAsia="Arial"/>
                <w:b w:val="0"/>
                <w:sz w:val="15"/>
              </w:rPr>
              <w:t>Methods by aim; the supplementary estimand map and aim-specific sections</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Missing data</w:t>
            </w:r>
          </w:p>
        </w:tc>
        <w:tc>
          <w:tcPr>
            <w:tcW w:type="dxa" w:w="3211"/>
            <w:vAlign w:val="center"/>
          </w:tcPr>
          <w:p>
            <w:pPr>
              <w:keepNext/>
              <w:spacing w:after="0" w:line="240" w:lineRule="auto"/>
            </w:pPr>
            <w:r>
              <w:rPr>
                <w:rFonts w:ascii="Arial" w:hAnsi="Arial" w:eastAsia="Arial"/>
                <w:b w:val="0"/>
                <w:sz w:val="15"/>
              </w:rPr>
              <w:t>Methods; the supplementary missing-data section</w:t>
            </w:r>
          </w:p>
        </w:tc>
        <w:tc>
          <w:tcPr>
            <w:tcW w:type="dxa" w:w="3211"/>
            <w:vAlign w:val="center"/>
          </w:tcPr>
          <w:p>
            <w:pPr>
              <w:keepNext/>
              <w:spacing w:after="0" w:line="240" w:lineRule="auto"/>
            </w:pPr>
            <w:r>
              <w:rPr>
                <w:rFonts w:ascii="Arial" w:hAnsi="Arial" w:eastAsia="Arial"/>
                <w:b w:val="0"/>
                <w:sz w:val="15"/>
              </w:rPr>
              <w:t>Reported within frozen local evidence limits</w:t>
            </w:r>
          </w:p>
        </w:tc>
      </w:tr>
      <w:tr>
        <w:trPr>
          <w:cantSplit/>
        </w:trPr>
        <w:tc>
          <w:tcPr>
            <w:tcW w:type="dxa" w:w="3211"/>
            <w:vAlign w:val="center"/>
          </w:tcPr>
          <w:p>
            <w:pPr>
              <w:keepNext/>
              <w:spacing w:after="0" w:line="240" w:lineRule="auto"/>
            </w:pPr>
            <w:r>
              <w:rPr>
                <w:rFonts w:ascii="Arial" w:hAnsi="Arial" w:eastAsia="Arial"/>
                <w:b w:val="0"/>
                <w:sz w:val="15"/>
              </w:rPr>
              <w:t>Participants and descriptive data</w:t>
            </w:r>
          </w:p>
        </w:tc>
        <w:tc>
          <w:tcPr>
            <w:tcW w:type="dxa" w:w="3211"/>
            <w:vAlign w:val="center"/>
          </w:tcPr>
          <w:p>
            <w:pPr>
              <w:keepNext/>
              <w:spacing w:after="0" w:line="240" w:lineRule="auto"/>
            </w:pPr>
            <w:r>
              <w:rPr>
                <w:rFonts w:ascii="Arial" w:hAnsi="Arial" w:eastAsia="Arial"/>
                <w:b w:val="0"/>
                <w:sz w:val="15"/>
              </w:rPr>
              <w:t>Results; Figures 1–2; Tables 1–2</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spacing w:after="0" w:line="240" w:lineRule="auto"/>
            </w:pPr>
            <w:r>
              <w:rPr>
                <w:rFonts w:ascii="Arial" w:hAnsi="Arial" w:eastAsia="Arial"/>
                <w:b w:val="0"/>
                <w:sz w:val="15"/>
              </w:rPr>
              <w:t>Outcome and main results</w:t>
            </w:r>
          </w:p>
        </w:tc>
        <w:tc>
          <w:tcPr>
            <w:tcW w:type="dxa" w:w="3211"/>
            <w:vAlign w:val="center"/>
          </w:tcPr>
          <w:p>
            <w:pPr>
              <w:keepNext/>
              <w:spacing w:after="0" w:line="240" w:lineRule="auto"/>
            </w:pPr>
            <w:r>
              <w:rPr>
                <w:rFonts w:ascii="Arial" w:hAnsi="Arial" w:eastAsia="Arial"/>
                <w:b w:val="0"/>
                <w:sz w:val="15"/>
              </w:rPr>
              <w:t>Results; Figures 3–6, Supplementary Figure 1, and Supplementary Tables 5–6</w:t>
            </w:r>
          </w:p>
        </w:tc>
        <w:tc>
          <w:tcPr>
            <w:tcW w:type="dxa" w:w="3211"/>
            <w:vAlign w:val="center"/>
          </w:tcPr>
          <w:p>
            <w:pPr>
              <w:keepNext/>
              <w:spacing w:after="0" w:line="240" w:lineRule="auto"/>
            </w:pPr>
            <w:r>
              <w:rPr>
                <w:rFonts w:ascii="Arial" w:hAnsi="Arial" w:eastAsia="Arial"/>
                <w:b w:val="0"/>
                <w:sz w:val="15"/>
              </w:rPr>
              <w:t>Reported with downgrades</w:t>
            </w:r>
          </w:p>
        </w:tc>
      </w:tr>
      <w:tr>
        <w:trPr>
          <w:cantSplit/>
        </w:trPr>
        <w:tc>
          <w:tcPr>
            <w:tcW w:type="dxa" w:w="3211"/>
            <w:vAlign w:val="center"/>
          </w:tcPr>
          <w:p>
            <w:pPr>
              <w:keepNext/>
              <w:spacing w:after="0" w:line="240" w:lineRule="auto"/>
            </w:pPr>
            <w:r>
              <w:rPr>
                <w:rFonts w:ascii="Arial" w:hAnsi="Arial" w:eastAsia="Arial"/>
                <w:b w:val="0"/>
                <w:sz w:val="15"/>
              </w:rPr>
              <w:t>Other analyses</w:t>
            </w:r>
          </w:p>
        </w:tc>
        <w:tc>
          <w:tcPr>
            <w:tcW w:type="dxa" w:w="3211"/>
            <w:vAlign w:val="center"/>
          </w:tcPr>
          <w:p>
            <w:pPr>
              <w:keepNext/>
              <w:spacing w:after="0" w:line="240" w:lineRule="auto"/>
            </w:pPr>
            <w:r>
              <w:rPr>
                <w:rFonts w:ascii="Arial" w:hAnsi="Arial" w:eastAsia="Arial"/>
                <w:b w:val="0"/>
                <w:sz w:val="15"/>
              </w:rPr>
              <w:t>the supplementary aim-specific and quasi-causal eligibility sections</w:t>
            </w:r>
          </w:p>
        </w:tc>
        <w:tc>
          <w:tcPr>
            <w:tcW w:type="dxa" w:w="3211"/>
            <w:vAlign w:val="center"/>
          </w:tcPr>
          <w:p>
            <w:pPr>
              <w:keepNext/>
              <w:spacing w:after="0" w:line="240" w:lineRule="auto"/>
            </w:pPr>
            <w:r>
              <w:rPr>
                <w:rFonts w:ascii="Arial" w:hAnsi="Arial" w:eastAsia="Arial"/>
                <w:b w:val="0"/>
                <w:sz w:val="15"/>
              </w:rPr>
              <w:t>Reported; planned quasi-causal estimates excluded</w:t>
            </w:r>
          </w:p>
        </w:tc>
      </w:tr>
      <w:tr>
        <w:trPr>
          <w:cantSplit/>
        </w:trPr>
        <w:tc>
          <w:tcPr>
            <w:tcW w:type="dxa" w:w="3211"/>
            <w:vAlign w:val="center"/>
          </w:tcPr>
          <w:p>
            <w:pPr>
              <w:keepNext/>
              <w:spacing w:after="0" w:line="240" w:lineRule="auto"/>
            </w:pPr>
            <w:r>
              <w:rPr>
                <w:rFonts w:ascii="Arial" w:hAnsi="Arial" w:eastAsia="Arial"/>
                <w:b w:val="0"/>
                <w:sz w:val="15"/>
              </w:rPr>
              <w:t>Key results, limitations, interpretation, generalisability</w:t>
            </w:r>
          </w:p>
        </w:tc>
        <w:tc>
          <w:tcPr>
            <w:tcW w:type="dxa" w:w="3211"/>
            <w:vAlign w:val="center"/>
          </w:tcPr>
          <w:p>
            <w:pPr>
              <w:keepNext/>
              <w:spacing w:after="0" w:line="240" w:lineRule="auto"/>
            </w:pPr>
            <w:r>
              <w:rPr>
                <w:rFonts w:ascii="Arial" w:hAnsi="Arial" w:eastAsia="Arial"/>
                <w:b w:val="0"/>
                <w:sz w:val="15"/>
              </w:rPr>
              <w:t>Discussion</w:t>
            </w:r>
          </w:p>
        </w:tc>
        <w:tc>
          <w:tcPr>
            <w:tcW w:type="dxa" w:w="3211"/>
            <w:vAlign w:val="center"/>
          </w:tcPr>
          <w:p>
            <w:pPr>
              <w:keepNext/>
              <w:spacing w:after="0" w:line="240" w:lineRule="auto"/>
            </w:pPr>
            <w:r>
              <w:rPr>
                <w:rFonts w:ascii="Arial" w:hAnsi="Arial" w:eastAsia="Arial"/>
                <w:b w:val="0"/>
                <w:sz w:val="15"/>
              </w:rPr>
              <w:t>Reported</w:t>
            </w:r>
          </w:p>
        </w:tc>
      </w:tr>
      <w:tr>
        <w:trPr>
          <w:cantSplit/>
        </w:trPr>
        <w:tc>
          <w:tcPr>
            <w:tcW w:type="dxa" w:w="3211"/>
            <w:vAlign w:val="center"/>
          </w:tcPr>
          <w:p>
            <w:pPr>
              <w:keepNext w:val="0"/>
              <w:spacing w:after="0" w:line="240" w:lineRule="auto"/>
            </w:pPr>
            <w:r>
              <w:rPr>
                <w:rFonts w:ascii="Arial" w:hAnsi="Arial" w:eastAsia="Arial"/>
                <w:b w:val="0"/>
                <w:sz w:val="15"/>
              </w:rPr>
              <w:t>Funding</w:t>
            </w:r>
          </w:p>
        </w:tc>
        <w:tc>
          <w:tcPr>
            <w:tcW w:type="dxa" w:w="3211"/>
            <w:vAlign w:val="center"/>
          </w:tcPr>
          <w:p>
            <w:pPr>
              <w:keepNext w:val="0"/>
              <w:spacing w:after="0" w:line="240" w:lineRule="auto"/>
            </w:pPr>
            <w:r>
              <w:rPr>
                <w:rFonts w:ascii="Arial" w:hAnsi="Arial" w:eastAsia="Arial"/>
                <w:b w:val="0"/>
                <w:sz w:val="15"/>
              </w:rPr>
              <w:t>Declarations</w:t>
            </w:r>
          </w:p>
        </w:tc>
        <w:tc>
          <w:tcPr>
            <w:tcW w:type="dxa" w:w="3211"/>
            <w:vAlign w:val="center"/>
          </w:tcPr>
          <w:p>
            <w:pPr>
              <w:keepNext w:val="0"/>
              <w:spacing w:after="0" w:line="240" w:lineRule="auto"/>
            </w:pPr>
            <w:r>
              <w:rPr>
                <w:rFonts w:ascii="Arial" w:hAnsi="Arial" w:eastAsia="Arial"/>
                <w:b w:val="0"/>
                <w:sz w:val="15"/>
              </w:rPr>
              <w:t>Pending author metadata</w:t>
            </w:r>
          </w:p>
        </w:tc>
      </w:tr>
    </w:tbl>
    <w:p>
      <w:pPr>
        <w:spacing w:after="160"/>
      </w:pPr>
      <w:r>
        <w:rPr>
          <w:i/>
          <w:sz w:val="16"/>
        </w:rPr>
        <w:t>AIH, Autorização de Internação Hospitalar; ERCP, endoscopic retrograde cholangiopancreatography.</w:t>
      </w:r>
    </w:p>
    <w:sectPr w:rsidR="00FC693F" w:rsidRPr="0006063C" w:rsidSect="00034616">
      <w:footerReference w:type="default" r:id="rId10"/>
      <w:pgSz w:w="12240" w:h="15840"/>
      <w:pgMar w:top="1247" w:right="1304" w:bottom="1247" w:left="130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jc w:val="center"/>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
  <dc:creator>Shuo Feng et al.</dc:creator>
  <cp:keywords/>
  <dc:description/>
  <cp:lastModifiedBy/>
  <cp:revision>1</cp:revision>
  <dcterms:created xsi:type="dcterms:W3CDTF">2013-12-23T23:15:00Z</dcterms:created>
  <dcterms:modified xsi:type="dcterms:W3CDTF">2013-12-23T23:15:00Z</dcterms:modified>
  <cp:category/>
</cp:coreProperties>
</file>