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Tables for editor</w:t>
      </w:r>
    </w:p>
    <w:p>
      <w:pPr>
        <w:widowControl/>
        <w:jc w:val="both"/>
      </w:pPr>
      <w:r>
        <w:t>Observed uptake, geographic reach, and patient-flow structure of therapeutic ERCP in Brazil's Unified Health System, 2021-2025</w:t>
      </w:r>
    </w:p>
    <w:p>
      <w:pPr>
        <w:widowControl/>
        <w:spacing w:before="100" w:after="60"/>
        <w:jc w:val="center"/>
      </w:pPr>
      <w:r>
        <w:rPr>
          <w:b/>
          <w:sz w:val="22"/>
        </w:rPr>
        <w:t>Shuo Feng¹, Chao Shi¹, Tianming Liu¹, Haoran Ding¹, Fenghe Hang¹, Zhenghao Huang¹, Xianzhi Meng¹*</w:t>
      </w:r>
    </w:p>
    <w:p>
      <w:pPr>
        <w:keepNext/>
      </w:pPr>
      <w:r>
        <w:rPr>
          <w:b/>
          <w:sz w:val="19"/>
        </w:rPr>
        <w:t>Table 1. Study cohorts and analytical population.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  <w:tblHeader w:val="true"/>
        </w:trPr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Measure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Value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Denominator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Evidence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Key limitation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Cohort A unique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91,175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Billing AIHs are deduplicated administrative records, not independently adjudicated clinical cases.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Cohort B final unique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33,497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91,175 Cohort A unique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Administrative diagnosis fields do not provide chart-adjudicated phenotype validation.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Hospitals with observed coded therapeutic ERCP use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445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This is observed uptake, not a true technology-adoption date.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4 complete primary analysis rows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30,900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33,497 Cohort B unique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Complete-context restriction and residual confounding limit generalisability and causal interpretation.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4 hospitals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360 hospitals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30,900 Aim 4 analysis AIHs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Hospital-level associations remain susceptible to residual confounding and referral selection.</w:t>
            </w:r>
          </w:p>
        </w:tc>
      </w:tr>
    </w:tbl>
    <w:p>
      <w:pPr>
        <w:spacing w:after="160"/>
      </w:pPr>
      <w:r>
        <w:rPr>
          <w:i/>
          <w:sz w:val="16"/>
        </w:rPr>
        <w:t>AIH, Autorização de Internação Hospitalar; ERCP, endoscopic retrograde cholangiopancreatography.</w:t>
      </w:r>
    </w:p>
    <w:p>
      <w:pPr>
        <w:keepNext/>
      </w:pPr>
      <w:r>
        <w:rPr>
          <w:b/>
          <w:sz w:val="19"/>
        </w:rPr>
        <w:t>Table 2. Observed therapeutic ERCP use and maintenance by hospital.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  <w:tblHeader w:val="true"/>
        </w:trPr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Measure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Value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Denominator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Evidence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Key limitation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Hospitals with observed coded therapeutic ERCP use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445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This is observed uptake, not a true technology-adoption date.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Prevalent users at the January 2021 boundary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23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445 hospitals ever observed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The observation boundary cannot distinguish earlier use from first use.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in 2021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176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445 hospitals ever observed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is not a true adoption date.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in 2022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83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445 hospitals ever observed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is not a true adoption date.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in 2023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66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445 hospitals ever observed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is not a true adoption date.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in 2024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63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445 hospitals ever observed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is not a true adoption date.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in 2025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57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445 hospitals ever observed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observed coded use is not a true adoption date.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Maintained service through first completed 12 months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252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390 first-12-month evaluable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Maintenance is defined from coded billing continuity rather than audited service capacity.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First-observed-use model status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PASS WITH WARNING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Events per parameter were below the conventional 10-per-parameter heuristic; results are associational.</w:t>
            </w:r>
          </w:p>
        </w:tc>
      </w:tr>
    </w:tbl>
    <w:p>
      <w:pPr>
        <w:spacing w:after="160"/>
      </w:pPr>
      <w:r>
        <w:rPr>
          <w:i/>
          <w:sz w:val="16"/>
        </w:rPr>
        <w:t>AIH, Autorização de Internação Hospitalar; ERCP, endoscopic retrograde cholangiopancreatography.</w:t>
      </w:r>
    </w:p>
    <w:p>
      <w:pPr>
        <w:keepNext/>
      </w:pPr>
      <w:r>
        <w:rPr>
          <w:b/>
          <w:sz w:val="19"/>
        </w:rPr>
        <w:t>Supplementary Table 1. Data sources and acquisition boundaries.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  <w:tblHeader w:val="true"/>
        </w:trPr>
        <w:tc>
          <w:tcPr>
            <w:tcW w:type="dxa" w:w="2408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Source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Custodian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Analytical role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Sharing boundary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SIH/SUS hospitalisation and procedure-detail records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DATASUS, Ministry of Health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AIH unit, procedure code, diagnoses, residence, provider, in-hospital disposition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Restricted individual rows are not redistributed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CNES-PF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DATASUS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Time-aligned hospital eligibility and capacity context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Public-source acquisition instructions only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Population and municipality geometry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IBGE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Adult denominators, municipal identifiers, geometry, audited city-seat anchors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Publicly documented acquisition route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IVS 2010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Ipea-linked official source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Static municipal ecological context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No individual socioeconomic interpretation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Supplementary-insurance coverage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ANS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Municipal contextual measure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Contextual, not individual insurance status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OpenStreetMap extract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OpenStreetMap contributors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Road graph (brazil-260822.osm.pbf)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Licence and acquisition route documented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GraphHopper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Local reproducible service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ercp_car route and contour profile</w:t>
            </w:r>
          </w:p>
        </w:tc>
        <w:tc>
          <w:tcPr>
            <w:tcW w:type="dxa" w:w="2408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Version/configuration evidence must be mirrored before final integrity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CONITEC, Portarias, SIGTAP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Ministry of Health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Policy and code chronology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Official sources and access dates documented</w:t>
            </w:r>
          </w:p>
        </w:tc>
      </w:tr>
    </w:tbl>
    <w:p>
      <w:pPr>
        <w:spacing w:after="160"/>
      </w:pPr>
      <w:r>
        <w:rPr>
          <w:i/>
          <w:sz w:val="16"/>
        </w:rPr>
        <w:t>AIH, Autorização de Internação Hospitalar; ERCP, endoscopic retrograde cholangiopancreatography.</w:t>
      </w:r>
    </w:p>
    <w:p>
      <w:pPr>
        <w:keepNext/>
      </w:pPr>
      <w:r>
        <w:rPr>
          <w:b/>
          <w:sz w:val="19"/>
        </w:rPr>
        <w:t>Supplementary Table 2. Cross-aim estimands, denominators, and analysis boundaries.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 w:val="true"/>
        </w:trPr>
        <w:tc>
          <w:tcPr>
            <w:tcW w:type="dxa" w:w="137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Component</w:t>
            </w:r>
          </w:p>
        </w:tc>
        <w:tc>
          <w:tcPr>
            <w:tcW w:type="dxa" w:w="137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Cohort / unit</w:t>
            </w:r>
          </w:p>
        </w:tc>
        <w:tc>
          <w:tcPr>
            <w:tcW w:type="dxa" w:w="137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Denominator</w:t>
            </w:r>
          </w:p>
        </w:tc>
        <w:tc>
          <w:tcPr>
            <w:tcW w:type="dxa" w:w="137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Estimand or descriptive target</w:t>
            </w:r>
          </w:p>
        </w:tc>
        <w:tc>
          <w:tcPr>
            <w:tcW w:type="dxa" w:w="137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Inference level</w:t>
            </w:r>
          </w:p>
        </w:tc>
        <w:tc>
          <w:tcPr>
            <w:tcW w:type="dxa" w:w="137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Missingness / unknown rule</w:t>
            </w:r>
          </w:p>
        </w:tc>
        <w:tc>
          <w:tcPr>
            <w:tcW w:type="dxa" w:w="137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Reporting status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1 observed uptake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Cohort A hospitals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445 hospitals ever observed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First month of observed coded therapeutic ERCP use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January 2021 active hospitals are left-censored prevalent users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1 maintenance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Cohort A hospitals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390 with a completed first 12-month window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Activity in at least 6 months of the first completed 12-month window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Incomplete windows excluded from the risk set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252/390 (64.6%); reported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1 first-observed-use model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Eligible hospital-months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Frozen CNES risk set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 model of first observed coded use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No causal adoption interpretation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Associational; limited events per parameter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2 ecological equity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Cohort B municipality-years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27,825 municipality-years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Adult-standardised treated-use gradient across ranked IVS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Ecological associational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Static 2010 IVS; no individual interpretation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SII and RII reported; modified-Poisson inference DOWNGRADE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2 realised routes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Cohort B routed AIHs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33,321 routed AIHs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Flow-weighted route-time distribution among treated flows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Unrouted flows excluded from route summaries; no unmet-need inference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2 potential reach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Adult municipality-year population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801,100,903 adult person-years in anchor audit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Population within 120 and cumulative 180 road-minutes of observed provider municipalities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 modelled opportunity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Invalid anchors remain unknown; one municipality unknown in 2025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National component reported; regional and vulnerability-gap components NOT_EVALUATED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3 patient-flow network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Observed residence-to-provider flows and pooled municipal projection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3,338 nodes; 166,959 shared-destination edges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Destination and shared-destination structure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Public cells below 5 suppressed; no patient-to-patient interpretation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3 service areas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Residence municipality-year records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5,565 municipal IVS records for contextual summaries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Modal observed destination and destination share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Suppressed flows remain suppressed; no need or appropriateness inference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3 structural resilience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Potential-access matrix / adults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8,723,036 matrix rows; 142,299 reachable rows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Adults losing an alternative provider under targeted hub removal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Descriptive structural stress test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Complete-case and upper-bound handling retain unknown anchors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 as a structural stress test; not a real-world counterfactual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4 supportive outcome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Cohort B complete-context AIHs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30,900 AIHs; 378 deaths; 360 hospitals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Standardised risk contrast at hospital-volume p90 versus p10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Associational/supportive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Complete-context design; no imputation-based alternative was used</w:t>
            </w:r>
          </w:p>
        </w:tc>
        <w:tc>
          <w:tcPr>
            <w:tcW w:type="dxa" w:w="137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Bootstrap DOWNGRADE; formal CI NOT_EVALUATED</w:t>
            </w:r>
          </w:p>
        </w:tc>
      </w:tr>
      <w:tr>
        <w:trPr>
          <w:cantSplit/>
        </w:trPr>
        <w:tc>
          <w:tcPr>
            <w:tcW w:type="dxa" w:w="137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Planned staggered-uptake analysis</w:t>
            </w:r>
          </w:p>
        </w:tc>
        <w:tc>
          <w:tcPr>
            <w:tcW w:type="dxa" w:w="137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Hospital-month design</w:t>
            </w:r>
          </w:p>
        </w:tc>
        <w:tc>
          <w:tcPr>
            <w:tcW w:type="dxa" w:w="137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No pre-first-observed-use hospital-months</w:t>
            </w:r>
          </w:p>
        </w:tc>
        <w:tc>
          <w:tcPr>
            <w:tcW w:type="dxa" w:w="137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Planned quasi-causal family</w:t>
            </w:r>
          </w:p>
        </w:tc>
        <w:tc>
          <w:tcPr>
            <w:tcW w:type="dxa" w:w="137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Not a release result</w:t>
            </w:r>
          </w:p>
        </w:tc>
        <w:tc>
          <w:tcPr>
            <w:tcW w:type="dxa" w:w="137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Structural absence of pre-period observations</w:t>
            </w:r>
          </w:p>
        </w:tc>
        <w:tc>
          <w:tcPr>
            <w:tcW w:type="dxa" w:w="137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Not reported because pre-period observations were unavailable</w:t>
            </w:r>
          </w:p>
        </w:tc>
      </w:tr>
    </w:tbl>
    <w:p>
      <w:pPr>
        <w:spacing w:after="160"/>
      </w:pPr>
      <w:r>
        <w:rPr>
          <w:i/>
          <w:sz w:val="16"/>
        </w:rPr>
        <w:t>AIH, Autorização de Internação Hospitalar; ERCP, endoscopic retrograde cholangiopancreatography.</w:t>
      </w:r>
    </w:p>
    <w:p>
      <w:pPr>
        <w:keepNext/>
      </w:pPr>
      <w:r>
        <w:rPr>
          <w:b/>
          <w:sz w:val="19"/>
        </w:rPr>
        <w:t>Supplementary Table 3. Ecological equity, travel, potential reach, and network measures.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  <w:tblHeader w:val="true"/>
        </w:trPr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3"/>
              </w:rPr>
              <w:t>Measure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3"/>
              </w:rPr>
              <w:t>Value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3"/>
              </w:rPr>
              <w:t>Denominator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3"/>
              </w:rPr>
              <w:t>Evidence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3"/>
              </w:rPr>
              <w:t>Key limitation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IVS relative index of inequality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0.55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27,825 municipality-years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IVS is an ecological contextual exposure and does not identify individual socioeconomic effects.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IVS slope index of inequality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-2.56 treated AIHs per 100,000 adults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27,825 municipality-years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IVS is an ecological contextual exposure and the association is not causal.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Flow-weighted median realised route time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23.2 minutes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33,321 AIHs with a route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Municipal anchors approximate residence and provider locations; this is realised treated flow, not direct patient travel.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Flow-weighted 90th percentile realised route time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213.4 minutes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33,321 AIHs with a route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Municipal anchors approximate residence and provider locations; this is realised treated flow, not direct patient travel.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Realised treated flow above 120 minutes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20.7%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33,321 AIHs with a route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This describes routed treated flows and cannot be interpreted as population access or unmet need.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Adult population within 120 road-minutes in 2021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71.9%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157,421,555 adults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Modelled potential road access does not measure realised access, capacity, quality, or need.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Adult population within 180 road-minutes in 2021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81.2%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157,421,555 adults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The cumulative 180-minute estimand unions raw 120- and 180-minute contours when GraphHopper approximation is non-nested.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Adult population within 120 road-minutes in 2025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82.1%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163,078,720 anchored adults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One 2025 municipality lacks a road anchor; anchored-denominator and bounds must be reported.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Adult population within 180 road-minutes in 2025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90.4%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163,078,720 anchored adults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One 2025 municipality lacks a road anchor; the cumulative geometry rule and bounds must be retained.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Adult population road-anchor coverage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99.9995%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801,100,903 adult person-years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Municipalities without anchors remain unknown and are never recoded as uncovered.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Aim 2 primary-family inferential status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DOWNGRADE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Modified-Poisson standardized potential-coverage predictions exceeded probability 1; the model was not rerun or relaxed.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Pooled patient-flow projection nodes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3,338 municipalities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The patient-flow network reflects observed treated flows, not population need or referral appropriateness.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Pooled patient-flow projection edges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166,959 edges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Projection edges encode shared performing destinations and are not direct patient-to-patient links.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Potential-access matrix rows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8,723,036 rows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This is a modelled potential-access matrix and contains no capacity or realised-use inference.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Reachable potential-access matrix rows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142,299 rows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8,723,036 potential-access matrix rows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Reachability is potential road access, not observed service use or capacity.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IVS municipal-total records selected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5,565 municipalities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descriptive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3"/>
              </w:rPr>
              <w:t>The 2010 IVS is a static ecological contextual exposure carried across 2021-2025.</w:t>
            </w:r>
          </w:p>
        </w:tc>
      </w:tr>
    </w:tbl>
    <w:p>
      <w:pPr>
        <w:spacing w:after="160"/>
      </w:pPr>
      <w:r>
        <w:rPr>
          <w:i/>
          <w:sz w:val="16"/>
        </w:rPr>
        <w:t>AIH, Autorização de Internação Hospitalar; ERCP, endoscopic retrograde cholangiopancreatography.</w:t>
      </w:r>
    </w:p>
    <w:p>
      <w:pPr>
        <w:keepNext/>
      </w:pPr>
      <w:r>
        <w:rPr>
          <w:b/>
          <w:sz w:val="19"/>
        </w:rPr>
        <w:t>Supplementary Table 4. Supportive outcome-analysis measures and inferential limitations.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  <w:tblHeader w:val="true"/>
        </w:trPr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Measure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Value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Denominator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Evidence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Key limitation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4 complete primary analysis rows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30,900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33,497 Cohort B unique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Complete-context restriction and residual confounding limit generalisability and causal interpretation.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4 in-hospital death events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378 deaths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30,900 Aim 4 analysis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Administrative in-hospital death does not capture post-discharge mortality.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4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360 hospitals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30,900 Aim 4 analysis AIHs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Hospital-level associations remain susceptible to residual confounding and referral selection.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Aim 4 bootstrap validity status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DOWNGRADE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2,000 expected replicates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The prespecified bootstrap validity criterion was not met; no reduced model or substitute interval was used.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Valid AS_mean bootstrap replicates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618 replicates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2,000 expected replicates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Valid-replicate yield was below the prespecified threshold; inferential intervals are downgraded.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Valid MPL_Jeffreys bootstrap replicates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617 replicates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2,000 expected replicates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Valid-replicate yield was below the prespecified threshold; inferential intervals are downgraded.</w:t>
            </w:r>
          </w:p>
        </w:tc>
      </w:tr>
      <w:tr>
        <w:trPr>
          <w:cantSplit/>
        </w:trPr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Planned quasi-causal analysis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Not reported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associational</w:t>
            </w:r>
          </w:p>
        </w:tc>
        <w:tc>
          <w:tcPr>
            <w:tcW w:type="dxa" w:w="1926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No pre-first-observed-use hospital-months were available; quasi-causal estimates and negative controls are not reported.</w:t>
            </w:r>
          </w:p>
        </w:tc>
      </w:tr>
    </w:tbl>
    <w:p>
      <w:pPr>
        <w:spacing w:after="160"/>
      </w:pPr>
      <w:r>
        <w:rPr>
          <w:i/>
          <w:sz w:val="16"/>
        </w:rPr>
        <w:t>AIH, Autorização de Internação Hospitalar; ERCP, endoscopic retrograde cholangiopancreatography.</w:t>
      </w:r>
    </w:p>
    <w:p>
      <w:pPr>
        <w:keepNext/>
      </w:pPr>
      <w:r>
        <w:rPr>
          <w:b/>
          <w:sz w:val="19"/>
        </w:rPr>
        <w:t>Supplementary Table 5. RECORD reporting checklist.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3211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RECORD item group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Locator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Routinely collected data source and setting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Methods: Data sources; the supplementary data-sources section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Code/algorithm-based population selection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Methods: Cohorts; the supplementary cohort-construction section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Validation of codes/algorithms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Discussion limitations; the supplementary cohort-construction section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No chart validation available; explicitly stated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Linkage methods and quality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Methods: Cohorts; the supplementary cohort-construction section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Exact linkage rule reported; reason-specific intermediate breakdown unavailable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Data cleaning and deduplication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Methods: Cohorts; the supplementary cohort-construction section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Data access and privacy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Data availability; the supplementary sections ‘Data sources and acquisition boundary’ and ‘Aim 3 patient-flow network, service areas, privacy, and resilience’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Flow of records and exclusions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Figure 1; the supplementary sections ‘Code lists, linkage, and cohort construction’ and ‘Variable availability and missing-data handling’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Aggregate flow reported; reason-specific intermediate breakdown unavailable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Extent of database access for replication</w:t>
            </w:r>
          </w:p>
        </w:tc>
        <w:tc>
          <w:tcPr>
            <w:tcW w:type="dxa" w:w="3211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Code/Data availability; the supplementary reproducibility and declarations section</w:t>
            </w:r>
          </w:p>
        </w:tc>
        <w:tc>
          <w:tcPr>
            <w:tcW w:type="dxa" w:w="3211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 with restricted-row boundary</w:t>
            </w:r>
          </w:p>
        </w:tc>
      </w:tr>
    </w:tbl>
    <w:p>
      <w:pPr>
        <w:spacing w:after="160"/>
      </w:pPr>
      <w:r>
        <w:rPr>
          <w:i/>
          <w:sz w:val="16"/>
        </w:rPr>
        <w:t>AIH, Autorização de Internação Hospitalar; ERCP, endoscopic retrograde cholangiopancreatography.</w:t>
      </w:r>
    </w:p>
    <w:p>
      <w:pPr>
        <w:keepNext/>
      </w:pPr>
      <w:r>
        <w:rPr>
          <w:b/>
          <w:sz w:val="19"/>
        </w:rPr>
        <w:t>Supplementary Table 6. STROBE reporting checklist.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3211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STROBE item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Locator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Title/abstract design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Title; Structured abstract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Background and objectives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Introduction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Study design, setting, dates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Methods: Study design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Participants and eligibility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Methods: Cohorts; the supplementary cohort-construction section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Variables, outcomes, exposures, confounders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 by aim; the supplementary estimand map and Aim 4 section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Data sources and measurement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Methods: Data sources; the supplementary sections on data sources and the aim-specific methods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Bias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Methods: Missing data; Discussion limitations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Study size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National administrative census; the supplementary estimand map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Reported; no sampling power calculation used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Quantitative variables and statistical methods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 by aim; the supplementary estimand map and aim-specific sections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Missing data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Methods; the supplementary missing-data section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 within frozen local evidence limits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Participants and descriptive data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Results; Figures 1–2; Tables 1–2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Outcome and main results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Results; Figures 3–6, Supplementary Figure 1, and Supplementary Tables 5–6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 with downgrades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Other analyses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the supplementary aim-specific and quasi-causal eligibility sections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Reported; planned quasi-causal estimates excluded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Key results, limitations, interpretation, generalisability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Discussion</w:t>
            </w:r>
          </w:p>
        </w:tc>
        <w:tc>
          <w:tcPr>
            <w:tcW w:type="dxa" w:w="3211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Reported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Funding</w:t>
            </w:r>
          </w:p>
        </w:tc>
        <w:tc>
          <w:tcPr>
            <w:tcW w:type="dxa" w:w="3211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Declarations</w:t>
            </w:r>
          </w:p>
        </w:tc>
        <w:tc>
          <w:tcPr>
            <w:tcW w:type="dxa" w:w="3211"/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Pending author metadata</w:t>
            </w:r>
          </w:p>
        </w:tc>
      </w:tr>
    </w:tbl>
    <w:p>
      <w:pPr>
        <w:spacing w:after="160"/>
      </w:pPr>
      <w:r>
        <w:rPr>
          <w:i/>
          <w:sz w:val="16"/>
        </w:rPr>
        <w:t>AIH, Autorização de Internação Hospitalar; ERCP, endoscopic retrograde cholangiopancreatography.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for editor</dc:title>
  <dc:subject/>
  <dc:creator>Shuo Feng et al.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