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0000"/>
        </w:rPr>
        <w:t>Figure legends</w:t>
      </w:r>
    </w:p>
    <w:p>
      <w:pPr>
        <w:spacing w:before="100" w:after="60"/>
      </w:pPr>
      <w:r>
        <w:t>Figure 1 | Cohort flow and discharge-time follow-up design</w:t>
      </w:r>
    </w:p>
    <w:p>
      <w:pPr>
        <w:spacing w:after="100"/>
      </w:pPr>
      <w:r>
        <w:t>a The annual NRD files pass through the eligibility gates to the analytic cohort (n = 82,948), which is then divided in proportion to A0 = 34,530 and A1 = 48,418. The gates are shown without unreported intermediate exclusion counts. b The two discharge-status tracks share the same index-discharge time zero and 90-day inpatient follow-up. A1 marks recorded 0FT4* completion before discharge, whereas A0 has no recorded index-admission 0FT4*. The bracket displays the standardized 90-day outcome risk difference. The design estimates an overlap-weighted discharge-status association among live-discharge survivors, not an admission-time surgical strategy effect.</w:t>
      </w:r>
    </w:p>
    <w:p>
      <w:pPr>
        <w:spacing w:before="100" w:after="60"/>
      </w:pPr>
      <w:r>
        <w:t>Figure 2 | Strict-model balance and aggregate overlap</w:t>
        <w:br/>
        <w:t>Selected measured covariates are shown before and after overlap weighting; the dashed line marks an absolute standardized mean difference of 0.10. Aggregate weighted propensity-score distributions are shown in panel b. Annual descriptive trends have been moved to Figure 6.</w:t>
      </w:r>
    </w:p>
    <w:p>
      <w:pPr>
        <w:spacing w:after="100"/>
      </w:pPr>
      <w:r>
        <w:t>a Selected measured covariates are shown before and after overlap weighting; the dashed line marks an absolute standardized mean difference of 0.10. b Aggregate weighted propensity-score distributions are shown for each discharge-status group. c Annual eligible cohort size and the proportion with A1 are descriptive only. Balance and overlap do not measure operative fitness, physiologic severity, anatomy, or patient preference.</w:t>
      </w:r>
    </w:p>
    <w:p>
      <w:pPr>
        <w:spacing w:before="100" w:after="60"/>
      </w:pPr>
      <w:r>
        <w:rPr>
          <w:b/>
          <w:sz w:val="18"/>
        </w:rPr>
        <w:t>Figure 3 | Primary and diagnostic-component 90-day readmission associations</w:t>
      </w:r>
    </w:p>
    <w:p>
      <w:pPr>
        <w:spacing w:after="100"/>
      </w:pPr>
      <w:r>
        <w:t>a Standardized primary-outcome risks are shown for A0 and A1. b A0-minus-A1 adjusted association risk differences are displayed. The primary composite has the corrected full nuisance-refit stratified hospital-cluster bootstrap 95% confidence interval; component intervals are fixed-score hospital-cluster bootstrap intervals and are supportive. c Component events are non-mutually exclusive; counts 1-10 are shown as &lt;11. Source data are provided in aggregate form.</w:t>
      </w:r>
    </w:p>
    <w:p>
      <w:pPr>
        <w:spacing w:before="100" w:after="60"/>
      </w:pPr>
      <w:r>
        <w:t>Figure 4 | Stability across feasible strict robustness analyses</w:t>
        <w:br/>
        <w:t>Six feasible strict robustness analyses are compared with the primary point estimate. The corrected full-refit interval is distinguished from supportive fixed-score intervals; balance and effective sample-size diagnostics are retained.</w:t>
      </w:r>
    </w:p>
    <w:p>
      <w:pPr>
        <w:spacing w:after="100"/>
      </w:pPr>
      <w:r>
        <w:t>a Six feasible strict robustness analyses are compared with the primary point estimate. b The primary corrected full-refit interval is compared with strict-model supportive fixed-score and efficient-influence-function intervals. c Maximum weighted absolute standardized mean differences and d overlap-weighted effective sample sizes are shown for the three adjustment sets. Robustness intervals are fixed-score stratified hospital-cluster bootstrap 95% confidence intervals and do not provide additional full-refit primary inference.</w:t>
      </w:r>
    </w:p>
    <w:p>
      <w:pPr>
        <w:spacing w:before="100" w:after="60"/>
      </w:pPr>
      <w:r>
        <w:rPr>
          <w:b/>
          <w:sz w:val="18"/>
        </w:rPr>
        <w:t>Supplementary Figure S1 | Full observed-covariate balance</w:t>
      </w:r>
    </w:p>
    <w:p>
      <w:pPr>
        <w:spacing w:after="100"/>
      </w:pPr>
      <w:r>
        <w:t>All reported covariate levels are displayed before and after overlap weighting. The dashed line marks an absolute standardized mean difference of 0.10. Source data are provided in aggregate form.</w:t>
      </w:r>
    </w:p>
    <w:p>
      <w:pPr>
        <w:spacing w:before="100" w:after="60"/>
      </w:pPr>
      <w:r>
        <w:rPr>
          <w:b/>
          <w:sz w:val="18"/>
        </w:rPr>
        <w:t>Supplementary Figure S2 | Annual crude observed primary-event proportions</w:t>
      </w:r>
    </w:p>
    <w:p>
      <w:pPr>
        <w:spacing w:after="100"/>
      </w:pPr>
      <w:r>
        <w:t>Annual crude observed primary-event proportions are shown by discharge status. These values are descriptive, unstandardized, and not adjusted association estimates. Source data are provided in aggregate form.</w:t>
      </w:r>
    </w:p>
    <w:p>
      <w:r>
        <w:t>Figure 5 | Effect-scale and uncertainty diagnostics</w:t>
      </w:r>
    </w:p>
    <w:p>
      <w:r>
        <w:t>Absolute and relative effect scales, primary interval methods, effective sample sizes, and observed component event counts are displayed using aggregate public result files.</w:t>
      </w:r>
    </w:p>
    <w:p>
      <w:r>
        <w:t>Figure 6 | Annual cohort and hospital-year practice summaries</w:t>
        <w:br/>
        <w:t>Aggregate hospital-year patient-count summary, hospital-year completion-rate range, and annual observed primary-event counts are displayed. Hospital panels are descriptive only; no hospital ranking is performed.</w:t>
      </w:r>
    </w:p>
    <w:p>
      <w:r>
        <w:t>Annual cohort size, annual observed primary-event counts, and the aggregate hospital-year completion-rate range are descriptive only; no hospital ranking is performed.</w:t>
      </w:r>
    </w:p>
    <w:p>
      <w:r>
        <w:t>Supplementary Figure S3 | Complete robustness interval display</w:t>
      </w:r>
    </w:p>
    <w:p>
      <w:r>
        <w:t>All six supportive robustness intervals are shown with the canonical primary point estimate.</w:t>
      </w:r>
    </w:p>
    <w:p>
      <w:r>
        <w:t>Supplementary Figure S4 | Annual record-reporting and hospital-practice diagnostics</w:t>
      </w:r>
    </w:p>
    <w:p>
      <w:r>
        <w:t>Annual retention from raw records through the cohort gates is shown descriptively; denominators are annual record counts.</w:t>
      </w:r>
    </w:p>
    <w:sectPr w:rsidR="00FC693F" w:rsidRPr="0006063C" w:rsidSect="00034616">
      <w:pgSz w:w="12240" w:h="15840"/>
      <w:pgMar w:top="935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420</Words>
  <Characters>2537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Liu</dc:creator>
  <cp:keywords/>
  <dc:description/>
  <cp:lastModifiedBy>Liwei Liu</cp:lastModifiedBy>
  <cp:revision>3</cp:revision>
  <dcterms:created xsi:type="dcterms:W3CDTF">2026-09-09T14:22:00Z</dcterms:created>
  <dcterms:modified xsi:type="dcterms:W3CDTF">2026-09-13T09:41:00Z</dcterms:modified>
  <cp:category/>
</cp:coreProperties>
</file>