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Tables</w:t>
      </w:r>
    </w:p>
    <w:p>
      <w:pPr>
        <w:pStyle w:val="Heading1"/>
      </w:pPr>
      <w:r>
        <w:t>Table 1. Cohort characteristics and strict-model covariate balance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Characteristic</w:t>
            </w:r>
          </w:p>
        </w:tc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A0</w:t>
              <w:br/>
              <w:t>unweighted</w:t>
            </w:r>
          </w:p>
        </w:tc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A1</w:t>
              <w:br/>
              <w:t>unweighted</w:t>
            </w:r>
          </w:p>
        </w:tc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A0</w:t>
              <w:br/>
              <w:t>weighted</w:t>
            </w:r>
          </w:p>
        </w:tc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A1</w:t>
              <w:br/>
              <w:t>weighted</w:t>
            </w:r>
          </w:p>
        </w:tc>
        <w:tc>
          <w:tcPr>
            <w:tcW w:type="dxa" w:w="1728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|SMD|</w:t>
              <w:br/>
              <w:t>weighted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Age, years (mean)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60.89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54.32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57.67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57.66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0.0005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Female sex,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56.8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63.0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0.0003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Prior admissions in observed 90-day lookback (mean)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0.50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0.28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0.37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0.37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0.0004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Prior biliary admission in observed 90-day lookback,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6.9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3.5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0.0005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Prior acute-pancreatitis admission in observed 90-day lookback,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1.7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0.0006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Medicare,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47.2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33.8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41.0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41.0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0.0001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Medicaid,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16.4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19.4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16.8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16.8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0.0006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Private insurance,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29.7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38.1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34.2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34.2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0.0002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Lowest ZIP income quartile,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24.2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25.2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26.2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26.2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0.0002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Resident of hospital state,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95.1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95.2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94.6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94.6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0.0009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Emergency-department record,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58.8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0.0003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Elective admission,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0.0013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Weekend admission,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27.0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28.0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27.4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27.4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0.0002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Large hospital bed size,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49.2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51.8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49.9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49.9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0.0003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Urban teaching hospital,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70.0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72.2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70.7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70.7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0.0001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Private nonprofit hospital,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76.2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76.9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77.5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77.4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0.0002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Calendar year 2018,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22.0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20.9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21.8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21.8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0.0004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3"/>
              </w:rPr>
              <w:t>Calendar quarter 1, %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32.9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33.3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33.1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33.1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3"/>
              </w:rPr>
              <w:t>0.0002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3C3C3C"/>
          <w:sz w:val="14"/>
        </w:rPr>
        <w:t>A0, no recorded index-admission cholecystectomy; A1, completion by index discharge. Values are percentages except age and prior admissions, which are means. The strict model includes demographics, admission context, payer/income/residence, calendar, hospital characteristics, and prior observed utilisation. Acute same-admission diagnoses and HFRS were excluded. SMD, standardized mean difference.</w:t>
      </w:r>
    </w:p>
    <w:p>
      <w:pPr>
        <w:pStyle w:val="Heading1"/>
      </w:pPr>
      <w:r>
        <w:t>Table 2. Primary and component readmission associations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Outcome or analysis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Role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A0 events/n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A1 events/n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A0 risk %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A1 risk %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RD pp (95% CI)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RR</w:t>
            </w:r>
          </w:p>
        </w:tc>
        <w:tc>
          <w:tcPr>
            <w:tcW w:type="dxa" w:w="1152"/>
            <w:shd w:fill="1F3B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1"/>
              </w:rPr>
              <w:t>Interval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Biliary-or-acute-pancreatitis readmission (K80.*, K81.*, K83.0, or K85.*)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Primary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3,911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1,291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11.438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2.738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8.700 (8.287 to 9.080)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4.18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corrected full-refit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Cholelithiasis readmission (K80.*)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Key secondary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1,320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136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3.775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0.275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3.500 (3.266 to 3.714)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13.71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fixed-score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Cholecystitis readmission (K81.*)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Supportive component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135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&lt;11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0.374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0.007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0.367 (0.306 to 0.439)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52.99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fixed-score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Cholangitis readmission (K83.0)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Supportive component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29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13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0.074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0.030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0.044 (0.012 to 0.079)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2.47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fixed-score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Acute-pancreatitis readmission (K85.*)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Key secondary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2,528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1,145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7.514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2.437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5.077 (4.739 to 5.444)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3.08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fixed-score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1"/>
              </w:rPr>
              <w:t>Biliary acute-pancreatitis readmission (K85.1*)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Sensitivity component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1,601 / 34530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293 / 48418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4.716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0.606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4.110 (3.864 to 4.342)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7.78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1"/>
              </w:rPr>
              <w:t>fixed-score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3C3C3C"/>
          <w:sz w:val="14"/>
        </w:rPr>
        <w:t>All estimates compare A0 with A1 in the design-weighted overlap population, so positive risk differences favour A1. The primary composite has the only full nuisance-refit hospital-cluster bootstrap interval. Component intervals use a fixed-score hospital-cluster bootstrap and are supportive. Figure 4 and Supplementary Table S7 report the six sensitivity analyses. Counts 1-10 are suppressed as &lt;11.</w:t>
      </w:r>
    </w:p>
    <w:sectPr w:rsidR="00FC693F" w:rsidRPr="0006063C" w:rsidSect="00034616">
      <w:pgSz w:w="12240" w:h="15840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419</Words>
  <Characters>2503</Characters>
  <Application>Microsoft Office Word</Application>
  <DocSecurity>0</DocSecurity>
  <Lines>35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Liu</dc:creator>
  <cp:keywords/>
  <dc:description/>
  <cp:lastModifiedBy>Liwei Liu</cp:lastModifiedBy>
  <cp:revision>4</cp:revision>
  <dcterms:created xsi:type="dcterms:W3CDTF">2026-09-08T17:05:00Z</dcterms:created>
  <dcterms:modified xsi:type="dcterms:W3CDTF">2026-09-12T22:10:00Z</dcterms:modified>
  <cp:category/>
</cp:coreProperties>
</file>