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Methods and Results</w:t>
      </w:r>
    </w:p>
    <w:p>
      <w:pPr>
        <w:pStyle w:val="Heading1"/>
      </w:pPr>
      <w:r>
        <w:t>Contents</w:t>
      </w:r>
    </w:p>
    <w:p>
      <w:pPr>
        <w:spacing w:line="259" w:lineRule="auto"/>
      </w:pPr>
      <w:r>
        <w:t>Supplementary Methods; target-trial-inspired protocol; variable and outcome mapping; biliary acute pancreatitis subgroup and interaction analysis; timing bounds; landmark, recurrent-event, negative-control, and quantitative-bias sensitivity analyses; cross-system overlap and measurement-range gate; hospital-year diagnostics and associated burden; COVID-era analysis; Brazil routing, IBGE and road-routing quality assurance; geographic equity and scenario constraints; cohort harmonization.</w:t>
      </w:r>
    </w:p>
    <w:p>
      <w:pPr>
        <w:pStyle w:val="Heading1"/>
      </w:pPr>
      <w:r>
        <w:t>Supplementary Methods</w:t>
      </w:r>
    </w:p>
    <w:p>
      <w:pPr>
        <w:spacing w:line="259" w:lineRule="auto"/>
      </w:pPr>
      <w:r>
        <w:t>The fixed-landmark protocol defined eligibility before time zero, assigned recorded completion by the end of day 3, and followed each patient for first observed biliary readmission. Later procedures did not change group assignment. Day-2 and day-4 analyses rebuilt the risk set and weights rather than relabeling a single cohort. Observed inpatient death was a competing event. Because NRD does not capture all deaths, it was not treated as complete mortality.</w:t>
      </w:r>
    </w:p>
    <w:p>
      <w:pPr>
        <w:pStyle w:val="Heading2"/>
      </w:pPr>
      <w:r>
        <w:t>Data mapping and exclusions</w:t>
      </w:r>
    </w:p>
    <w:p>
      <w:pPr>
        <w:spacing w:line="259" w:lineRule="auto"/>
      </w:pPr>
      <w:r>
        <w:t>Acute cholecystitis completion was recorded cholecystectomy. Choledocholithiasis completion was a duct-directed procedure proxy. Malignant biliary obstruction was excluded. Same-day continuation records and rehabilitation transfers were consolidated so that transfers were not misclassified as outcome admissions. Timing-unknown procedures were excluded from the primary classification and evaluated with prespecified timing bounds.</w:t>
      </w:r>
    </w:p>
    <w:p>
      <w:pPr>
        <w:pStyle w:val="Heading2"/>
      </w:pPr>
      <w:r>
        <w:t>US primary diagnostics</w:t>
      </w:r>
    </w:p>
    <w:p>
      <w:pPr>
        <w:spacing w:line="259" w:lineRule="auto"/>
      </w:pPr>
      <w:r>
        <w:t>The primary day-3 analyses used 2,000 bootstrap replicates. US estimates used the NRD discharge weight (DISCWT) multiplied by the overlap weight; bootstrap resampling was performed within YEAR-by-NRD_STRATUM strata with hospital clustering. Effective sample size and covariate balance were checked within every analysis. Maximum postweight absolute standardized mean differences were 1.06e-09 for acute cholecystitis and 4.30e-09 for choledocholithiasis. The near-zero postweight values are a diagnostic property of overlap weighting and are interpreted with the reported preweight balance, effective sample size, and propensity-support diagnostics.</w:t>
      </w:r>
    </w:p>
    <w:p>
      <w:pPr>
        <w:pStyle w:val="Heading2"/>
      </w:pPr>
      <w:r>
        <w:t>Biliary acute pancreatitis subgroup</w:t>
      </w:r>
    </w:p>
    <w:p>
      <w:pPr>
        <w:spacing w:line="259" w:lineRule="auto"/>
      </w:pPr>
      <w:r>
        <w:t>Biliary acute pancreatitis was defined by the locked NRD ICD-10-CM phenotype dx_any_biliary_acute_pancreatitis, which requires the biliary pancreatitis concept in the diagnosis map and is retained as a coded, not clinically adjudicated, phenotype. The subgroup used the same broad day-3 risk set and overlap-weighting framework. Estimates are exploratory heterogeneity contrasts and retain the observational interpretation of the primary analysis.</w:t>
      </w:r>
    </w:p>
    <w:p>
      <w:pPr>
        <w:pStyle w:val="Heading2"/>
      </w:pPr>
      <w:r>
        <w:t>Timing-unknown bounds and landmark sensitivity</w:t>
      </w:r>
    </w:p>
    <w:p>
      <w:pPr>
        <w:spacing w:line="259" w:lineRule="auto"/>
      </w:pPr>
      <w:r>
        <w:t>Procedure records whose day could not be classified were excluded before the primary day-3 risk-set classification. The prespecified early and late bounds place each timing-unknown record in the completed or not-completed group, respectively. Day-2 and day-4 analyses independently reconstruct eligibility, treatment assignment, weights, and the event clock; they are not relabeling analyses.</w:t>
      </w:r>
    </w:p>
    <w:p>
      <w:pPr>
        <w:spacing w:after="60"/>
      </w:pPr>
      <w:r>
        <w:rPr>
          <w:b/>
        </w:rPr>
        <w:t>Supplementary Table S1 | Prespecified 90-day timing-unknown bounds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rPr>
        <w:tc>
          <w:tcPr>
            <w:tcW w:type="dxa" w:w="2033"/>
            <w:vAlign w:val="center"/>
            <w:shd w:fill="D9EAF7"/>
          </w:tcPr>
          <w:p>
            <w:pPr>
              <w:spacing w:after="0"/>
            </w:pPr>
            <w:r/>
            <w:r>
              <w:rPr>
                <w:rFonts w:ascii="Arial" w:hAnsi="Arial" w:eastAsia="Arial"/>
                <w:b/>
                <w:sz w:val="16"/>
              </w:rPr>
              <w:t>Cohort</w:t>
            </w:r>
          </w:p>
        </w:tc>
        <w:tc>
          <w:tcPr>
            <w:tcW w:type="dxa" w:w="2033"/>
            <w:vAlign w:val="center"/>
            <w:shd w:fill="D9EAF7"/>
          </w:tcPr>
          <w:p>
            <w:pPr>
              <w:spacing w:after="0"/>
            </w:pPr>
            <w:r/>
            <w:r>
              <w:rPr>
                <w:rFonts w:ascii="Arial" w:hAnsi="Arial" w:eastAsia="Arial"/>
                <w:b/>
                <w:sz w:val="16"/>
              </w:rPr>
              <w:t>Timing bound</w:t>
            </w:r>
          </w:p>
        </w:tc>
        <w:tc>
          <w:tcPr>
            <w:tcW w:type="dxa" w:w="2033"/>
            <w:vAlign w:val="center"/>
            <w:shd w:fill="D9EAF7"/>
          </w:tcPr>
          <w:p>
            <w:pPr>
              <w:spacing w:after="0"/>
            </w:pPr>
            <w:r/>
            <w:r>
              <w:rPr>
                <w:rFonts w:ascii="Arial" w:hAnsi="Arial" w:eastAsia="Arial"/>
                <w:b/>
                <w:sz w:val="16"/>
              </w:rPr>
              <w:t>Completion</w:t>
            </w:r>
          </w:p>
        </w:tc>
        <w:tc>
          <w:tcPr>
            <w:tcW w:type="dxa" w:w="2033"/>
            <w:vAlign w:val="center"/>
            <w:shd w:fill="D9EAF7"/>
          </w:tcPr>
          <w:p>
            <w:pPr>
              <w:spacing w:after="0"/>
            </w:pPr>
            <w:r/>
            <w:r>
              <w:rPr>
                <w:rFonts w:ascii="Arial" w:hAnsi="Arial" w:eastAsia="Arial"/>
                <w:b/>
                <w:sz w:val="16"/>
              </w:rPr>
              <w:t>No completion</w:t>
            </w:r>
          </w:p>
        </w:tc>
        <w:tc>
          <w:tcPr>
            <w:tcW w:type="dxa" w:w="2033"/>
            <w:vAlign w:val="center"/>
            <w:shd w:fill="D9EAF7"/>
          </w:tcPr>
          <w:p>
            <w:pPr>
              <w:spacing w:after="0"/>
            </w:pPr>
            <w:r/>
            <w:r>
              <w:rPr>
                <w:rFonts w:ascii="Arial" w:hAnsi="Arial" w:eastAsia="Arial"/>
                <w:b/>
                <w:sz w:val="16"/>
              </w:rPr>
              <w:t>Difference</w:t>
            </w:r>
          </w:p>
        </w:tc>
      </w:tr>
      <w:tr>
        <w:trPr>
          <w:cantSplit/>
        </w:trPr>
        <w:tc>
          <w:tcPr>
            <w:tcW w:type="dxa" w:w="2033"/>
            <w:vAlign w:val="center"/>
          </w:tcPr>
          <w:p>
            <w:pPr>
              <w:spacing w:after="0"/>
            </w:pPr>
            <w:r/>
            <w:r>
              <w:rPr>
                <w:rFonts w:ascii="Arial" w:hAnsi="Arial" w:eastAsia="Arial"/>
                <w:b w:val="0"/>
                <w:sz w:val="16"/>
              </w:rPr>
              <w:t>Acute cholecystitis</w:t>
            </w:r>
          </w:p>
        </w:tc>
        <w:tc>
          <w:tcPr>
            <w:tcW w:type="dxa" w:w="2033"/>
            <w:vAlign w:val="center"/>
          </w:tcPr>
          <w:p>
            <w:pPr>
              <w:spacing w:after="0"/>
            </w:pPr>
            <w:r/>
            <w:r>
              <w:rPr>
                <w:rFonts w:ascii="Arial" w:hAnsi="Arial" w:eastAsia="Arial"/>
                <w:b w:val="0"/>
                <w:sz w:val="16"/>
              </w:rPr>
              <w:t>early_bound</w:t>
            </w:r>
          </w:p>
        </w:tc>
        <w:tc>
          <w:tcPr>
            <w:tcW w:type="dxa" w:w="2033"/>
            <w:vAlign w:val="center"/>
          </w:tcPr>
          <w:p>
            <w:pPr>
              <w:spacing w:after="0"/>
            </w:pPr>
            <w:r/>
            <w:r>
              <w:rPr>
                <w:rFonts w:ascii="Arial" w:hAnsi="Arial" w:eastAsia="Arial"/>
                <w:b w:val="0"/>
                <w:sz w:val="16"/>
              </w:rPr>
              <w:t>1.457%</w:t>
            </w:r>
          </w:p>
        </w:tc>
        <w:tc>
          <w:tcPr>
            <w:tcW w:type="dxa" w:w="2033"/>
            <w:vAlign w:val="center"/>
          </w:tcPr>
          <w:p>
            <w:pPr>
              <w:spacing w:after="0"/>
            </w:pPr>
            <w:r/>
            <w:r>
              <w:rPr>
                <w:rFonts w:ascii="Arial" w:hAnsi="Arial" w:eastAsia="Arial"/>
                <w:b w:val="0"/>
                <w:sz w:val="16"/>
              </w:rPr>
              <w:t>12.657%</w:t>
            </w:r>
          </w:p>
        </w:tc>
        <w:tc>
          <w:tcPr>
            <w:tcW w:type="dxa" w:w="2033"/>
            <w:vAlign w:val="center"/>
          </w:tcPr>
          <w:p>
            <w:pPr>
              <w:spacing w:after="0"/>
            </w:pPr>
            <w:r/>
            <w:r>
              <w:rPr>
                <w:rFonts w:ascii="Arial" w:hAnsi="Arial" w:eastAsia="Arial"/>
                <w:b w:val="0"/>
                <w:sz w:val="16"/>
              </w:rPr>
              <w:t>-11.200 percentage points</w:t>
            </w:r>
          </w:p>
        </w:tc>
      </w:tr>
      <w:tr>
        <w:trPr>
          <w:cantSplit/>
        </w:trPr>
        <w:tc>
          <w:tcPr>
            <w:tcW w:type="dxa" w:w="2033"/>
            <w:vAlign w:val="center"/>
          </w:tcPr>
          <w:p>
            <w:pPr>
              <w:spacing w:after="0"/>
            </w:pPr>
            <w:r/>
            <w:r>
              <w:rPr>
                <w:rFonts w:ascii="Arial" w:hAnsi="Arial" w:eastAsia="Arial"/>
                <w:b w:val="0"/>
                <w:sz w:val="16"/>
              </w:rPr>
              <w:t>Acute cholecystitis</w:t>
            </w:r>
          </w:p>
        </w:tc>
        <w:tc>
          <w:tcPr>
            <w:tcW w:type="dxa" w:w="2033"/>
            <w:vAlign w:val="center"/>
          </w:tcPr>
          <w:p>
            <w:pPr>
              <w:spacing w:after="0"/>
            </w:pPr>
            <w:r/>
            <w:r>
              <w:rPr>
                <w:rFonts w:ascii="Arial" w:hAnsi="Arial" w:eastAsia="Arial"/>
                <w:b w:val="0"/>
                <w:sz w:val="16"/>
              </w:rPr>
              <w:t>late_bound</w:t>
            </w:r>
          </w:p>
        </w:tc>
        <w:tc>
          <w:tcPr>
            <w:tcW w:type="dxa" w:w="2033"/>
            <w:vAlign w:val="center"/>
          </w:tcPr>
          <w:p>
            <w:pPr>
              <w:spacing w:after="0"/>
            </w:pPr>
            <w:r/>
            <w:r>
              <w:rPr>
                <w:rFonts w:ascii="Arial" w:hAnsi="Arial" w:eastAsia="Arial"/>
                <w:b w:val="0"/>
                <w:sz w:val="16"/>
              </w:rPr>
              <w:t>1.437%</w:t>
            </w:r>
          </w:p>
        </w:tc>
        <w:tc>
          <w:tcPr>
            <w:tcW w:type="dxa" w:w="2033"/>
            <w:vAlign w:val="center"/>
          </w:tcPr>
          <w:p>
            <w:pPr>
              <w:spacing w:after="0"/>
            </w:pPr>
            <w:r/>
            <w:r>
              <w:rPr>
                <w:rFonts w:ascii="Arial" w:hAnsi="Arial" w:eastAsia="Arial"/>
                <w:b w:val="0"/>
                <w:sz w:val="16"/>
              </w:rPr>
              <w:t>11.208%</w:t>
            </w:r>
          </w:p>
        </w:tc>
        <w:tc>
          <w:tcPr>
            <w:tcW w:type="dxa" w:w="2033"/>
            <w:vAlign w:val="center"/>
          </w:tcPr>
          <w:p>
            <w:pPr>
              <w:spacing w:after="0"/>
            </w:pPr>
            <w:r/>
            <w:r>
              <w:rPr>
                <w:rFonts w:ascii="Arial" w:hAnsi="Arial" w:eastAsia="Arial"/>
                <w:b w:val="0"/>
                <w:sz w:val="16"/>
              </w:rPr>
              <w:t>-9.770 percentage points</w:t>
            </w:r>
          </w:p>
        </w:tc>
      </w:tr>
      <w:tr>
        <w:trPr>
          <w:cantSplit/>
        </w:trPr>
        <w:tc>
          <w:tcPr>
            <w:tcW w:type="dxa" w:w="2033"/>
            <w:vAlign w:val="center"/>
          </w:tcPr>
          <w:p>
            <w:pPr>
              <w:spacing w:after="0"/>
            </w:pPr>
            <w:r/>
            <w:r>
              <w:rPr>
                <w:rFonts w:ascii="Arial" w:hAnsi="Arial" w:eastAsia="Arial"/>
                <w:b w:val="0"/>
                <w:sz w:val="16"/>
              </w:rPr>
              <w:t>Choledocholithiasis</w:t>
            </w:r>
          </w:p>
        </w:tc>
        <w:tc>
          <w:tcPr>
            <w:tcW w:type="dxa" w:w="2033"/>
            <w:vAlign w:val="center"/>
          </w:tcPr>
          <w:p>
            <w:pPr>
              <w:spacing w:after="0"/>
            </w:pPr>
            <w:r/>
            <w:r>
              <w:rPr>
                <w:rFonts w:ascii="Arial" w:hAnsi="Arial" w:eastAsia="Arial"/>
                <w:b w:val="0"/>
                <w:sz w:val="16"/>
              </w:rPr>
              <w:t>early_bound</w:t>
            </w:r>
          </w:p>
        </w:tc>
        <w:tc>
          <w:tcPr>
            <w:tcW w:type="dxa" w:w="2033"/>
            <w:vAlign w:val="center"/>
          </w:tcPr>
          <w:p>
            <w:pPr>
              <w:spacing w:after="0"/>
            </w:pPr>
            <w:r/>
            <w:r>
              <w:rPr>
                <w:rFonts w:ascii="Arial" w:hAnsi="Arial" w:eastAsia="Arial"/>
                <w:b w:val="0"/>
                <w:sz w:val="16"/>
              </w:rPr>
              <w:t>4.489%</w:t>
            </w:r>
          </w:p>
        </w:tc>
        <w:tc>
          <w:tcPr>
            <w:tcW w:type="dxa" w:w="2033"/>
            <w:vAlign w:val="center"/>
          </w:tcPr>
          <w:p>
            <w:pPr>
              <w:spacing w:after="0"/>
            </w:pPr>
            <w:r/>
            <w:r>
              <w:rPr>
                <w:rFonts w:ascii="Arial" w:hAnsi="Arial" w:eastAsia="Arial"/>
                <w:b w:val="0"/>
                <w:sz w:val="16"/>
              </w:rPr>
              <w:t>7.520%</w:t>
            </w:r>
          </w:p>
        </w:tc>
        <w:tc>
          <w:tcPr>
            <w:tcW w:type="dxa" w:w="2033"/>
            <w:vAlign w:val="center"/>
          </w:tcPr>
          <w:p>
            <w:pPr>
              <w:spacing w:after="0"/>
            </w:pPr>
            <w:r/>
            <w:r>
              <w:rPr>
                <w:rFonts w:ascii="Arial" w:hAnsi="Arial" w:eastAsia="Arial"/>
                <w:b w:val="0"/>
                <w:sz w:val="16"/>
              </w:rPr>
              <w:t>-3.031 percentage points</w:t>
            </w:r>
          </w:p>
        </w:tc>
      </w:tr>
      <w:tr>
        <w:trPr>
          <w:cantSplit/>
        </w:trPr>
        <w:tc>
          <w:tcPr>
            <w:tcW w:type="dxa" w:w="2033"/>
            <w:vAlign w:val="center"/>
          </w:tcPr>
          <w:p>
            <w:pPr>
              <w:spacing w:after="0"/>
            </w:pPr>
            <w:r/>
            <w:r>
              <w:rPr>
                <w:rFonts w:ascii="Arial" w:hAnsi="Arial" w:eastAsia="Arial"/>
                <w:b w:val="0"/>
                <w:sz w:val="16"/>
              </w:rPr>
              <w:t>Choledocholithiasis</w:t>
            </w:r>
          </w:p>
        </w:tc>
        <w:tc>
          <w:tcPr>
            <w:tcW w:type="dxa" w:w="2033"/>
            <w:vAlign w:val="center"/>
          </w:tcPr>
          <w:p>
            <w:pPr>
              <w:spacing w:after="0"/>
            </w:pPr>
            <w:r/>
            <w:r>
              <w:rPr>
                <w:rFonts w:ascii="Arial" w:hAnsi="Arial" w:eastAsia="Arial"/>
                <w:b w:val="0"/>
                <w:sz w:val="16"/>
              </w:rPr>
              <w:t>late_bound</w:t>
            </w:r>
          </w:p>
        </w:tc>
        <w:tc>
          <w:tcPr>
            <w:tcW w:type="dxa" w:w="2033"/>
            <w:vAlign w:val="center"/>
          </w:tcPr>
          <w:p>
            <w:pPr>
              <w:spacing w:after="0"/>
            </w:pPr>
            <w:r/>
            <w:r>
              <w:rPr>
                <w:rFonts w:ascii="Arial" w:hAnsi="Arial" w:eastAsia="Arial"/>
                <w:b w:val="0"/>
                <w:sz w:val="16"/>
              </w:rPr>
              <w:t>4.504%</w:t>
            </w:r>
          </w:p>
        </w:tc>
        <w:tc>
          <w:tcPr>
            <w:tcW w:type="dxa" w:w="2033"/>
            <w:vAlign w:val="center"/>
          </w:tcPr>
          <w:p>
            <w:pPr>
              <w:spacing w:after="0"/>
            </w:pPr>
            <w:r/>
            <w:r>
              <w:rPr>
                <w:rFonts w:ascii="Arial" w:hAnsi="Arial" w:eastAsia="Arial"/>
                <w:b w:val="0"/>
                <w:sz w:val="16"/>
              </w:rPr>
              <w:t>7.295%</w:t>
            </w:r>
          </w:p>
        </w:tc>
        <w:tc>
          <w:tcPr>
            <w:tcW w:type="dxa" w:w="2033"/>
            <w:vAlign w:val="center"/>
          </w:tcPr>
          <w:p>
            <w:pPr>
              <w:spacing w:after="0"/>
            </w:pPr>
            <w:r/>
            <w:r>
              <w:rPr>
                <w:rFonts w:ascii="Arial" w:hAnsi="Arial" w:eastAsia="Arial"/>
                <w:b w:val="0"/>
                <w:sz w:val="16"/>
              </w:rPr>
              <w:t>-2.791 percentage points</w:t>
            </w:r>
          </w:p>
        </w:tc>
      </w:tr>
    </w:tbl>
    <w:p/>
    <w:p>
      <w:pPr>
        <w:spacing w:line="259" w:lineRule="auto"/>
      </w:pPr>
      <w:r>
        <w:t>For this table, day-2 and day-4 intervals, as well as the day-3 table entries, were obtained from independently refitted all-landmark 2,000-replicate clustered bootstrap analyses. The day-3 interval in the main text is the primary-analysis interval; trivial terminal-digit differences reflect independent resampling, while point estimates are identical.</w:t>
      </w:r>
    </w:p>
    <w:p>
      <w:pPr>
        <w:spacing w:after="60"/>
      </w:pPr>
      <w:r>
        <w:rPr>
          <w:b/>
        </w:rPr>
        <w:t>Supplementary Table S2 | Independently refitted landmark sensitivity for first observed 90-day biliary readmission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cantSplit/>
        </w:trPr>
        <w:tc>
          <w:tcPr>
            <w:tcW w:type="dxa" w:w="1694"/>
            <w:vAlign w:val="center"/>
            <w:shd w:fill="D9EAF7"/>
          </w:tcPr>
          <w:p>
            <w:pPr>
              <w:spacing w:after="0"/>
            </w:pPr>
            <w:r/>
            <w:r>
              <w:rPr>
                <w:rFonts w:ascii="Arial" w:hAnsi="Arial" w:eastAsia="Arial"/>
                <w:b/>
                <w:sz w:val="16"/>
              </w:rPr>
              <w:t>Cohort</w:t>
            </w:r>
          </w:p>
        </w:tc>
        <w:tc>
          <w:tcPr>
            <w:tcW w:type="dxa" w:w="1694"/>
            <w:vAlign w:val="center"/>
            <w:shd w:fill="D9EAF7"/>
          </w:tcPr>
          <w:p>
            <w:pPr>
              <w:spacing w:after="0"/>
            </w:pPr>
            <w:r/>
            <w:r>
              <w:rPr>
                <w:rFonts w:ascii="Arial" w:hAnsi="Arial" w:eastAsia="Arial"/>
                <w:b/>
                <w:sz w:val="16"/>
              </w:rPr>
              <w:t>Landmark</w:t>
            </w:r>
          </w:p>
        </w:tc>
        <w:tc>
          <w:tcPr>
            <w:tcW w:type="dxa" w:w="1694"/>
            <w:vAlign w:val="center"/>
            <w:shd w:fill="D9EAF7"/>
          </w:tcPr>
          <w:p>
            <w:pPr>
              <w:spacing w:after="0"/>
            </w:pPr>
            <w:r/>
            <w:r>
              <w:rPr>
                <w:rFonts w:ascii="Arial" w:hAnsi="Arial" w:eastAsia="Arial"/>
                <w:b/>
                <w:sz w:val="16"/>
              </w:rPr>
              <w:t>Completion</w:t>
            </w:r>
          </w:p>
        </w:tc>
        <w:tc>
          <w:tcPr>
            <w:tcW w:type="dxa" w:w="1694"/>
            <w:vAlign w:val="center"/>
            <w:shd w:fill="D9EAF7"/>
          </w:tcPr>
          <w:p>
            <w:pPr>
              <w:spacing w:after="0"/>
            </w:pPr>
            <w:r/>
            <w:r>
              <w:rPr>
                <w:rFonts w:ascii="Arial" w:hAnsi="Arial" w:eastAsia="Arial"/>
                <w:b/>
                <w:sz w:val="16"/>
              </w:rPr>
              <w:t>No completion</w:t>
            </w:r>
          </w:p>
        </w:tc>
        <w:tc>
          <w:tcPr>
            <w:tcW w:type="dxa" w:w="1694"/>
            <w:vAlign w:val="center"/>
            <w:shd w:fill="D9EAF7"/>
          </w:tcPr>
          <w:p>
            <w:pPr>
              <w:spacing w:after="0"/>
            </w:pPr>
            <w:r/>
            <w:r>
              <w:rPr>
                <w:rFonts w:ascii="Arial" w:hAnsi="Arial" w:eastAsia="Arial"/>
                <w:b/>
                <w:sz w:val="16"/>
              </w:rPr>
              <w:t>Difference (95% bootstrap interval)</w:t>
            </w:r>
          </w:p>
        </w:tc>
        <w:tc>
          <w:tcPr>
            <w:tcW w:type="dxa" w:w="1694"/>
            <w:vAlign w:val="center"/>
            <w:shd w:fill="D9EAF7"/>
          </w:tcPr>
          <w:p>
            <w:pPr>
              <w:spacing w:after="0"/>
            </w:pPr>
            <w:r/>
            <w:r>
              <w:rPr>
                <w:rFonts w:ascii="Arial" w:hAnsi="Arial" w:eastAsia="Arial"/>
                <w:b/>
                <w:sz w:val="16"/>
              </w:rPr>
              <w:t>Successful replicates</w:t>
            </w:r>
          </w:p>
        </w:tc>
      </w:tr>
      <w:tr>
        <w:trPr>
          <w:cantSplit/>
        </w:trPr>
        <w:tc>
          <w:tcPr>
            <w:tcW w:type="dxa" w:w="1694"/>
            <w:vAlign w:val="center"/>
          </w:tcPr>
          <w:p>
            <w:pPr>
              <w:spacing w:after="0"/>
            </w:pPr>
            <w:r/>
            <w:r>
              <w:rPr>
                <w:rFonts w:ascii="Arial" w:hAnsi="Arial" w:eastAsia="Arial"/>
                <w:b w:val="0"/>
                <w:sz w:val="16"/>
              </w:rPr>
              <w:t>Acute cholecystitis</w:t>
            </w:r>
          </w:p>
        </w:tc>
        <w:tc>
          <w:tcPr>
            <w:tcW w:type="dxa" w:w="1694"/>
            <w:vAlign w:val="center"/>
          </w:tcPr>
          <w:p>
            <w:pPr>
              <w:spacing w:after="0"/>
            </w:pPr>
            <w:r/>
            <w:r>
              <w:rPr>
                <w:rFonts w:ascii="Arial" w:hAnsi="Arial" w:eastAsia="Arial"/>
                <w:b w:val="0"/>
                <w:sz w:val="16"/>
              </w:rPr>
              <w:t>Day 2</w:t>
            </w:r>
          </w:p>
        </w:tc>
        <w:tc>
          <w:tcPr>
            <w:tcW w:type="dxa" w:w="1694"/>
            <w:vAlign w:val="center"/>
          </w:tcPr>
          <w:p>
            <w:pPr>
              <w:spacing w:after="0"/>
            </w:pPr>
            <w:r/>
            <w:r>
              <w:rPr>
                <w:rFonts w:ascii="Arial" w:hAnsi="Arial" w:eastAsia="Arial"/>
                <w:b w:val="0"/>
                <w:sz w:val="16"/>
              </w:rPr>
              <w:t>1.428%</w:t>
            </w:r>
          </w:p>
        </w:tc>
        <w:tc>
          <w:tcPr>
            <w:tcW w:type="dxa" w:w="1694"/>
            <w:vAlign w:val="center"/>
          </w:tcPr>
          <w:p>
            <w:pPr>
              <w:spacing w:after="0"/>
            </w:pPr>
            <w:r/>
            <w:r>
              <w:rPr>
                <w:rFonts w:ascii="Arial" w:hAnsi="Arial" w:eastAsia="Arial"/>
                <w:b w:val="0"/>
                <w:sz w:val="16"/>
              </w:rPr>
              <w:t>10.223%</w:t>
            </w:r>
          </w:p>
        </w:tc>
        <w:tc>
          <w:tcPr>
            <w:tcW w:type="dxa" w:w="1694"/>
            <w:vAlign w:val="center"/>
          </w:tcPr>
          <w:p>
            <w:pPr>
              <w:spacing w:after="0"/>
            </w:pPr>
            <w:r/>
            <w:r>
              <w:rPr>
                <w:rFonts w:ascii="Arial" w:hAnsi="Arial" w:eastAsia="Arial"/>
                <w:b w:val="0"/>
                <w:sz w:val="16"/>
              </w:rPr>
              <w:t>-8.795 percentage points (-9.052 percentage points to -8.547 percentage points)</w:t>
            </w:r>
          </w:p>
        </w:tc>
        <w:tc>
          <w:tcPr>
            <w:tcW w:type="dxa" w:w="1694"/>
            <w:vAlign w:val="center"/>
          </w:tcPr>
          <w:p>
            <w:pPr>
              <w:spacing w:after="0"/>
            </w:pPr>
            <w:r/>
            <w:r>
              <w:rPr>
                <w:rFonts w:ascii="Arial" w:hAnsi="Arial" w:eastAsia="Arial"/>
                <w:b w:val="0"/>
                <w:sz w:val="16"/>
              </w:rPr>
              <w:t>2000/2000</w:t>
            </w:r>
          </w:p>
        </w:tc>
      </w:tr>
      <w:tr>
        <w:trPr>
          <w:cantSplit/>
        </w:trPr>
        <w:tc>
          <w:tcPr>
            <w:tcW w:type="dxa" w:w="1694"/>
            <w:vAlign w:val="center"/>
          </w:tcPr>
          <w:p>
            <w:pPr>
              <w:spacing w:after="0"/>
            </w:pPr>
            <w:r/>
            <w:r>
              <w:rPr>
                <w:rFonts w:ascii="Arial" w:hAnsi="Arial" w:eastAsia="Arial"/>
                <w:b w:val="0"/>
                <w:sz w:val="16"/>
              </w:rPr>
              <w:t>Acute cholecystitis</w:t>
            </w:r>
          </w:p>
        </w:tc>
        <w:tc>
          <w:tcPr>
            <w:tcW w:type="dxa" w:w="1694"/>
            <w:vAlign w:val="center"/>
          </w:tcPr>
          <w:p>
            <w:pPr>
              <w:spacing w:after="0"/>
            </w:pPr>
            <w:r/>
            <w:r>
              <w:rPr>
                <w:rFonts w:ascii="Arial" w:hAnsi="Arial" w:eastAsia="Arial"/>
                <w:b w:val="0"/>
                <w:sz w:val="16"/>
              </w:rPr>
              <w:t>Day 3</w:t>
            </w:r>
          </w:p>
        </w:tc>
        <w:tc>
          <w:tcPr>
            <w:tcW w:type="dxa" w:w="1694"/>
            <w:vAlign w:val="center"/>
          </w:tcPr>
          <w:p>
            <w:pPr>
              <w:spacing w:after="0"/>
            </w:pPr>
            <w:r/>
            <w:r>
              <w:rPr>
                <w:rFonts w:ascii="Arial" w:hAnsi="Arial" w:eastAsia="Arial"/>
                <w:b w:val="0"/>
                <w:sz w:val="16"/>
              </w:rPr>
              <w:t>1.444%</w:t>
            </w:r>
          </w:p>
        </w:tc>
        <w:tc>
          <w:tcPr>
            <w:tcW w:type="dxa" w:w="1694"/>
            <w:vAlign w:val="center"/>
          </w:tcPr>
          <w:p>
            <w:pPr>
              <w:spacing w:after="0"/>
            </w:pPr>
            <w:r/>
            <w:r>
              <w:rPr>
                <w:rFonts w:ascii="Arial" w:hAnsi="Arial" w:eastAsia="Arial"/>
                <w:b w:val="0"/>
                <w:sz w:val="16"/>
              </w:rPr>
              <w:t>12.650%</w:t>
            </w:r>
          </w:p>
        </w:tc>
        <w:tc>
          <w:tcPr>
            <w:tcW w:type="dxa" w:w="1694"/>
            <w:vAlign w:val="center"/>
          </w:tcPr>
          <w:p>
            <w:pPr>
              <w:spacing w:after="0"/>
            </w:pPr>
            <w:r/>
            <w:r>
              <w:rPr>
                <w:rFonts w:ascii="Arial" w:hAnsi="Arial" w:eastAsia="Arial"/>
                <w:b w:val="0"/>
                <w:sz w:val="16"/>
              </w:rPr>
              <w:t>-11.206 percentage points (-11.522 percentage points to -10.913 percentage points)</w:t>
            </w:r>
          </w:p>
        </w:tc>
        <w:tc>
          <w:tcPr>
            <w:tcW w:type="dxa" w:w="1694"/>
            <w:vAlign w:val="center"/>
          </w:tcPr>
          <w:p>
            <w:pPr>
              <w:spacing w:after="0"/>
            </w:pPr>
            <w:r/>
            <w:r>
              <w:rPr>
                <w:rFonts w:ascii="Arial" w:hAnsi="Arial" w:eastAsia="Arial"/>
                <w:b w:val="0"/>
                <w:sz w:val="16"/>
              </w:rPr>
              <w:t>2000/2000</w:t>
            </w:r>
          </w:p>
        </w:tc>
      </w:tr>
      <w:tr>
        <w:trPr>
          <w:cantSplit/>
        </w:trPr>
        <w:tc>
          <w:tcPr>
            <w:tcW w:type="dxa" w:w="1694"/>
            <w:vAlign w:val="center"/>
          </w:tcPr>
          <w:p>
            <w:pPr>
              <w:spacing w:after="0"/>
            </w:pPr>
            <w:r/>
            <w:r>
              <w:rPr>
                <w:rFonts w:ascii="Arial" w:hAnsi="Arial" w:eastAsia="Arial"/>
                <w:b w:val="0"/>
                <w:sz w:val="16"/>
              </w:rPr>
              <w:t>Acute cholecystitis</w:t>
            </w:r>
          </w:p>
        </w:tc>
        <w:tc>
          <w:tcPr>
            <w:tcW w:type="dxa" w:w="1694"/>
            <w:vAlign w:val="center"/>
          </w:tcPr>
          <w:p>
            <w:pPr>
              <w:spacing w:after="0"/>
            </w:pPr>
            <w:r/>
            <w:r>
              <w:rPr>
                <w:rFonts w:ascii="Arial" w:hAnsi="Arial" w:eastAsia="Arial"/>
                <w:b w:val="0"/>
                <w:sz w:val="16"/>
              </w:rPr>
              <w:t>Day 4</w:t>
            </w:r>
          </w:p>
        </w:tc>
        <w:tc>
          <w:tcPr>
            <w:tcW w:type="dxa" w:w="1694"/>
            <w:vAlign w:val="center"/>
          </w:tcPr>
          <w:p>
            <w:pPr>
              <w:spacing w:after="0"/>
            </w:pPr>
            <w:r/>
            <w:r>
              <w:rPr>
                <w:rFonts w:ascii="Arial" w:hAnsi="Arial" w:eastAsia="Arial"/>
                <w:b w:val="0"/>
                <w:sz w:val="16"/>
              </w:rPr>
              <w:t>1.427%</w:t>
            </w:r>
          </w:p>
        </w:tc>
        <w:tc>
          <w:tcPr>
            <w:tcW w:type="dxa" w:w="1694"/>
            <w:vAlign w:val="center"/>
          </w:tcPr>
          <w:p>
            <w:pPr>
              <w:spacing w:after="0"/>
            </w:pPr>
            <w:r/>
            <w:r>
              <w:rPr>
                <w:rFonts w:ascii="Arial" w:hAnsi="Arial" w:eastAsia="Arial"/>
                <w:b w:val="0"/>
                <w:sz w:val="16"/>
              </w:rPr>
              <w:t>14.180%</w:t>
            </w:r>
          </w:p>
        </w:tc>
        <w:tc>
          <w:tcPr>
            <w:tcW w:type="dxa" w:w="1694"/>
            <w:vAlign w:val="center"/>
          </w:tcPr>
          <w:p>
            <w:pPr>
              <w:spacing w:after="0"/>
            </w:pPr>
            <w:r/>
            <w:r>
              <w:rPr>
                <w:rFonts w:ascii="Arial" w:hAnsi="Arial" w:eastAsia="Arial"/>
                <w:b w:val="0"/>
                <w:sz w:val="16"/>
              </w:rPr>
              <w:t>-12.753 percentage points (-13.099 percentage points to -12.416 percentage points)</w:t>
            </w:r>
          </w:p>
        </w:tc>
        <w:tc>
          <w:tcPr>
            <w:tcW w:type="dxa" w:w="1694"/>
            <w:vAlign w:val="center"/>
          </w:tcPr>
          <w:p>
            <w:pPr>
              <w:spacing w:after="0"/>
            </w:pPr>
            <w:r/>
            <w:r>
              <w:rPr>
                <w:rFonts w:ascii="Arial" w:hAnsi="Arial" w:eastAsia="Arial"/>
                <w:b w:val="0"/>
                <w:sz w:val="16"/>
              </w:rPr>
              <w:t>2000/2000</w:t>
            </w:r>
          </w:p>
        </w:tc>
      </w:tr>
      <w:tr>
        <w:trPr>
          <w:cantSplit/>
        </w:trPr>
        <w:tc>
          <w:tcPr>
            <w:tcW w:type="dxa" w:w="1694"/>
            <w:vAlign w:val="center"/>
          </w:tcPr>
          <w:p>
            <w:pPr>
              <w:spacing w:after="0"/>
            </w:pPr>
            <w:r/>
            <w:r>
              <w:rPr>
                <w:rFonts w:ascii="Arial" w:hAnsi="Arial" w:eastAsia="Arial"/>
                <w:b w:val="0"/>
                <w:sz w:val="16"/>
              </w:rPr>
              <w:t>Choledocholithiasis</w:t>
            </w:r>
          </w:p>
        </w:tc>
        <w:tc>
          <w:tcPr>
            <w:tcW w:type="dxa" w:w="1694"/>
            <w:vAlign w:val="center"/>
          </w:tcPr>
          <w:p>
            <w:pPr>
              <w:spacing w:after="0"/>
            </w:pPr>
            <w:r/>
            <w:r>
              <w:rPr>
                <w:rFonts w:ascii="Arial" w:hAnsi="Arial" w:eastAsia="Arial"/>
                <w:b w:val="0"/>
                <w:sz w:val="16"/>
              </w:rPr>
              <w:t>Day 2</w:t>
            </w:r>
          </w:p>
        </w:tc>
        <w:tc>
          <w:tcPr>
            <w:tcW w:type="dxa" w:w="1694"/>
            <w:vAlign w:val="center"/>
          </w:tcPr>
          <w:p>
            <w:pPr>
              <w:spacing w:after="0"/>
            </w:pPr>
            <w:r/>
            <w:r>
              <w:rPr>
                <w:rFonts w:ascii="Arial" w:hAnsi="Arial" w:eastAsia="Arial"/>
                <w:b w:val="0"/>
                <w:sz w:val="16"/>
              </w:rPr>
              <w:t>4.545%</w:t>
            </w:r>
          </w:p>
        </w:tc>
        <w:tc>
          <w:tcPr>
            <w:tcW w:type="dxa" w:w="1694"/>
            <w:vAlign w:val="center"/>
          </w:tcPr>
          <w:p>
            <w:pPr>
              <w:spacing w:after="0"/>
            </w:pPr>
            <w:r/>
            <w:r>
              <w:rPr>
                <w:rFonts w:ascii="Arial" w:hAnsi="Arial" w:eastAsia="Arial"/>
                <w:b w:val="0"/>
                <w:sz w:val="16"/>
              </w:rPr>
              <w:t>7.376%</w:t>
            </w:r>
          </w:p>
        </w:tc>
        <w:tc>
          <w:tcPr>
            <w:tcW w:type="dxa" w:w="1694"/>
            <w:vAlign w:val="center"/>
          </w:tcPr>
          <w:p>
            <w:pPr>
              <w:spacing w:after="0"/>
            </w:pPr>
            <w:r/>
            <w:r>
              <w:rPr>
                <w:rFonts w:ascii="Arial" w:hAnsi="Arial" w:eastAsia="Arial"/>
                <w:b w:val="0"/>
                <w:sz w:val="16"/>
              </w:rPr>
              <w:t>-2.831 percentage points (-3.105 percentage points to -2.538 percentage points)</w:t>
            </w:r>
          </w:p>
        </w:tc>
        <w:tc>
          <w:tcPr>
            <w:tcW w:type="dxa" w:w="1694"/>
            <w:vAlign w:val="center"/>
          </w:tcPr>
          <w:p>
            <w:pPr>
              <w:spacing w:after="0"/>
            </w:pPr>
            <w:r/>
            <w:r>
              <w:rPr>
                <w:rFonts w:ascii="Arial" w:hAnsi="Arial" w:eastAsia="Arial"/>
                <w:b w:val="0"/>
                <w:sz w:val="16"/>
              </w:rPr>
              <w:t>2000/2000</w:t>
            </w:r>
          </w:p>
        </w:tc>
      </w:tr>
      <w:tr>
        <w:trPr>
          <w:cantSplit/>
        </w:trPr>
        <w:tc>
          <w:tcPr>
            <w:tcW w:type="dxa" w:w="1694"/>
            <w:vAlign w:val="center"/>
          </w:tcPr>
          <w:p>
            <w:pPr>
              <w:spacing w:after="0"/>
            </w:pPr>
            <w:r/>
            <w:r>
              <w:rPr>
                <w:rFonts w:ascii="Arial" w:hAnsi="Arial" w:eastAsia="Arial"/>
                <w:b w:val="0"/>
                <w:sz w:val="16"/>
              </w:rPr>
              <w:t>Choledocholithiasis</w:t>
            </w:r>
          </w:p>
        </w:tc>
        <w:tc>
          <w:tcPr>
            <w:tcW w:type="dxa" w:w="1694"/>
            <w:vAlign w:val="center"/>
          </w:tcPr>
          <w:p>
            <w:pPr>
              <w:spacing w:after="0"/>
            </w:pPr>
            <w:r/>
            <w:r>
              <w:rPr>
                <w:rFonts w:ascii="Arial" w:hAnsi="Arial" w:eastAsia="Arial"/>
                <w:b w:val="0"/>
                <w:sz w:val="16"/>
              </w:rPr>
              <w:t>Day 3</w:t>
            </w:r>
          </w:p>
        </w:tc>
        <w:tc>
          <w:tcPr>
            <w:tcW w:type="dxa" w:w="1694"/>
            <w:vAlign w:val="center"/>
          </w:tcPr>
          <w:p>
            <w:pPr>
              <w:spacing w:after="0"/>
            </w:pPr>
            <w:r/>
            <w:r>
              <w:rPr>
                <w:rFonts w:ascii="Arial" w:hAnsi="Arial" w:eastAsia="Arial"/>
                <w:b w:val="0"/>
                <w:sz w:val="16"/>
              </w:rPr>
              <w:t>4.512%</w:t>
            </w:r>
          </w:p>
        </w:tc>
        <w:tc>
          <w:tcPr>
            <w:tcW w:type="dxa" w:w="1694"/>
            <w:vAlign w:val="center"/>
          </w:tcPr>
          <w:p>
            <w:pPr>
              <w:spacing w:after="0"/>
            </w:pPr>
            <w:r/>
            <w:r>
              <w:rPr>
                <w:rFonts w:ascii="Arial" w:hAnsi="Arial" w:eastAsia="Arial"/>
                <w:b w:val="0"/>
                <w:sz w:val="16"/>
              </w:rPr>
              <w:t>7.524%</w:t>
            </w:r>
          </w:p>
        </w:tc>
        <w:tc>
          <w:tcPr>
            <w:tcW w:type="dxa" w:w="1694"/>
            <w:vAlign w:val="center"/>
          </w:tcPr>
          <w:p>
            <w:pPr>
              <w:spacing w:after="0"/>
            </w:pPr>
            <w:r/>
            <w:r>
              <w:rPr>
                <w:rFonts w:ascii="Arial" w:hAnsi="Arial" w:eastAsia="Arial"/>
                <w:b w:val="0"/>
                <w:sz w:val="16"/>
              </w:rPr>
              <w:t>-3.012 percentage points (-3.293 percentage points to -2.715 percentage points)</w:t>
            </w:r>
          </w:p>
        </w:tc>
        <w:tc>
          <w:tcPr>
            <w:tcW w:type="dxa" w:w="1694"/>
            <w:vAlign w:val="center"/>
          </w:tcPr>
          <w:p>
            <w:pPr>
              <w:spacing w:after="0"/>
            </w:pPr>
            <w:r/>
            <w:r>
              <w:rPr>
                <w:rFonts w:ascii="Arial" w:hAnsi="Arial" w:eastAsia="Arial"/>
                <w:b w:val="0"/>
                <w:sz w:val="16"/>
              </w:rPr>
              <w:t>2000/2000</w:t>
            </w:r>
          </w:p>
        </w:tc>
      </w:tr>
      <w:tr>
        <w:trPr>
          <w:cantSplit/>
        </w:trPr>
        <w:tc>
          <w:tcPr>
            <w:tcW w:type="dxa" w:w="1694"/>
            <w:vAlign w:val="center"/>
          </w:tcPr>
          <w:p>
            <w:pPr>
              <w:spacing w:after="0"/>
            </w:pPr>
            <w:r/>
            <w:r>
              <w:rPr>
                <w:rFonts w:ascii="Arial" w:hAnsi="Arial" w:eastAsia="Arial"/>
                <w:b w:val="0"/>
                <w:sz w:val="16"/>
              </w:rPr>
              <w:t>Choledocholithiasis</w:t>
            </w:r>
          </w:p>
        </w:tc>
        <w:tc>
          <w:tcPr>
            <w:tcW w:type="dxa" w:w="1694"/>
            <w:vAlign w:val="center"/>
          </w:tcPr>
          <w:p>
            <w:pPr>
              <w:spacing w:after="0"/>
            </w:pPr>
            <w:r/>
            <w:r>
              <w:rPr>
                <w:rFonts w:ascii="Arial" w:hAnsi="Arial" w:eastAsia="Arial"/>
                <w:b w:val="0"/>
                <w:sz w:val="16"/>
              </w:rPr>
              <w:t>Day 4</w:t>
            </w:r>
          </w:p>
        </w:tc>
        <w:tc>
          <w:tcPr>
            <w:tcW w:type="dxa" w:w="1694"/>
            <w:vAlign w:val="center"/>
          </w:tcPr>
          <w:p>
            <w:pPr>
              <w:spacing w:after="0"/>
            </w:pPr>
            <w:r/>
            <w:r>
              <w:rPr>
                <w:rFonts w:ascii="Arial" w:hAnsi="Arial" w:eastAsia="Arial"/>
                <w:b w:val="0"/>
                <w:sz w:val="16"/>
              </w:rPr>
              <w:t>4.485%</w:t>
            </w:r>
          </w:p>
        </w:tc>
        <w:tc>
          <w:tcPr>
            <w:tcW w:type="dxa" w:w="1694"/>
            <w:vAlign w:val="center"/>
          </w:tcPr>
          <w:p>
            <w:pPr>
              <w:spacing w:after="0"/>
            </w:pPr>
            <w:r/>
            <w:r>
              <w:rPr>
                <w:rFonts w:ascii="Arial" w:hAnsi="Arial" w:eastAsia="Arial"/>
                <w:b w:val="0"/>
                <w:sz w:val="16"/>
              </w:rPr>
              <w:t>7.452%</w:t>
            </w:r>
          </w:p>
        </w:tc>
        <w:tc>
          <w:tcPr>
            <w:tcW w:type="dxa" w:w="1694"/>
            <w:vAlign w:val="center"/>
          </w:tcPr>
          <w:p>
            <w:pPr>
              <w:spacing w:after="0"/>
            </w:pPr>
            <w:r/>
            <w:r>
              <w:rPr>
                <w:rFonts w:ascii="Arial" w:hAnsi="Arial" w:eastAsia="Arial"/>
                <w:b w:val="0"/>
                <w:sz w:val="16"/>
              </w:rPr>
              <w:t>-2.967 percentage points (-3.249 percentage points to -2.686 percentage points)</w:t>
            </w:r>
          </w:p>
        </w:tc>
        <w:tc>
          <w:tcPr>
            <w:tcW w:type="dxa" w:w="1694"/>
            <w:vAlign w:val="center"/>
          </w:tcPr>
          <w:p>
            <w:pPr>
              <w:spacing w:after="0"/>
            </w:pPr>
            <w:r/>
            <w:r>
              <w:rPr>
                <w:rFonts w:ascii="Arial" w:hAnsi="Arial" w:eastAsia="Arial"/>
                <w:b w:val="0"/>
                <w:sz w:val="16"/>
              </w:rPr>
              <w:t>2000/2000</w:t>
            </w:r>
          </w:p>
        </w:tc>
      </w:tr>
    </w:tbl>
    <w:p/>
    <w:p>
      <w:pPr>
        <w:pStyle w:val="Heading2"/>
      </w:pPr>
      <w:r>
        <w:t>Negative control and quantitative bias analysis</w:t>
      </w:r>
    </w:p>
    <w:p>
      <w:pPr>
        <w:spacing w:line="259" w:lineRule="auto"/>
      </w:pPr>
      <w:r>
        <w:t>The broad nonbiliary nonelective-readmission outcome used the same cohort, landmark, weights, event algorithm, and competing-event rule. It diagnoses residual differences but is not used to algebraically adjust the biliary estimate. The sensitivity grid computed from the day-3 risk set varies a single binary unmeasured confounder prevalence in each group and its outcome risk ratio. It is a tipping exercise rather than an identification analysis.</w:t>
      </w:r>
    </w:p>
    <w:p>
      <w:pPr>
        <w:spacing w:after="60"/>
      </w:pPr>
      <w:r>
        <w:rPr>
          <w:b/>
        </w:rPr>
        <w:t>Supplementary Table S3 | Day-3 negative-control diagnostic from the primary analysis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rPr>
        <w:tc>
          <w:tcPr>
            <w:tcW w:type="dxa" w:w="2033"/>
            <w:vAlign w:val="center"/>
            <w:shd w:fill="D9EAF7"/>
          </w:tcPr>
          <w:p>
            <w:pPr>
              <w:spacing w:after="0"/>
            </w:pPr>
            <w:r/>
            <w:r>
              <w:rPr>
                <w:rFonts w:ascii="Arial" w:hAnsi="Arial" w:eastAsia="Arial"/>
                <w:b/>
                <w:sz w:val="16"/>
              </w:rPr>
              <w:t>Cohort</w:t>
            </w:r>
          </w:p>
        </w:tc>
        <w:tc>
          <w:tcPr>
            <w:tcW w:type="dxa" w:w="2033"/>
            <w:vAlign w:val="center"/>
            <w:shd w:fill="D9EAF7"/>
          </w:tcPr>
          <w:p>
            <w:pPr>
              <w:spacing w:after="0"/>
            </w:pPr>
            <w:r/>
            <w:r>
              <w:rPr>
                <w:rFonts w:ascii="Arial" w:hAnsi="Arial" w:eastAsia="Arial"/>
                <w:b/>
                <w:sz w:val="16"/>
              </w:rPr>
              <w:t>Biliary 90-day difference</w:t>
            </w:r>
          </w:p>
        </w:tc>
        <w:tc>
          <w:tcPr>
            <w:tcW w:type="dxa" w:w="2033"/>
            <w:vAlign w:val="center"/>
            <w:shd w:fill="D9EAF7"/>
          </w:tcPr>
          <w:p>
            <w:pPr>
              <w:spacing w:after="0"/>
            </w:pPr>
            <w:r/>
            <w:r>
              <w:rPr>
                <w:rFonts w:ascii="Arial" w:hAnsi="Arial" w:eastAsia="Arial"/>
                <w:b/>
                <w:sz w:val="16"/>
              </w:rPr>
              <w:t>Nonbiliary difference</w:t>
            </w:r>
          </w:p>
        </w:tc>
        <w:tc>
          <w:tcPr>
            <w:tcW w:type="dxa" w:w="2033"/>
            <w:vAlign w:val="center"/>
            <w:shd w:fill="D9EAF7"/>
          </w:tcPr>
          <w:p>
            <w:pPr>
              <w:spacing w:after="0"/>
            </w:pPr>
            <w:r/>
            <w:r>
              <w:rPr>
                <w:rFonts w:ascii="Arial" w:hAnsi="Arial" w:eastAsia="Arial"/>
                <w:b/>
                <w:sz w:val="16"/>
              </w:rPr>
              <w:t>Magnitude ratio</w:t>
            </w:r>
          </w:p>
        </w:tc>
        <w:tc>
          <w:tcPr>
            <w:tcW w:type="dxa" w:w="2033"/>
            <w:vAlign w:val="center"/>
            <w:shd w:fill="D9EAF7"/>
          </w:tcPr>
          <w:p>
            <w:pPr>
              <w:spacing w:after="0"/>
            </w:pPr>
            <w:r/>
            <w:r>
              <w:rPr>
                <w:rFonts w:ascii="Arial" w:hAnsi="Arial" w:eastAsia="Arial"/>
                <w:b/>
                <w:sz w:val="16"/>
              </w:rPr>
              <w:t>Interpretation</w:t>
            </w:r>
          </w:p>
        </w:tc>
      </w:tr>
      <w:tr>
        <w:trPr>
          <w:cantSplit/>
        </w:trPr>
        <w:tc>
          <w:tcPr>
            <w:tcW w:type="dxa" w:w="2033"/>
            <w:vAlign w:val="center"/>
          </w:tcPr>
          <w:p>
            <w:pPr>
              <w:spacing w:after="0"/>
            </w:pPr>
            <w:r/>
            <w:r>
              <w:rPr>
                <w:rFonts w:ascii="Arial" w:hAnsi="Arial" w:eastAsia="Arial"/>
                <w:b w:val="0"/>
                <w:sz w:val="16"/>
              </w:rPr>
              <w:t>Acute cholecystitis</w:t>
            </w:r>
          </w:p>
        </w:tc>
        <w:tc>
          <w:tcPr>
            <w:tcW w:type="dxa" w:w="2033"/>
            <w:vAlign w:val="center"/>
          </w:tcPr>
          <w:p>
            <w:pPr>
              <w:spacing w:after="0"/>
            </w:pPr>
            <w:r/>
            <w:r>
              <w:rPr>
                <w:rFonts w:ascii="Arial" w:hAnsi="Arial" w:eastAsia="Arial"/>
                <w:b w:val="0"/>
                <w:sz w:val="16"/>
              </w:rPr>
              <w:t>-11.206 percentage points</w:t>
            </w:r>
          </w:p>
        </w:tc>
        <w:tc>
          <w:tcPr>
            <w:tcW w:type="dxa" w:w="2033"/>
            <w:vAlign w:val="center"/>
          </w:tcPr>
          <w:p>
            <w:pPr>
              <w:spacing w:after="0"/>
            </w:pPr>
            <w:r/>
            <w:r>
              <w:rPr>
                <w:rFonts w:ascii="Arial" w:hAnsi="Arial" w:eastAsia="Arial"/>
                <w:b w:val="0"/>
                <w:sz w:val="16"/>
              </w:rPr>
              <w:t>-4.407 percentage points</w:t>
            </w:r>
          </w:p>
        </w:tc>
        <w:tc>
          <w:tcPr>
            <w:tcW w:type="dxa" w:w="2033"/>
            <w:vAlign w:val="center"/>
          </w:tcPr>
          <w:p>
            <w:pPr>
              <w:spacing w:after="0"/>
            </w:pPr>
            <w:r/>
            <w:r>
              <w:rPr>
                <w:rFonts w:ascii="Arial" w:hAnsi="Arial" w:eastAsia="Arial"/>
                <w:b w:val="0"/>
                <w:sz w:val="16"/>
              </w:rPr>
              <w:t>2.54</w:t>
            </w:r>
          </w:p>
        </w:tc>
        <w:tc>
          <w:tcPr>
            <w:tcW w:type="dxa" w:w="2033"/>
            <w:vAlign w:val="center"/>
          </w:tcPr>
          <w:p>
            <w:pPr>
              <w:spacing w:after="0"/>
            </w:pPr>
            <w:r/>
            <w:r>
              <w:rPr>
                <w:rFonts w:ascii="Arial" w:hAnsi="Arial" w:eastAsia="Arial"/>
                <w:b w:val="0"/>
                <w:sz w:val="16"/>
              </w:rPr>
              <w:t>Residual selection detected; no algebraic correction applied</w:t>
            </w:r>
          </w:p>
        </w:tc>
      </w:tr>
      <w:tr>
        <w:trPr>
          <w:cantSplit/>
        </w:trPr>
        <w:tc>
          <w:tcPr>
            <w:tcW w:type="dxa" w:w="2033"/>
            <w:vAlign w:val="center"/>
          </w:tcPr>
          <w:p>
            <w:pPr>
              <w:spacing w:after="0"/>
            </w:pPr>
            <w:r/>
            <w:r>
              <w:rPr>
                <w:rFonts w:ascii="Arial" w:hAnsi="Arial" w:eastAsia="Arial"/>
                <w:b w:val="0"/>
                <w:sz w:val="16"/>
              </w:rPr>
              <w:t>Choledocholithiasis</w:t>
            </w:r>
          </w:p>
        </w:tc>
        <w:tc>
          <w:tcPr>
            <w:tcW w:type="dxa" w:w="2033"/>
            <w:vAlign w:val="center"/>
          </w:tcPr>
          <w:p>
            <w:pPr>
              <w:spacing w:after="0"/>
            </w:pPr>
            <w:r/>
            <w:r>
              <w:rPr>
                <w:rFonts w:ascii="Arial" w:hAnsi="Arial" w:eastAsia="Arial"/>
                <w:b w:val="0"/>
                <w:sz w:val="16"/>
              </w:rPr>
              <w:t>-3.012 percentage points</w:t>
            </w:r>
          </w:p>
        </w:tc>
        <w:tc>
          <w:tcPr>
            <w:tcW w:type="dxa" w:w="2033"/>
            <w:vAlign w:val="center"/>
          </w:tcPr>
          <w:p>
            <w:pPr>
              <w:spacing w:after="0"/>
            </w:pPr>
            <w:r/>
            <w:r>
              <w:rPr>
                <w:rFonts w:ascii="Arial" w:hAnsi="Arial" w:eastAsia="Arial"/>
                <w:b w:val="0"/>
                <w:sz w:val="16"/>
              </w:rPr>
              <w:t>-2.044 percentage points</w:t>
            </w:r>
          </w:p>
        </w:tc>
        <w:tc>
          <w:tcPr>
            <w:tcW w:type="dxa" w:w="2033"/>
            <w:vAlign w:val="center"/>
          </w:tcPr>
          <w:p>
            <w:pPr>
              <w:spacing w:after="0"/>
            </w:pPr>
            <w:r/>
            <w:r>
              <w:rPr>
                <w:rFonts w:ascii="Arial" w:hAnsi="Arial" w:eastAsia="Arial"/>
                <w:b w:val="0"/>
                <w:sz w:val="16"/>
              </w:rPr>
              <w:t>1.47</w:t>
            </w:r>
          </w:p>
        </w:tc>
        <w:tc>
          <w:tcPr>
            <w:tcW w:type="dxa" w:w="2033"/>
            <w:vAlign w:val="center"/>
          </w:tcPr>
          <w:p>
            <w:pPr>
              <w:spacing w:after="0"/>
            </w:pPr>
            <w:r/>
            <w:r>
              <w:rPr>
                <w:rFonts w:ascii="Arial" w:hAnsi="Arial" w:eastAsia="Arial"/>
                <w:b w:val="0"/>
                <w:sz w:val="16"/>
              </w:rPr>
              <w:t>Residual selection detected; no algebraic correction applied</w:t>
            </w:r>
          </w:p>
        </w:tc>
      </w:tr>
    </w:tbl>
    <w:p/>
    <w:p>
      <w:pPr>
        <w:spacing w:after="60"/>
      </w:pPr>
      <w:r>
        <w:rPr>
          <w:b/>
        </w:rPr>
        <w:t>Supplementary Table S4 | Selected cells from the single-binary-confounder tipping grid</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cantSplit/>
        </w:trPr>
        <w:tc>
          <w:tcPr>
            <w:tcW w:type="dxa" w:w="1694"/>
            <w:vAlign w:val="center"/>
            <w:shd w:fill="D9EAF7"/>
          </w:tcPr>
          <w:p>
            <w:pPr>
              <w:spacing w:after="0"/>
            </w:pPr>
            <w:r/>
            <w:r>
              <w:rPr>
                <w:rFonts w:ascii="Arial" w:hAnsi="Arial" w:eastAsia="Arial"/>
                <w:b/>
                <w:sz w:val="16"/>
              </w:rPr>
              <w:t>Cohort</w:t>
            </w:r>
          </w:p>
        </w:tc>
        <w:tc>
          <w:tcPr>
            <w:tcW w:type="dxa" w:w="1694"/>
            <w:vAlign w:val="center"/>
            <w:shd w:fill="D9EAF7"/>
          </w:tcPr>
          <w:p>
            <w:pPr>
              <w:spacing w:after="0"/>
            </w:pPr>
            <w:r/>
            <w:r>
              <w:rPr>
                <w:rFonts w:ascii="Arial" w:hAnsi="Arial" w:eastAsia="Arial"/>
                <w:b/>
                <w:sz w:val="16"/>
              </w:rPr>
              <w:t>Confounder prevalence: completed</w:t>
            </w:r>
          </w:p>
        </w:tc>
        <w:tc>
          <w:tcPr>
            <w:tcW w:type="dxa" w:w="1694"/>
            <w:vAlign w:val="center"/>
            <w:shd w:fill="D9EAF7"/>
          </w:tcPr>
          <w:p>
            <w:pPr>
              <w:spacing w:after="0"/>
            </w:pPr>
            <w:r/>
            <w:r>
              <w:rPr>
                <w:rFonts w:ascii="Arial" w:hAnsi="Arial" w:eastAsia="Arial"/>
                <w:b/>
                <w:sz w:val="16"/>
              </w:rPr>
              <w:t>Not completed</w:t>
            </w:r>
          </w:p>
        </w:tc>
        <w:tc>
          <w:tcPr>
            <w:tcW w:type="dxa" w:w="1694"/>
            <w:vAlign w:val="center"/>
            <w:shd w:fill="D9EAF7"/>
          </w:tcPr>
          <w:p>
            <w:pPr>
              <w:spacing w:after="0"/>
            </w:pPr>
            <w:r/>
            <w:r>
              <w:rPr>
                <w:rFonts w:ascii="Arial" w:hAnsi="Arial" w:eastAsia="Arial"/>
                <w:b/>
                <w:sz w:val="16"/>
              </w:rPr>
              <w:t>Outcome RR</w:t>
            </w:r>
          </w:p>
        </w:tc>
        <w:tc>
          <w:tcPr>
            <w:tcW w:type="dxa" w:w="1694"/>
            <w:vAlign w:val="center"/>
            <w:shd w:fill="D9EAF7"/>
          </w:tcPr>
          <w:p>
            <w:pPr>
              <w:spacing w:after="0"/>
            </w:pPr>
            <w:r/>
            <w:r>
              <w:rPr>
                <w:rFonts w:ascii="Arial" w:hAnsi="Arial" w:eastAsia="Arial"/>
                <w:b/>
                <w:sz w:val="16"/>
              </w:rPr>
              <w:t>Corrected RR</w:t>
            </w:r>
          </w:p>
        </w:tc>
        <w:tc>
          <w:tcPr>
            <w:tcW w:type="dxa" w:w="1694"/>
            <w:vAlign w:val="center"/>
            <w:shd w:fill="D9EAF7"/>
          </w:tcPr>
          <w:p>
            <w:pPr>
              <w:spacing w:after="0"/>
            </w:pPr>
            <w:r/>
            <w:r>
              <w:rPr>
                <w:rFonts w:ascii="Arial" w:hAnsi="Arial" w:eastAsia="Arial"/>
                <w:b/>
                <w:sz w:val="16"/>
              </w:rPr>
              <w:t>Corrected RD</w:t>
            </w:r>
          </w:p>
        </w:tc>
      </w:tr>
      <w:tr>
        <w:trPr>
          <w:cantSplit/>
        </w:trPr>
        <w:tc>
          <w:tcPr>
            <w:tcW w:type="dxa" w:w="1694"/>
            <w:vAlign w:val="center"/>
          </w:tcPr>
          <w:p>
            <w:pPr>
              <w:spacing w:after="0"/>
            </w:pPr>
            <w:r/>
            <w:r>
              <w:rPr>
                <w:rFonts w:ascii="Arial" w:hAnsi="Arial" w:eastAsia="Arial"/>
                <w:b w:val="0"/>
                <w:sz w:val="16"/>
              </w:rPr>
              <w:t>Acute cholecystitis</w:t>
            </w:r>
          </w:p>
        </w:tc>
        <w:tc>
          <w:tcPr>
            <w:tcW w:type="dxa" w:w="1694"/>
            <w:vAlign w:val="center"/>
          </w:tcPr>
          <w:p>
            <w:pPr>
              <w:spacing w:after="0"/>
            </w:pPr>
            <w:r/>
            <w:r>
              <w:rPr>
                <w:rFonts w:ascii="Arial" w:hAnsi="Arial" w:eastAsia="Arial"/>
                <w:b w:val="0"/>
                <w:sz w:val="16"/>
              </w:rPr>
              <w:t>0.05</w:t>
            </w:r>
          </w:p>
        </w:tc>
        <w:tc>
          <w:tcPr>
            <w:tcW w:type="dxa" w:w="1694"/>
            <w:vAlign w:val="center"/>
          </w:tcPr>
          <w:p>
            <w:pPr>
              <w:spacing w:after="0"/>
            </w:pPr>
            <w:r/>
            <w:r>
              <w:rPr>
                <w:rFonts w:ascii="Arial" w:hAnsi="Arial" w:eastAsia="Arial"/>
                <w:b w:val="0"/>
                <w:sz w:val="16"/>
              </w:rPr>
              <w:t>0.05</w:t>
            </w:r>
          </w:p>
        </w:tc>
        <w:tc>
          <w:tcPr>
            <w:tcW w:type="dxa" w:w="1694"/>
            <w:vAlign w:val="center"/>
          </w:tcPr>
          <w:p>
            <w:pPr>
              <w:spacing w:after="0"/>
            </w:pPr>
            <w:r/>
            <w:r>
              <w:rPr>
                <w:rFonts w:ascii="Arial" w:hAnsi="Arial" w:eastAsia="Arial"/>
                <w:b w:val="0"/>
                <w:sz w:val="16"/>
              </w:rPr>
              <w:t>4</w:t>
            </w:r>
          </w:p>
        </w:tc>
        <w:tc>
          <w:tcPr>
            <w:tcW w:type="dxa" w:w="1694"/>
            <w:vAlign w:val="center"/>
          </w:tcPr>
          <w:p>
            <w:pPr>
              <w:spacing w:after="0"/>
            </w:pPr>
            <w:r/>
            <w:r>
              <w:rPr>
                <w:rFonts w:ascii="Arial" w:hAnsi="Arial" w:eastAsia="Arial"/>
                <w:b w:val="0"/>
                <w:sz w:val="16"/>
              </w:rPr>
              <w:t>0.114</w:t>
            </w:r>
          </w:p>
        </w:tc>
        <w:tc>
          <w:tcPr>
            <w:tcW w:type="dxa" w:w="1694"/>
            <w:vAlign w:val="center"/>
          </w:tcPr>
          <w:p>
            <w:pPr>
              <w:spacing w:after="0"/>
            </w:pPr>
            <w:r/>
            <w:r>
              <w:rPr>
                <w:rFonts w:ascii="Arial" w:hAnsi="Arial" w:eastAsia="Arial"/>
                <w:b w:val="0"/>
                <w:sz w:val="16"/>
              </w:rPr>
              <w:t>-11.206 percentage points</w:t>
            </w:r>
          </w:p>
        </w:tc>
      </w:tr>
      <w:tr>
        <w:trPr>
          <w:cantSplit/>
        </w:trPr>
        <w:tc>
          <w:tcPr>
            <w:tcW w:type="dxa" w:w="1694"/>
            <w:vAlign w:val="center"/>
          </w:tcPr>
          <w:p>
            <w:pPr>
              <w:spacing w:after="0"/>
            </w:pPr>
            <w:r/>
            <w:r>
              <w:rPr>
                <w:rFonts w:ascii="Arial" w:hAnsi="Arial" w:eastAsia="Arial"/>
                <w:b w:val="0"/>
                <w:sz w:val="16"/>
              </w:rPr>
              <w:t>Acute cholecystitis</w:t>
            </w:r>
          </w:p>
        </w:tc>
        <w:tc>
          <w:tcPr>
            <w:tcW w:type="dxa" w:w="1694"/>
            <w:vAlign w:val="center"/>
          </w:tcPr>
          <w:p>
            <w:pPr>
              <w:spacing w:after="0"/>
            </w:pPr>
            <w:r/>
            <w:r>
              <w:rPr>
                <w:rFonts w:ascii="Arial" w:hAnsi="Arial" w:eastAsia="Arial"/>
                <w:b w:val="0"/>
                <w:sz w:val="16"/>
              </w:rPr>
              <w:t>0.05</w:t>
            </w:r>
          </w:p>
        </w:tc>
        <w:tc>
          <w:tcPr>
            <w:tcW w:type="dxa" w:w="1694"/>
            <w:vAlign w:val="center"/>
          </w:tcPr>
          <w:p>
            <w:pPr>
              <w:spacing w:after="0"/>
            </w:pPr>
            <w:r/>
            <w:r>
              <w:rPr>
                <w:rFonts w:ascii="Arial" w:hAnsi="Arial" w:eastAsia="Arial"/>
                <w:b w:val="0"/>
                <w:sz w:val="16"/>
              </w:rPr>
              <w:t>0.5</w:t>
            </w:r>
          </w:p>
        </w:tc>
        <w:tc>
          <w:tcPr>
            <w:tcW w:type="dxa" w:w="1694"/>
            <w:vAlign w:val="center"/>
          </w:tcPr>
          <w:p>
            <w:pPr>
              <w:spacing w:after="0"/>
            </w:pPr>
            <w:r/>
            <w:r>
              <w:rPr>
                <w:rFonts w:ascii="Arial" w:hAnsi="Arial" w:eastAsia="Arial"/>
                <w:b w:val="0"/>
                <w:sz w:val="16"/>
              </w:rPr>
              <w:t>4</w:t>
            </w:r>
          </w:p>
        </w:tc>
        <w:tc>
          <w:tcPr>
            <w:tcW w:type="dxa" w:w="1694"/>
            <w:vAlign w:val="center"/>
          </w:tcPr>
          <w:p>
            <w:pPr>
              <w:spacing w:after="0"/>
            </w:pPr>
            <w:r/>
            <w:r>
              <w:rPr>
                <w:rFonts w:ascii="Arial" w:hAnsi="Arial" w:eastAsia="Arial"/>
                <w:b w:val="0"/>
                <w:sz w:val="16"/>
              </w:rPr>
              <w:t>0.248</w:t>
            </w:r>
          </w:p>
        </w:tc>
        <w:tc>
          <w:tcPr>
            <w:tcW w:type="dxa" w:w="1694"/>
            <w:vAlign w:val="center"/>
          </w:tcPr>
          <w:p>
            <w:pPr>
              <w:spacing w:after="0"/>
            </w:pPr>
            <w:r/>
            <w:r>
              <w:rPr>
                <w:rFonts w:ascii="Arial" w:hAnsi="Arial" w:eastAsia="Arial"/>
                <w:b w:val="0"/>
                <w:sz w:val="16"/>
              </w:rPr>
              <w:t>-9.511 percentage points</w:t>
            </w:r>
          </w:p>
        </w:tc>
      </w:tr>
      <w:tr>
        <w:trPr>
          <w:cantSplit/>
        </w:trPr>
        <w:tc>
          <w:tcPr>
            <w:tcW w:type="dxa" w:w="1694"/>
            <w:vAlign w:val="center"/>
          </w:tcPr>
          <w:p>
            <w:pPr>
              <w:spacing w:after="0"/>
            </w:pPr>
            <w:r/>
            <w:r>
              <w:rPr>
                <w:rFonts w:ascii="Arial" w:hAnsi="Arial" w:eastAsia="Arial"/>
                <w:b w:val="0"/>
                <w:sz w:val="16"/>
              </w:rPr>
              <w:t>Acute cholecystitis</w:t>
            </w:r>
          </w:p>
        </w:tc>
        <w:tc>
          <w:tcPr>
            <w:tcW w:type="dxa" w:w="1694"/>
            <w:vAlign w:val="center"/>
          </w:tcPr>
          <w:p>
            <w:pPr>
              <w:spacing w:after="0"/>
            </w:pPr>
            <w:r/>
            <w:r>
              <w:rPr>
                <w:rFonts w:ascii="Arial" w:hAnsi="Arial" w:eastAsia="Arial"/>
                <w:b w:val="0"/>
                <w:sz w:val="16"/>
              </w:rPr>
              <w:t>0.5</w:t>
            </w:r>
          </w:p>
        </w:tc>
        <w:tc>
          <w:tcPr>
            <w:tcW w:type="dxa" w:w="1694"/>
            <w:vAlign w:val="center"/>
          </w:tcPr>
          <w:p>
            <w:pPr>
              <w:spacing w:after="0"/>
            </w:pPr>
            <w:r/>
            <w:r>
              <w:rPr>
                <w:rFonts w:ascii="Arial" w:hAnsi="Arial" w:eastAsia="Arial"/>
                <w:b w:val="0"/>
                <w:sz w:val="16"/>
              </w:rPr>
              <w:t>0.05</w:t>
            </w:r>
          </w:p>
        </w:tc>
        <w:tc>
          <w:tcPr>
            <w:tcW w:type="dxa" w:w="1694"/>
            <w:vAlign w:val="center"/>
          </w:tcPr>
          <w:p>
            <w:pPr>
              <w:spacing w:after="0"/>
            </w:pPr>
            <w:r/>
            <w:r>
              <w:rPr>
                <w:rFonts w:ascii="Arial" w:hAnsi="Arial" w:eastAsia="Arial"/>
                <w:b w:val="0"/>
                <w:sz w:val="16"/>
              </w:rPr>
              <w:t>4</w:t>
            </w:r>
          </w:p>
        </w:tc>
        <w:tc>
          <w:tcPr>
            <w:tcW w:type="dxa" w:w="1694"/>
            <w:vAlign w:val="center"/>
          </w:tcPr>
          <w:p>
            <w:pPr>
              <w:spacing w:after="0"/>
            </w:pPr>
            <w:r/>
            <w:r>
              <w:rPr>
                <w:rFonts w:ascii="Arial" w:hAnsi="Arial" w:eastAsia="Arial"/>
                <w:b w:val="0"/>
                <w:sz w:val="16"/>
              </w:rPr>
              <w:t>0.052</w:t>
            </w:r>
          </w:p>
        </w:tc>
        <w:tc>
          <w:tcPr>
            <w:tcW w:type="dxa" w:w="1694"/>
            <w:vAlign w:val="center"/>
          </w:tcPr>
          <w:p>
            <w:pPr>
              <w:spacing w:after="0"/>
            </w:pPr>
            <w:r/>
            <w:r>
              <w:rPr>
                <w:rFonts w:ascii="Arial" w:hAnsi="Arial" w:eastAsia="Arial"/>
                <w:b w:val="0"/>
                <w:sz w:val="16"/>
              </w:rPr>
              <w:t>-11.986 percentage points</w:t>
            </w:r>
          </w:p>
        </w:tc>
      </w:tr>
      <w:tr>
        <w:trPr>
          <w:cantSplit/>
        </w:trPr>
        <w:tc>
          <w:tcPr>
            <w:tcW w:type="dxa" w:w="1694"/>
            <w:vAlign w:val="center"/>
          </w:tcPr>
          <w:p>
            <w:pPr>
              <w:spacing w:after="0"/>
            </w:pPr>
            <w:r/>
            <w:r>
              <w:rPr>
                <w:rFonts w:ascii="Arial" w:hAnsi="Arial" w:eastAsia="Arial"/>
                <w:b w:val="0"/>
                <w:sz w:val="16"/>
              </w:rPr>
              <w:t>Acute cholecystitis</w:t>
            </w:r>
          </w:p>
        </w:tc>
        <w:tc>
          <w:tcPr>
            <w:tcW w:type="dxa" w:w="1694"/>
            <w:vAlign w:val="center"/>
          </w:tcPr>
          <w:p>
            <w:pPr>
              <w:spacing w:after="0"/>
            </w:pPr>
            <w:r/>
            <w:r>
              <w:rPr>
                <w:rFonts w:ascii="Arial" w:hAnsi="Arial" w:eastAsia="Arial"/>
                <w:b w:val="0"/>
                <w:sz w:val="16"/>
              </w:rPr>
              <w:t>0.5</w:t>
            </w:r>
          </w:p>
        </w:tc>
        <w:tc>
          <w:tcPr>
            <w:tcW w:type="dxa" w:w="1694"/>
            <w:vAlign w:val="center"/>
          </w:tcPr>
          <w:p>
            <w:pPr>
              <w:spacing w:after="0"/>
            </w:pPr>
            <w:r/>
            <w:r>
              <w:rPr>
                <w:rFonts w:ascii="Arial" w:hAnsi="Arial" w:eastAsia="Arial"/>
                <w:b w:val="0"/>
                <w:sz w:val="16"/>
              </w:rPr>
              <w:t>0.5</w:t>
            </w:r>
          </w:p>
        </w:tc>
        <w:tc>
          <w:tcPr>
            <w:tcW w:type="dxa" w:w="1694"/>
            <w:vAlign w:val="center"/>
          </w:tcPr>
          <w:p>
            <w:pPr>
              <w:spacing w:after="0"/>
            </w:pPr>
            <w:r/>
            <w:r>
              <w:rPr>
                <w:rFonts w:ascii="Arial" w:hAnsi="Arial" w:eastAsia="Arial"/>
                <w:b w:val="0"/>
                <w:sz w:val="16"/>
              </w:rPr>
              <w:t>4</w:t>
            </w:r>
          </w:p>
        </w:tc>
        <w:tc>
          <w:tcPr>
            <w:tcW w:type="dxa" w:w="1694"/>
            <w:vAlign w:val="center"/>
          </w:tcPr>
          <w:p>
            <w:pPr>
              <w:spacing w:after="0"/>
            </w:pPr>
            <w:r/>
            <w:r>
              <w:rPr>
                <w:rFonts w:ascii="Arial" w:hAnsi="Arial" w:eastAsia="Arial"/>
                <w:b w:val="0"/>
                <w:sz w:val="16"/>
              </w:rPr>
              <w:t>0.114</w:t>
            </w:r>
          </w:p>
        </w:tc>
        <w:tc>
          <w:tcPr>
            <w:tcW w:type="dxa" w:w="1694"/>
            <w:vAlign w:val="center"/>
          </w:tcPr>
          <w:p>
            <w:pPr>
              <w:spacing w:after="0"/>
            </w:pPr>
            <w:r/>
            <w:r>
              <w:rPr>
                <w:rFonts w:ascii="Arial" w:hAnsi="Arial" w:eastAsia="Arial"/>
                <w:b w:val="0"/>
                <w:sz w:val="16"/>
              </w:rPr>
              <w:t>-11.206 percentage points</w:t>
            </w:r>
          </w:p>
        </w:tc>
      </w:tr>
      <w:tr>
        <w:trPr>
          <w:cantSplit/>
        </w:trPr>
        <w:tc>
          <w:tcPr>
            <w:tcW w:type="dxa" w:w="1694"/>
            <w:vAlign w:val="center"/>
          </w:tcPr>
          <w:p>
            <w:pPr>
              <w:spacing w:after="0"/>
            </w:pPr>
            <w:r/>
            <w:r>
              <w:rPr>
                <w:rFonts w:ascii="Arial" w:hAnsi="Arial" w:eastAsia="Arial"/>
                <w:b w:val="0"/>
                <w:sz w:val="16"/>
              </w:rPr>
              <w:t>Choledocholithiasis</w:t>
            </w:r>
          </w:p>
        </w:tc>
        <w:tc>
          <w:tcPr>
            <w:tcW w:type="dxa" w:w="1694"/>
            <w:vAlign w:val="center"/>
          </w:tcPr>
          <w:p>
            <w:pPr>
              <w:spacing w:after="0"/>
            </w:pPr>
            <w:r/>
            <w:r>
              <w:rPr>
                <w:rFonts w:ascii="Arial" w:hAnsi="Arial" w:eastAsia="Arial"/>
                <w:b w:val="0"/>
                <w:sz w:val="16"/>
              </w:rPr>
              <w:t>0.05</w:t>
            </w:r>
          </w:p>
        </w:tc>
        <w:tc>
          <w:tcPr>
            <w:tcW w:type="dxa" w:w="1694"/>
            <w:vAlign w:val="center"/>
          </w:tcPr>
          <w:p>
            <w:pPr>
              <w:spacing w:after="0"/>
            </w:pPr>
            <w:r/>
            <w:r>
              <w:rPr>
                <w:rFonts w:ascii="Arial" w:hAnsi="Arial" w:eastAsia="Arial"/>
                <w:b w:val="0"/>
                <w:sz w:val="16"/>
              </w:rPr>
              <w:t>0.05</w:t>
            </w:r>
          </w:p>
        </w:tc>
        <w:tc>
          <w:tcPr>
            <w:tcW w:type="dxa" w:w="1694"/>
            <w:vAlign w:val="center"/>
          </w:tcPr>
          <w:p>
            <w:pPr>
              <w:spacing w:after="0"/>
            </w:pPr>
            <w:r/>
            <w:r>
              <w:rPr>
                <w:rFonts w:ascii="Arial" w:hAnsi="Arial" w:eastAsia="Arial"/>
                <w:b w:val="0"/>
                <w:sz w:val="16"/>
              </w:rPr>
              <w:t>4</w:t>
            </w:r>
          </w:p>
        </w:tc>
        <w:tc>
          <w:tcPr>
            <w:tcW w:type="dxa" w:w="1694"/>
            <w:vAlign w:val="center"/>
          </w:tcPr>
          <w:p>
            <w:pPr>
              <w:spacing w:after="0"/>
            </w:pPr>
            <w:r/>
            <w:r>
              <w:rPr>
                <w:rFonts w:ascii="Arial" w:hAnsi="Arial" w:eastAsia="Arial"/>
                <w:b w:val="0"/>
                <w:sz w:val="16"/>
              </w:rPr>
              <w:t>0.600</w:t>
            </w:r>
          </w:p>
        </w:tc>
        <w:tc>
          <w:tcPr>
            <w:tcW w:type="dxa" w:w="1694"/>
            <w:vAlign w:val="center"/>
          </w:tcPr>
          <w:p>
            <w:pPr>
              <w:spacing w:after="0"/>
            </w:pPr>
            <w:r/>
            <w:r>
              <w:rPr>
                <w:rFonts w:ascii="Arial" w:hAnsi="Arial" w:eastAsia="Arial"/>
                <w:b w:val="0"/>
                <w:sz w:val="16"/>
              </w:rPr>
              <w:t>-3.012 percentage points</w:t>
            </w:r>
          </w:p>
        </w:tc>
      </w:tr>
      <w:tr>
        <w:trPr>
          <w:cantSplit/>
        </w:trPr>
        <w:tc>
          <w:tcPr>
            <w:tcW w:type="dxa" w:w="1694"/>
            <w:vAlign w:val="center"/>
          </w:tcPr>
          <w:p>
            <w:pPr>
              <w:spacing w:after="0"/>
            </w:pPr>
            <w:r/>
            <w:r>
              <w:rPr>
                <w:rFonts w:ascii="Arial" w:hAnsi="Arial" w:eastAsia="Arial"/>
                <w:b w:val="0"/>
                <w:sz w:val="16"/>
              </w:rPr>
              <w:t>Choledocholithiasis</w:t>
            </w:r>
          </w:p>
        </w:tc>
        <w:tc>
          <w:tcPr>
            <w:tcW w:type="dxa" w:w="1694"/>
            <w:vAlign w:val="center"/>
          </w:tcPr>
          <w:p>
            <w:pPr>
              <w:spacing w:after="0"/>
            </w:pPr>
            <w:r/>
            <w:r>
              <w:rPr>
                <w:rFonts w:ascii="Arial" w:hAnsi="Arial" w:eastAsia="Arial"/>
                <w:b w:val="0"/>
                <w:sz w:val="16"/>
              </w:rPr>
              <w:t>0.05</w:t>
            </w:r>
          </w:p>
        </w:tc>
        <w:tc>
          <w:tcPr>
            <w:tcW w:type="dxa" w:w="1694"/>
            <w:vAlign w:val="center"/>
          </w:tcPr>
          <w:p>
            <w:pPr>
              <w:spacing w:after="0"/>
            </w:pPr>
            <w:r/>
            <w:r>
              <w:rPr>
                <w:rFonts w:ascii="Arial" w:hAnsi="Arial" w:eastAsia="Arial"/>
                <w:b w:val="0"/>
                <w:sz w:val="16"/>
              </w:rPr>
              <w:t>0.5</w:t>
            </w:r>
          </w:p>
        </w:tc>
        <w:tc>
          <w:tcPr>
            <w:tcW w:type="dxa" w:w="1694"/>
            <w:vAlign w:val="center"/>
          </w:tcPr>
          <w:p>
            <w:pPr>
              <w:spacing w:after="0"/>
            </w:pPr>
            <w:r/>
            <w:r>
              <w:rPr>
                <w:rFonts w:ascii="Arial" w:hAnsi="Arial" w:eastAsia="Arial"/>
                <w:b w:val="0"/>
                <w:sz w:val="16"/>
              </w:rPr>
              <w:t>4</w:t>
            </w:r>
          </w:p>
        </w:tc>
        <w:tc>
          <w:tcPr>
            <w:tcW w:type="dxa" w:w="1694"/>
            <w:vAlign w:val="center"/>
          </w:tcPr>
          <w:p>
            <w:pPr>
              <w:spacing w:after="0"/>
            </w:pPr>
            <w:r/>
            <w:r>
              <w:rPr>
                <w:rFonts w:ascii="Arial" w:hAnsi="Arial" w:eastAsia="Arial"/>
                <w:b w:val="0"/>
                <w:sz w:val="16"/>
              </w:rPr>
              <w:t>1.304</w:t>
            </w:r>
          </w:p>
        </w:tc>
        <w:tc>
          <w:tcPr>
            <w:tcW w:type="dxa" w:w="1694"/>
            <w:vAlign w:val="center"/>
          </w:tcPr>
          <w:p>
            <w:pPr>
              <w:spacing w:after="0"/>
            </w:pPr>
            <w:r/>
            <w:r>
              <w:rPr>
                <w:rFonts w:ascii="Arial" w:hAnsi="Arial" w:eastAsia="Arial"/>
                <w:b w:val="0"/>
                <w:sz w:val="16"/>
              </w:rPr>
              <w:t>+2.285 percentage points</w:t>
            </w:r>
          </w:p>
        </w:tc>
      </w:tr>
      <w:tr>
        <w:trPr>
          <w:cantSplit/>
        </w:trPr>
        <w:tc>
          <w:tcPr>
            <w:tcW w:type="dxa" w:w="1694"/>
            <w:vAlign w:val="center"/>
          </w:tcPr>
          <w:p>
            <w:pPr>
              <w:spacing w:after="0"/>
            </w:pPr>
            <w:r/>
            <w:r>
              <w:rPr>
                <w:rFonts w:ascii="Arial" w:hAnsi="Arial" w:eastAsia="Arial"/>
                <w:b w:val="0"/>
                <w:sz w:val="16"/>
              </w:rPr>
              <w:t>Choledocholithiasis</w:t>
            </w:r>
          </w:p>
        </w:tc>
        <w:tc>
          <w:tcPr>
            <w:tcW w:type="dxa" w:w="1694"/>
            <w:vAlign w:val="center"/>
          </w:tcPr>
          <w:p>
            <w:pPr>
              <w:spacing w:after="0"/>
            </w:pPr>
            <w:r/>
            <w:r>
              <w:rPr>
                <w:rFonts w:ascii="Arial" w:hAnsi="Arial" w:eastAsia="Arial"/>
                <w:b w:val="0"/>
                <w:sz w:val="16"/>
              </w:rPr>
              <w:t>0.5</w:t>
            </w:r>
          </w:p>
        </w:tc>
        <w:tc>
          <w:tcPr>
            <w:tcW w:type="dxa" w:w="1694"/>
            <w:vAlign w:val="center"/>
          </w:tcPr>
          <w:p>
            <w:pPr>
              <w:spacing w:after="0"/>
            </w:pPr>
            <w:r/>
            <w:r>
              <w:rPr>
                <w:rFonts w:ascii="Arial" w:hAnsi="Arial" w:eastAsia="Arial"/>
                <w:b w:val="0"/>
                <w:sz w:val="16"/>
              </w:rPr>
              <w:t>0.05</w:t>
            </w:r>
          </w:p>
        </w:tc>
        <w:tc>
          <w:tcPr>
            <w:tcW w:type="dxa" w:w="1694"/>
            <w:vAlign w:val="center"/>
          </w:tcPr>
          <w:p>
            <w:pPr>
              <w:spacing w:after="0"/>
            </w:pPr>
            <w:r/>
            <w:r>
              <w:rPr>
                <w:rFonts w:ascii="Arial" w:hAnsi="Arial" w:eastAsia="Arial"/>
                <w:b w:val="0"/>
                <w:sz w:val="16"/>
              </w:rPr>
              <w:t>4</w:t>
            </w:r>
          </w:p>
        </w:tc>
        <w:tc>
          <w:tcPr>
            <w:tcW w:type="dxa" w:w="1694"/>
            <w:vAlign w:val="center"/>
          </w:tcPr>
          <w:p>
            <w:pPr>
              <w:spacing w:after="0"/>
            </w:pPr>
            <w:r/>
            <w:r>
              <w:rPr>
                <w:rFonts w:ascii="Arial" w:hAnsi="Arial" w:eastAsia="Arial"/>
                <w:b w:val="0"/>
                <w:sz w:val="16"/>
              </w:rPr>
              <w:t>0.276</w:t>
            </w:r>
          </w:p>
        </w:tc>
        <w:tc>
          <w:tcPr>
            <w:tcW w:type="dxa" w:w="1694"/>
            <w:vAlign w:val="center"/>
          </w:tcPr>
          <w:p>
            <w:pPr>
              <w:spacing w:after="0"/>
            </w:pPr>
            <w:r/>
            <w:r>
              <w:rPr>
                <w:rFonts w:ascii="Arial" w:hAnsi="Arial" w:eastAsia="Arial"/>
                <w:b w:val="0"/>
                <w:sz w:val="16"/>
              </w:rPr>
              <w:t>-5.448 percentage points</w:t>
            </w:r>
          </w:p>
        </w:tc>
      </w:tr>
      <w:tr>
        <w:trPr>
          <w:cantSplit/>
        </w:trPr>
        <w:tc>
          <w:tcPr>
            <w:tcW w:type="dxa" w:w="1694"/>
            <w:vAlign w:val="center"/>
          </w:tcPr>
          <w:p>
            <w:pPr>
              <w:spacing w:after="0"/>
            </w:pPr>
            <w:r/>
            <w:r>
              <w:rPr>
                <w:rFonts w:ascii="Arial" w:hAnsi="Arial" w:eastAsia="Arial"/>
                <w:b w:val="0"/>
                <w:sz w:val="16"/>
              </w:rPr>
              <w:t>Choledocholithiasis</w:t>
            </w:r>
          </w:p>
        </w:tc>
        <w:tc>
          <w:tcPr>
            <w:tcW w:type="dxa" w:w="1694"/>
            <w:vAlign w:val="center"/>
          </w:tcPr>
          <w:p>
            <w:pPr>
              <w:spacing w:after="0"/>
            </w:pPr>
            <w:r/>
            <w:r>
              <w:rPr>
                <w:rFonts w:ascii="Arial" w:hAnsi="Arial" w:eastAsia="Arial"/>
                <w:b w:val="0"/>
                <w:sz w:val="16"/>
              </w:rPr>
              <w:t>0.5</w:t>
            </w:r>
          </w:p>
        </w:tc>
        <w:tc>
          <w:tcPr>
            <w:tcW w:type="dxa" w:w="1694"/>
            <w:vAlign w:val="center"/>
          </w:tcPr>
          <w:p>
            <w:pPr>
              <w:spacing w:after="0"/>
            </w:pPr>
            <w:r/>
            <w:r>
              <w:rPr>
                <w:rFonts w:ascii="Arial" w:hAnsi="Arial" w:eastAsia="Arial"/>
                <w:b w:val="0"/>
                <w:sz w:val="16"/>
              </w:rPr>
              <w:t>0.5</w:t>
            </w:r>
          </w:p>
        </w:tc>
        <w:tc>
          <w:tcPr>
            <w:tcW w:type="dxa" w:w="1694"/>
            <w:vAlign w:val="center"/>
          </w:tcPr>
          <w:p>
            <w:pPr>
              <w:spacing w:after="0"/>
            </w:pPr>
            <w:r/>
            <w:r>
              <w:rPr>
                <w:rFonts w:ascii="Arial" w:hAnsi="Arial" w:eastAsia="Arial"/>
                <w:b w:val="0"/>
                <w:sz w:val="16"/>
              </w:rPr>
              <w:t>4</w:t>
            </w:r>
          </w:p>
        </w:tc>
        <w:tc>
          <w:tcPr>
            <w:tcW w:type="dxa" w:w="1694"/>
            <w:vAlign w:val="center"/>
          </w:tcPr>
          <w:p>
            <w:pPr>
              <w:spacing w:after="0"/>
            </w:pPr>
            <w:r/>
            <w:r>
              <w:rPr>
                <w:rFonts w:ascii="Arial" w:hAnsi="Arial" w:eastAsia="Arial"/>
                <w:b w:val="0"/>
                <w:sz w:val="16"/>
              </w:rPr>
              <w:t>0.600</w:t>
            </w:r>
          </w:p>
        </w:tc>
        <w:tc>
          <w:tcPr>
            <w:tcW w:type="dxa" w:w="1694"/>
            <w:vAlign w:val="center"/>
          </w:tcPr>
          <w:p>
            <w:pPr>
              <w:spacing w:after="0"/>
            </w:pPr>
            <w:r/>
            <w:r>
              <w:rPr>
                <w:rFonts w:ascii="Arial" w:hAnsi="Arial" w:eastAsia="Arial"/>
                <w:b w:val="0"/>
                <w:sz w:val="16"/>
              </w:rPr>
              <w:t>-3.012 percentage points</w:t>
            </w:r>
          </w:p>
        </w:tc>
      </w:tr>
    </w:tbl>
    <w:p/>
    <w:p>
      <w:pPr>
        <w:pStyle w:val="Heading2"/>
      </w:pPr>
      <w:r>
        <w:t>Recurrent events and COVID sensitivity</w:t>
      </w:r>
    </w:p>
    <w:p>
      <w:pPr>
        <w:spacing w:line="259" w:lineRule="auto"/>
      </w:pPr>
      <w:r>
        <w:t>Andersen-Gill and Prentice-Williams-Peterson analyses are reported as time-dependent completion sensitivity analyses with different estimands from the fixed-landmark primary analysis. Era-specific 2018-2019, 2020, and 2021-2022 analyses each used 500 successful bootstrap replicates and are descriptive resilience checks, not pandemic-effect estimates.</w:t>
      </w:r>
    </w:p>
    <w:p>
      <w:pPr>
        <w:spacing w:after="60"/>
      </w:pPr>
      <w:r>
        <w:rPr>
          <w:b/>
        </w:rPr>
        <w:t>Supplementary Table S5 | Recurrent-event sensitivity models</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vAlign w:val="center"/>
            <w:shd w:fill="D9EAF7"/>
          </w:tcPr>
          <w:p>
            <w:pPr>
              <w:spacing w:after="0"/>
            </w:pPr>
            <w:r/>
            <w:r>
              <w:rPr>
                <w:rFonts w:ascii="Arial" w:hAnsi="Arial" w:eastAsia="Arial"/>
                <w:b/>
                <w:sz w:val="16"/>
              </w:rPr>
              <w:t>Cohort</w:t>
            </w:r>
          </w:p>
        </w:tc>
        <w:tc>
          <w:tcPr>
            <w:tcW w:type="dxa" w:w="2541"/>
            <w:vAlign w:val="center"/>
            <w:shd w:fill="D9EAF7"/>
          </w:tcPr>
          <w:p>
            <w:pPr>
              <w:spacing w:after="0"/>
            </w:pPr>
            <w:r/>
            <w:r>
              <w:rPr>
                <w:rFonts w:ascii="Arial" w:hAnsi="Arial" w:eastAsia="Arial"/>
                <w:b/>
                <w:sz w:val="16"/>
              </w:rPr>
              <w:t>Time-dependent sensitivity estimand</w:t>
            </w:r>
          </w:p>
        </w:tc>
        <w:tc>
          <w:tcPr>
            <w:tcW w:type="dxa" w:w="2541"/>
            <w:vAlign w:val="center"/>
            <w:shd w:fill="D9EAF7"/>
          </w:tcPr>
          <w:p>
            <w:pPr>
              <w:spacing w:after="0"/>
            </w:pPr>
            <w:r/>
            <w:r>
              <w:rPr>
                <w:rFonts w:ascii="Arial" w:hAnsi="Arial" w:eastAsia="Arial"/>
                <w:b/>
                <w:sz w:val="16"/>
              </w:rPr>
              <w:t>Completion HR</w:t>
            </w:r>
          </w:p>
        </w:tc>
        <w:tc>
          <w:tcPr>
            <w:tcW w:type="dxa" w:w="2541"/>
            <w:vAlign w:val="center"/>
            <w:shd w:fill="D9EAF7"/>
          </w:tcPr>
          <w:p>
            <w:pPr>
              <w:spacing w:after="0"/>
            </w:pPr>
            <w:r/>
            <w:r>
              <w:rPr>
                <w:rFonts w:ascii="Arial" w:hAnsi="Arial" w:eastAsia="Arial"/>
                <w:b/>
                <w:sz w:val="16"/>
              </w:rPr>
              <w:t>95% interval</w:t>
            </w:r>
          </w:p>
        </w:tc>
      </w:tr>
      <w:tr>
        <w:trPr>
          <w:cantSplit/>
        </w:trPr>
        <w:tc>
          <w:tcPr>
            <w:tcW w:type="dxa" w:w="2541"/>
            <w:vAlign w:val="center"/>
          </w:tcPr>
          <w:p>
            <w:pPr>
              <w:spacing w:after="0"/>
            </w:pPr>
            <w:r/>
            <w:r>
              <w:rPr>
                <w:rFonts w:ascii="Arial" w:hAnsi="Arial" w:eastAsia="Arial"/>
                <w:b w:val="0"/>
                <w:sz w:val="16"/>
              </w:rPr>
              <w:t>Acute cholecystitis</w:t>
            </w:r>
          </w:p>
        </w:tc>
        <w:tc>
          <w:tcPr>
            <w:tcW w:type="dxa" w:w="2541"/>
            <w:vAlign w:val="center"/>
          </w:tcPr>
          <w:p>
            <w:pPr>
              <w:spacing w:after="0"/>
            </w:pPr>
            <w:r/>
            <w:r>
              <w:rPr>
                <w:rFonts w:ascii="Arial" w:hAnsi="Arial" w:eastAsia="Arial"/>
                <w:b w:val="0"/>
                <w:sz w:val="16"/>
              </w:rPr>
              <w:t>first_recurrence_time_dependent_completion</w:t>
            </w:r>
          </w:p>
        </w:tc>
        <w:tc>
          <w:tcPr>
            <w:tcW w:type="dxa" w:w="2541"/>
            <w:vAlign w:val="center"/>
          </w:tcPr>
          <w:p>
            <w:pPr>
              <w:spacing w:after="0"/>
            </w:pPr>
            <w:r/>
            <w:r>
              <w:rPr>
                <w:rFonts w:ascii="Arial" w:hAnsi="Arial" w:eastAsia="Arial"/>
                <w:b w:val="0"/>
                <w:sz w:val="16"/>
              </w:rPr>
              <w:t>0.084</w:t>
            </w:r>
          </w:p>
        </w:tc>
        <w:tc>
          <w:tcPr>
            <w:tcW w:type="dxa" w:w="2541"/>
            <w:vAlign w:val="center"/>
          </w:tcPr>
          <w:p>
            <w:pPr>
              <w:spacing w:after="0"/>
            </w:pPr>
            <w:r/>
            <w:r>
              <w:rPr>
                <w:rFonts w:ascii="Arial" w:hAnsi="Arial" w:eastAsia="Arial"/>
                <w:b w:val="0"/>
                <w:sz w:val="16"/>
              </w:rPr>
              <w:t>0.080 to 0.088</w:t>
            </w:r>
          </w:p>
        </w:tc>
      </w:tr>
      <w:tr>
        <w:trPr>
          <w:cantSplit/>
        </w:trPr>
        <w:tc>
          <w:tcPr>
            <w:tcW w:type="dxa" w:w="2541"/>
            <w:vAlign w:val="center"/>
          </w:tcPr>
          <w:p>
            <w:pPr>
              <w:spacing w:after="0"/>
            </w:pPr>
            <w:r/>
            <w:r>
              <w:rPr>
                <w:rFonts w:ascii="Arial" w:hAnsi="Arial" w:eastAsia="Arial"/>
                <w:b w:val="0"/>
                <w:sz w:val="16"/>
              </w:rPr>
              <w:t>Acute cholecystitis</w:t>
            </w:r>
          </w:p>
        </w:tc>
        <w:tc>
          <w:tcPr>
            <w:tcW w:type="dxa" w:w="2541"/>
            <w:vAlign w:val="center"/>
          </w:tcPr>
          <w:p>
            <w:pPr>
              <w:spacing w:after="0"/>
            </w:pPr>
            <w:r/>
            <w:r>
              <w:rPr>
                <w:rFonts w:ascii="Arial" w:hAnsi="Arial" w:eastAsia="Arial"/>
                <w:b w:val="0"/>
                <w:sz w:val="16"/>
              </w:rPr>
              <w:t>andersen_gill_recurrent</w:t>
            </w:r>
          </w:p>
        </w:tc>
        <w:tc>
          <w:tcPr>
            <w:tcW w:type="dxa" w:w="2541"/>
            <w:vAlign w:val="center"/>
          </w:tcPr>
          <w:p>
            <w:pPr>
              <w:spacing w:after="0"/>
            </w:pPr>
            <w:r/>
            <w:r>
              <w:rPr>
                <w:rFonts w:ascii="Arial" w:hAnsi="Arial" w:eastAsia="Arial"/>
                <w:b w:val="0"/>
                <w:sz w:val="16"/>
              </w:rPr>
              <w:t>0.085</w:t>
            </w:r>
          </w:p>
        </w:tc>
        <w:tc>
          <w:tcPr>
            <w:tcW w:type="dxa" w:w="2541"/>
            <w:vAlign w:val="center"/>
          </w:tcPr>
          <w:p>
            <w:pPr>
              <w:spacing w:after="0"/>
            </w:pPr>
            <w:r/>
            <w:r>
              <w:rPr>
                <w:rFonts w:ascii="Arial" w:hAnsi="Arial" w:eastAsia="Arial"/>
                <w:b w:val="0"/>
                <w:sz w:val="16"/>
              </w:rPr>
              <w:t>0.082 to 0.089</w:t>
            </w:r>
          </w:p>
        </w:tc>
      </w:tr>
      <w:tr>
        <w:trPr>
          <w:cantSplit/>
        </w:trPr>
        <w:tc>
          <w:tcPr>
            <w:tcW w:type="dxa" w:w="2541"/>
            <w:vAlign w:val="center"/>
          </w:tcPr>
          <w:p>
            <w:pPr>
              <w:spacing w:after="0"/>
            </w:pPr>
            <w:r/>
            <w:r>
              <w:rPr>
                <w:rFonts w:ascii="Arial" w:hAnsi="Arial" w:eastAsia="Arial"/>
                <w:b w:val="0"/>
                <w:sz w:val="16"/>
              </w:rPr>
              <w:t>Acute cholecystitis</w:t>
            </w:r>
          </w:p>
        </w:tc>
        <w:tc>
          <w:tcPr>
            <w:tcW w:type="dxa" w:w="2541"/>
            <w:vAlign w:val="center"/>
          </w:tcPr>
          <w:p>
            <w:pPr>
              <w:spacing w:after="0"/>
            </w:pPr>
            <w:r/>
            <w:r>
              <w:rPr>
                <w:rFonts w:ascii="Arial" w:hAnsi="Arial" w:eastAsia="Arial"/>
                <w:b w:val="0"/>
                <w:sz w:val="16"/>
              </w:rPr>
              <w:t>pwp_total_time_first_three_events</w:t>
            </w:r>
          </w:p>
        </w:tc>
        <w:tc>
          <w:tcPr>
            <w:tcW w:type="dxa" w:w="2541"/>
            <w:vAlign w:val="center"/>
          </w:tcPr>
          <w:p>
            <w:pPr>
              <w:spacing w:after="0"/>
            </w:pPr>
            <w:r/>
            <w:r>
              <w:rPr>
                <w:rFonts w:ascii="Arial" w:hAnsi="Arial" w:eastAsia="Arial"/>
                <w:b w:val="0"/>
                <w:sz w:val="16"/>
              </w:rPr>
              <w:t>0.089</w:t>
            </w:r>
          </w:p>
        </w:tc>
        <w:tc>
          <w:tcPr>
            <w:tcW w:type="dxa" w:w="2541"/>
            <w:vAlign w:val="center"/>
          </w:tcPr>
          <w:p>
            <w:pPr>
              <w:spacing w:after="0"/>
            </w:pPr>
            <w:r/>
            <w:r>
              <w:rPr>
                <w:rFonts w:ascii="Arial" w:hAnsi="Arial" w:eastAsia="Arial"/>
                <w:b w:val="0"/>
                <w:sz w:val="16"/>
              </w:rPr>
              <w:t>0.085 to 0.093</w:t>
            </w:r>
          </w:p>
        </w:tc>
      </w:tr>
      <w:tr>
        <w:trPr>
          <w:cantSplit/>
        </w:trPr>
        <w:tc>
          <w:tcPr>
            <w:tcW w:type="dxa" w:w="2541"/>
            <w:vAlign w:val="center"/>
          </w:tcPr>
          <w:p>
            <w:pPr>
              <w:spacing w:after="0"/>
            </w:pPr>
            <w:r/>
            <w:r>
              <w:rPr>
                <w:rFonts w:ascii="Arial" w:hAnsi="Arial" w:eastAsia="Arial"/>
                <w:b w:val="0"/>
                <w:sz w:val="16"/>
              </w:rPr>
              <w:t>Choledocholithiasis</w:t>
            </w:r>
          </w:p>
        </w:tc>
        <w:tc>
          <w:tcPr>
            <w:tcW w:type="dxa" w:w="2541"/>
            <w:vAlign w:val="center"/>
          </w:tcPr>
          <w:p>
            <w:pPr>
              <w:spacing w:after="0"/>
            </w:pPr>
            <w:r/>
            <w:r>
              <w:rPr>
                <w:rFonts w:ascii="Arial" w:hAnsi="Arial" w:eastAsia="Arial"/>
                <w:b w:val="0"/>
                <w:sz w:val="16"/>
              </w:rPr>
              <w:t>first_recurrence_time_dependent_completion</w:t>
            </w:r>
          </w:p>
        </w:tc>
        <w:tc>
          <w:tcPr>
            <w:tcW w:type="dxa" w:w="2541"/>
            <w:vAlign w:val="center"/>
          </w:tcPr>
          <w:p>
            <w:pPr>
              <w:spacing w:after="0"/>
            </w:pPr>
            <w:r/>
            <w:r>
              <w:rPr>
                <w:rFonts w:ascii="Arial" w:hAnsi="Arial" w:eastAsia="Arial"/>
                <w:b w:val="0"/>
                <w:sz w:val="16"/>
              </w:rPr>
              <w:t>0.524</w:t>
            </w:r>
          </w:p>
        </w:tc>
        <w:tc>
          <w:tcPr>
            <w:tcW w:type="dxa" w:w="2541"/>
            <w:vAlign w:val="center"/>
          </w:tcPr>
          <w:p>
            <w:pPr>
              <w:spacing w:after="0"/>
            </w:pPr>
            <w:r/>
            <w:r>
              <w:rPr>
                <w:rFonts w:ascii="Arial" w:hAnsi="Arial" w:eastAsia="Arial"/>
                <w:b w:val="0"/>
                <w:sz w:val="16"/>
              </w:rPr>
              <w:t>0.501 to 0.549</w:t>
            </w:r>
          </w:p>
        </w:tc>
      </w:tr>
      <w:tr>
        <w:trPr>
          <w:cantSplit/>
        </w:trPr>
        <w:tc>
          <w:tcPr>
            <w:tcW w:type="dxa" w:w="2541"/>
            <w:vAlign w:val="center"/>
          </w:tcPr>
          <w:p>
            <w:pPr>
              <w:spacing w:after="0"/>
            </w:pPr>
            <w:r/>
            <w:r>
              <w:rPr>
                <w:rFonts w:ascii="Arial" w:hAnsi="Arial" w:eastAsia="Arial"/>
                <w:b w:val="0"/>
                <w:sz w:val="16"/>
              </w:rPr>
              <w:t>Choledocholithiasis</w:t>
            </w:r>
          </w:p>
        </w:tc>
        <w:tc>
          <w:tcPr>
            <w:tcW w:type="dxa" w:w="2541"/>
            <w:vAlign w:val="center"/>
          </w:tcPr>
          <w:p>
            <w:pPr>
              <w:spacing w:after="0"/>
            </w:pPr>
            <w:r/>
            <w:r>
              <w:rPr>
                <w:rFonts w:ascii="Arial" w:hAnsi="Arial" w:eastAsia="Arial"/>
                <w:b w:val="0"/>
                <w:sz w:val="16"/>
              </w:rPr>
              <w:t>andersen_gill_recurrent</w:t>
            </w:r>
          </w:p>
        </w:tc>
        <w:tc>
          <w:tcPr>
            <w:tcW w:type="dxa" w:w="2541"/>
            <w:vAlign w:val="center"/>
          </w:tcPr>
          <w:p>
            <w:pPr>
              <w:spacing w:after="0"/>
            </w:pPr>
            <w:r/>
            <w:r>
              <w:rPr>
                <w:rFonts w:ascii="Arial" w:hAnsi="Arial" w:eastAsia="Arial"/>
                <w:b w:val="0"/>
                <w:sz w:val="16"/>
              </w:rPr>
              <w:t>0.529</w:t>
            </w:r>
          </w:p>
        </w:tc>
        <w:tc>
          <w:tcPr>
            <w:tcW w:type="dxa" w:w="2541"/>
            <w:vAlign w:val="center"/>
          </w:tcPr>
          <w:p>
            <w:pPr>
              <w:spacing w:after="0"/>
            </w:pPr>
            <w:r/>
            <w:r>
              <w:rPr>
                <w:rFonts w:ascii="Arial" w:hAnsi="Arial" w:eastAsia="Arial"/>
                <w:b w:val="0"/>
                <w:sz w:val="16"/>
              </w:rPr>
              <w:t>0.505 to 0.554</w:t>
            </w:r>
          </w:p>
        </w:tc>
      </w:tr>
      <w:tr>
        <w:trPr>
          <w:cantSplit/>
        </w:trPr>
        <w:tc>
          <w:tcPr>
            <w:tcW w:type="dxa" w:w="2541"/>
            <w:vAlign w:val="center"/>
          </w:tcPr>
          <w:p>
            <w:pPr>
              <w:spacing w:after="0"/>
            </w:pPr>
            <w:r/>
            <w:r>
              <w:rPr>
                <w:rFonts w:ascii="Arial" w:hAnsi="Arial" w:eastAsia="Arial"/>
                <w:b w:val="0"/>
                <w:sz w:val="16"/>
              </w:rPr>
              <w:t>Choledocholithiasis</w:t>
            </w:r>
          </w:p>
        </w:tc>
        <w:tc>
          <w:tcPr>
            <w:tcW w:type="dxa" w:w="2541"/>
            <w:vAlign w:val="center"/>
          </w:tcPr>
          <w:p>
            <w:pPr>
              <w:spacing w:after="0"/>
            </w:pPr>
            <w:r/>
            <w:r>
              <w:rPr>
                <w:rFonts w:ascii="Arial" w:hAnsi="Arial" w:eastAsia="Arial"/>
                <w:b w:val="0"/>
                <w:sz w:val="16"/>
              </w:rPr>
              <w:t>pwp_total_time_first_three_events</w:t>
            </w:r>
          </w:p>
        </w:tc>
        <w:tc>
          <w:tcPr>
            <w:tcW w:type="dxa" w:w="2541"/>
            <w:vAlign w:val="center"/>
          </w:tcPr>
          <w:p>
            <w:pPr>
              <w:spacing w:after="0"/>
            </w:pPr>
            <w:r/>
            <w:r>
              <w:rPr>
                <w:rFonts w:ascii="Arial" w:hAnsi="Arial" w:eastAsia="Arial"/>
                <w:b w:val="0"/>
                <w:sz w:val="16"/>
              </w:rPr>
              <w:t>0.533</w:t>
            </w:r>
          </w:p>
        </w:tc>
        <w:tc>
          <w:tcPr>
            <w:tcW w:type="dxa" w:w="2541"/>
            <w:vAlign w:val="center"/>
          </w:tcPr>
          <w:p>
            <w:pPr>
              <w:spacing w:after="0"/>
            </w:pPr>
            <w:r/>
            <w:r>
              <w:rPr>
                <w:rFonts w:ascii="Arial" w:hAnsi="Arial" w:eastAsia="Arial"/>
                <w:b w:val="0"/>
                <w:sz w:val="16"/>
              </w:rPr>
              <w:t>0.511 to 0.557</w:t>
            </w:r>
          </w:p>
        </w:tc>
      </w:tr>
    </w:tbl>
    <w:p/>
    <w:p>
      <w:pPr>
        <w:spacing w:after="60"/>
      </w:pPr>
      <w:r>
        <w:rPr>
          <w:b/>
        </w:rPr>
        <w:t>Supplementary Table S6 | Acute-cholecystitis COVID-era descriptive sensitivity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cantSplit/>
        </w:trPr>
        <w:tc>
          <w:tcPr>
            <w:tcW w:type="dxa" w:w="1694"/>
            <w:vAlign w:val="center"/>
            <w:shd w:fill="D9EAF7"/>
          </w:tcPr>
          <w:p>
            <w:pPr>
              <w:spacing w:after="0"/>
            </w:pPr>
            <w:r/>
            <w:r>
              <w:rPr>
                <w:rFonts w:ascii="Arial" w:hAnsi="Arial" w:eastAsia="Arial"/>
                <w:b/>
                <w:sz w:val="16"/>
              </w:rPr>
              <w:t>Era</w:t>
            </w:r>
          </w:p>
        </w:tc>
        <w:tc>
          <w:tcPr>
            <w:tcW w:type="dxa" w:w="1694"/>
            <w:vAlign w:val="center"/>
            <w:shd w:fill="D9EAF7"/>
          </w:tcPr>
          <w:p>
            <w:pPr>
              <w:spacing w:after="0"/>
            </w:pPr>
            <w:r/>
            <w:r>
              <w:rPr>
                <w:rFonts w:ascii="Arial" w:hAnsi="Arial" w:eastAsia="Arial"/>
                <w:b/>
                <w:sz w:val="16"/>
              </w:rPr>
              <w:t>N</w:t>
            </w:r>
          </w:p>
        </w:tc>
        <w:tc>
          <w:tcPr>
            <w:tcW w:type="dxa" w:w="1694"/>
            <w:vAlign w:val="center"/>
            <w:shd w:fill="D9EAF7"/>
          </w:tcPr>
          <w:p>
            <w:pPr>
              <w:spacing w:after="0"/>
            </w:pPr>
            <w:r/>
            <w:r>
              <w:rPr>
                <w:rFonts w:ascii="Arial" w:hAnsi="Arial" w:eastAsia="Arial"/>
                <w:b/>
                <w:sz w:val="16"/>
              </w:rPr>
              <w:t>Weighted completion</w:t>
            </w:r>
          </w:p>
        </w:tc>
        <w:tc>
          <w:tcPr>
            <w:tcW w:type="dxa" w:w="1694"/>
            <w:vAlign w:val="center"/>
            <w:shd w:fill="D9EAF7"/>
          </w:tcPr>
          <w:p>
            <w:pPr>
              <w:spacing w:after="0"/>
            </w:pPr>
            <w:r/>
            <w:r>
              <w:rPr>
                <w:rFonts w:ascii="Arial" w:hAnsi="Arial" w:eastAsia="Arial"/>
                <w:b/>
                <w:sz w:val="16"/>
              </w:rPr>
              <w:t>90-day risk difference</w:t>
            </w:r>
          </w:p>
        </w:tc>
        <w:tc>
          <w:tcPr>
            <w:tcW w:type="dxa" w:w="1694"/>
            <w:vAlign w:val="center"/>
            <w:shd w:fill="D9EAF7"/>
          </w:tcPr>
          <w:p>
            <w:pPr>
              <w:spacing w:after="0"/>
            </w:pPr>
            <w:r/>
            <w:r>
              <w:rPr>
                <w:rFonts w:ascii="Arial" w:hAnsi="Arial" w:eastAsia="Arial"/>
                <w:b/>
                <w:sz w:val="16"/>
              </w:rPr>
              <w:t>95% interval</w:t>
            </w:r>
          </w:p>
        </w:tc>
        <w:tc>
          <w:tcPr>
            <w:tcW w:type="dxa" w:w="1694"/>
            <w:vAlign w:val="center"/>
            <w:shd w:fill="D9EAF7"/>
          </w:tcPr>
          <w:p>
            <w:pPr>
              <w:spacing w:after="0"/>
            </w:pPr>
            <w:r/>
            <w:r>
              <w:rPr>
                <w:rFonts w:ascii="Arial" w:hAnsi="Arial" w:eastAsia="Arial"/>
                <w:b/>
                <w:sz w:val="16"/>
              </w:rPr>
              <w:t>Bootstrap success</w:t>
            </w:r>
          </w:p>
        </w:tc>
      </w:tr>
      <w:tr>
        <w:trPr>
          <w:cantSplit/>
        </w:trPr>
        <w:tc>
          <w:tcPr>
            <w:tcW w:type="dxa" w:w="1694"/>
            <w:vAlign w:val="center"/>
          </w:tcPr>
          <w:p>
            <w:pPr>
              <w:spacing w:after="0"/>
            </w:pPr>
            <w:r/>
            <w:r>
              <w:rPr>
                <w:rFonts w:ascii="Arial" w:hAnsi="Arial" w:eastAsia="Arial"/>
                <w:b w:val="0"/>
                <w:sz w:val="16"/>
              </w:rPr>
              <w:t>2018-2019_pre</w:t>
            </w:r>
          </w:p>
        </w:tc>
        <w:tc>
          <w:tcPr>
            <w:tcW w:type="dxa" w:w="1694"/>
            <w:vAlign w:val="center"/>
          </w:tcPr>
          <w:p>
            <w:pPr>
              <w:spacing w:after="0"/>
            </w:pPr>
            <w:r/>
            <w:r>
              <w:rPr>
                <w:rFonts w:ascii="Arial" w:hAnsi="Arial" w:eastAsia="Arial"/>
                <w:b w:val="0"/>
                <w:sz w:val="16"/>
              </w:rPr>
              <w:t>101,936</w:t>
            </w:r>
          </w:p>
        </w:tc>
        <w:tc>
          <w:tcPr>
            <w:tcW w:type="dxa" w:w="1694"/>
            <w:vAlign w:val="center"/>
          </w:tcPr>
          <w:p>
            <w:pPr>
              <w:spacing w:after="0"/>
            </w:pPr>
            <w:r/>
            <w:r>
              <w:rPr>
                <w:rFonts w:ascii="Arial" w:hAnsi="Arial" w:eastAsia="Arial"/>
                <w:b w:val="0"/>
                <w:sz w:val="16"/>
              </w:rPr>
              <w:t>76.678%</w:t>
            </w:r>
          </w:p>
        </w:tc>
        <w:tc>
          <w:tcPr>
            <w:tcW w:type="dxa" w:w="1694"/>
            <w:vAlign w:val="center"/>
          </w:tcPr>
          <w:p>
            <w:pPr>
              <w:spacing w:after="0"/>
            </w:pPr>
            <w:r/>
            <w:r>
              <w:rPr>
                <w:rFonts w:ascii="Arial" w:hAnsi="Arial" w:eastAsia="Arial"/>
                <w:b w:val="0"/>
                <w:sz w:val="16"/>
              </w:rPr>
              <w:t>-11.333 percentage points</w:t>
            </w:r>
          </w:p>
        </w:tc>
        <w:tc>
          <w:tcPr>
            <w:tcW w:type="dxa" w:w="1694"/>
            <w:vAlign w:val="center"/>
          </w:tcPr>
          <w:p>
            <w:pPr>
              <w:spacing w:after="0"/>
            </w:pPr>
            <w:r/>
            <w:r>
              <w:rPr>
                <w:rFonts w:ascii="Arial" w:hAnsi="Arial" w:eastAsia="Arial"/>
                <w:b w:val="0"/>
                <w:sz w:val="16"/>
              </w:rPr>
              <w:t>-11.818 percentage points to -10.823 percentage points</w:t>
            </w:r>
          </w:p>
        </w:tc>
        <w:tc>
          <w:tcPr>
            <w:tcW w:type="dxa" w:w="1694"/>
            <w:vAlign w:val="center"/>
          </w:tcPr>
          <w:p>
            <w:pPr>
              <w:spacing w:after="0"/>
            </w:pPr>
            <w:r/>
            <w:r>
              <w:rPr>
                <w:rFonts w:ascii="Arial" w:hAnsi="Arial" w:eastAsia="Arial"/>
                <w:b w:val="0"/>
                <w:sz w:val="16"/>
              </w:rPr>
              <w:t>500</w:t>
            </w:r>
          </w:p>
        </w:tc>
      </w:tr>
      <w:tr>
        <w:trPr>
          <w:cantSplit/>
        </w:trPr>
        <w:tc>
          <w:tcPr>
            <w:tcW w:type="dxa" w:w="1694"/>
            <w:vAlign w:val="center"/>
          </w:tcPr>
          <w:p>
            <w:pPr>
              <w:spacing w:after="0"/>
            </w:pPr>
            <w:r/>
            <w:r>
              <w:rPr>
                <w:rFonts w:ascii="Arial" w:hAnsi="Arial" w:eastAsia="Arial"/>
                <w:b w:val="0"/>
                <w:sz w:val="16"/>
              </w:rPr>
              <w:t>2020_acute</w:t>
            </w:r>
          </w:p>
        </w:tc>
        <w:tc>
          <w:tcPr>
            <w:tcW w:type="dxa" w:w="1694"/>
            <w:vAlign w:val="center"/>
          </w:tcPr>
          <w:p>
            <w:pPr>
              <w:spacing w:after="0"/>
            </w:pPr>
            <w:r/>
            <w:r>
              <w:rPr>
                <w:rFonts w:ascii="Arial" w:hAnsi="Arial" w:eastAsia="Arial"/>
                <w:b w:val="0"/>
                <w:sz w:val="16"/>
              </w:rPr>
              <w:t>42,569</w:t>
            </w:r>
          </w:p>
        </w:tc>
        <w:tc>
          <w:tcPr>
            <w:tcW w:type="dxa" w:w="1694"/>
            <w:vAlign w:val="center"/>
          </w:tcPr>
          <w:p>
            <w:pPr>
              <w:spacing w:after="0"/>
            </w:pPr>
            <w:r/>
            <w:r>
              <w:rPr>
                <w:rFonts w:ascii="Arial" w:hAnsi="Arial" w:eastAsia="Arial"/>
                <w:b w:val="0"/>
                <w:sz w:val="16"/>
              </w:rPr>
              <w:t>75.739%</w:t>
            </w:r>
          </w:p>
        </w:tc>
        <w:tc>
          <w:tcPr>
            <w:tcW w:type="dxa" w:w="1694"/>
            <w:vAlign w:val="center"/>
          </w:tcPr>
          <w:p>
            <w:pPr>
              <w:spacing w:after="0"/>
            </w:pPr>
            <w:r/>
            <w:r>
              <w:rPr>
                <w:rFonts w:ascii="Arial" w:hAnsi="Arial" w:eastAsia="Arial"/>
                <w:b w:val="0"/>
                <w:sz w:val="16"/>
              </w:rPr>
              <w:t>-11.866 percentage points</w:t>
            </w:r>
          </w:p>
        </w:tc>
        <w:tc>
          <w:tcPr>
            <w:tcW w:type="dxa" w:w="1694"/>
            <w:vAlign w:val="center"/>
          </w:tcPr>
          <w:p>
            <w:pPr>
              <w:spacing w:after="0"/>
            </w:pPr>
            <w:r/>
            <w:r>
              <w:rPr>
                <w:rFonts w:ascii="Arial" w:hAnsi="Arial" w:eastAsia="Arial"/>
                <w:b w:val="0"/>
                <w:sz w:val="16"/>
              </w:rPr>
              <w:t>-12.629 percentage points to -11.096 percentage points</w:t>
            </w:r>
          </w:p>
        </w:tc>
        <w:tc>
          <w:tcPr>
            <w:tcW w:type="dxa" w:w="1694"/>
            <w:vAlign w:val="center"/>
          </w:tcPr>
          <w:p>
            <w:pPr>
              <w:spacing w:after="0"/>
            </w:pPr>
            <w:r/>
            <w:r>
              <w:rPr>
                <w:rFonts w:ascii="Arial" w:hAnsi="Arial" w:eastAsia="Arial"/>
                <w:b w:val="0"/>
                <w:sz w:val="16"/>
              </w:rPr>
              <w:t>500</w:t>
            </w:r>
          </w:p>
        </w:tc>
      </w:tr>
      <w:tr>
        <w:trPr>
          <w:cantSplit/>
        </w:trPr>
        <w:tc>
          <w:tcPr>
            <w:tcW w:type="dxa" w:w="1694"/>
            <w:vAlign w:val="center"/>
          </w:tcPr>
          <w:p>
            <w:pPr>
              <w:spacing w:after="0"/>
            </w:pPr>
            <w:r/>
            <w:r>
              <w:rPr>
                <w:rFonts w:ascii="Arial" w:hAnsi="Arial" w:eastAsia="Arial"/>
                <w:b w:val="0"/>
                <w:sz w:val="16"/>
              </w:rPr>
              <w:t>2021-2022_recovery</w:t>
            </w:r>
          </w:p>
        </w:tc>
        <w:tc>
          <w:tcPr>
            <w:tcW w:type="dxa" w:w="1694"/>
            <w:vAlign w:val="center"/>
          </w:tcPr>
          <w:p>
            <w:pPr>
              <w:spacing w:after="0"/>
            </w:pPr>
            <w:r/>
            <w:r>
              <w:rPr>
                <w:rFonts w:ascii="Arial" w:hAnsi="Arial" w:eastAsia="Arial"/>
                <w:b w:val="0"/>
                <w:sz w:val="16"/>
              </w:rPr>
              <w:t>89,259</w:t>
            </w:r>
          </w:p>
        </w:tc>
        <w:tc>
          <w:tcPr>
            <w:tcW w:type="dxa" w:w="1694"/>
            <w:vAlign w:val="center"/>
          </w:tcPr>
          <w:p>
            <w:pPr>
              <w:spacing w:after="0"/>
            </w:pPr>
            <w:r/>
            <w:r>
              <w:rPr>
                <w:rFonts w:ascii="Arial" w:hAnsi="Arial" w:eastAsia="Arial"/>
                <w:b w:val="0"/>
                <w:sz w:val="16"/>
              </w:rPr>
              <w:t>73.378%</w:t>
            </w:r>
          </w:p>
        </w:tc>
        <w:tc>
          <w:tcPr>
            <w:tcW w:type="dxa" w:w="1694"/>
            <w:vAlign w:val="center"/>
          </w:tcPr>
          <w:p>
            <w:pPr>
              <w:spacing w:after="0"/>
            </w:pPr>
            <w:r/>
            <w:r>
              <w:rPr>
                <w:rFonts w:ascii="Arial" w:hAnsi="Arial" w:eastAsia="Arial"/>
                <w:b w:val="0"/>
                <w:sz w:val="16"/>
              </w:rPr>
              <w:t>-11.414 percentage points</w:t>
            </w:r>
          </w:p>
        </w:tc>
        <w:tc>
          <w:tcPr>
            <w:tcW w:type="dxa" w:w="1694"/>
            <w:vAlign w:val="center"/>
          </w:tcPr>
          <w:p>
            <w:pPr>
              <w:spacing w:after="0"/>
            </w:pPr>
            <w:r/>
            <w:r>
              <w:rPr>
                <w:rFonts w:ascii="Arial" w:hAnsi="Arial" w:eastAsia="Arial"/>
                <w:b w:val="0"/>
                <w:sz w:val="16"/>
              </w:rPr>
              <w:t>-11.853 percentage points to -10.941 percentage points</w:t>
            </w:r>
          </w:p>
        </w:tc>
        <w:tc>
          <w:tcPr>
            <w:tcW w:type="dxa" w:w="1694"/>
            <w:vAlign w:val="center"/>
          </w:tcPr>
          <w:p>
            <w:pPr>
              <w:spacing w:after="0"/>
            </w:pPr>
            <w:r/>
            <w:r>
              <w:rPr>
                <w:rFonts w:ascii="Arial" w:hAnsi="Arial" w:eastAsia="Arial"/>
                <w:b w:val="0"/>
                <w:sz w:val="16"/>
              </w:rPr>
              <w:t>500</w:t>
            </w:r>
          </w:p>
        </w:tc>
      </w:tr>
    </w:tbl>
    <w:p/>
    <w:p>
      <w:pPr>
        <w:pStyle w:val="Heading2"/>
      </w:pPr>
      <w:r>
        <w:t>Cross-system gate and interpretation</w:t>
      </w:r>
    </w:p>
    <w:p>
      <w:pPr>
        <w:spacing w:line="259" w:lineRule="auto"/>
      </w:pPr>
      <w:r>
        <w:t>The cross-system gate was REVIEW_BOUNDED_OVERLAP. Results are restricted to a measured-covariate overlap population and are interpreted as bounded standardized component estimates. The 2021-2022 measurement-range sensitivity completed 500 of 500 sequential bootstrap replicates, with maximum postweight absolute standardized mean difference approximately 0.0118. Neither result provides an unrestricted health-system contrast or a single attribution percentage.</w:t>
      </w:r>
    </w:p>
    <w:p>
      <w:pPr>
        <w:spacing w:after="60"/>
      </w:pPr>
      <w:r>
        <w:rPr>
          <w:b/>
        </w:rPr>
        <w:t>Supplementary Table S7 | Cross-system measurement-range gate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rPr>
        <w:tc>
          <w:tcPr>
            <w:tcW w:type="dxa" w:w="2033"/>
            <w:vAlign w:val="center"/>
            <w:shd w:fill="D9EAF7"/>
          </w:tcPr>
          <w:p>
            <w:pPr>
              <w:spacing w:after="0"/>
            </w:pPr>
            <w:r/>
            <w:r>
              <w:rPr>
                <w:rFonts w:ascii="Arial" w:hAnsi="Arial" w:eastAsia="Arial"/>
                <w:b/>
                <w:sz w:val="16"/>
              </w:rPr>
              <w:t>Gate status</w:t>
            </w:r>
          </w:p>
        </w:tc>
        <w:tc>
          <w:tcPr>
            <w:tcW w:type="dxa" w:w="2033"/>
            <w:vAlign w:val="center"/>
            <w:shd w:fill="D9EAF7"/>
          </w:tcPr>
          <w:p>
            <w:pPr>
              <w:spacing w:after="0"/>
            </w:pPr>
            <w:r/>
            <w:r>
              <w:rPr>
                <w:rFonts w:ascii="Arial" w:hAnsi="Arial" w:eastAsia="Arial"/>
                <w:b/>
                <w:sz w:val="16"/>
              </w:rPr>
              <w:t>Period</w:t>
            </w:r>
          </w:p>
        </w:tc>
        <w:tc>
          <w:tcPr>
            <w:tcW w:type="dxa" w:w="2033"/>
            <w:vAlign w:val="center"/>
            <w:shd w:fill="D9EAF7"/>
          </w:tcPr>
          <w:p>
            <w:pPr>
              <w:spacing w:after="0"/>
            </w:pPr>
            <w:r/>
            <w:r>
              <w:rPr>
                <w:rFonts w:ascii="Arial" w:hAnsi="Arial" w:eastAsia="Arial"/>
                <w:b/>
                <w:sz w:val="16"/>
              </w:rPr>
              <w:t>Bootstrap</w:t>
            </w:r>
          </w:p>
        </w:tc>
        <w:tc>
          <w:tcPr>
            <w:tcW w:type="dxa" w:w="2033"/>
            <w:vAlign w:val="center"/>
            <w:shd w:fill="D9EAF7"/>
          </w:tcPr>
          <w:p>
            <w:pPr>
              <w:spacing w:after="0"/>
            </w:pPr>
            <w:r/>
            <w:r>
              <w:rPr>
                <w:rFonts w:ascii="Arial" w:hAnsi="Arial" w:eastAsia="Arial"/>
                <w:b/>
                <w:sz w:val="16"/>
              </w:rPr>
              <w:t>Maximum postweight SMD</w:t>
            </w:r>
          </w:p>
        </w:tc>
        <w:tc>
          <w:tcPr>
            <w:tcW w:type="dxa" w:w="2033"/>
            <w:vAlign w:val="center"/>
            <w:shd w:fill="D9EAF7"/>
          </w:tcPr>
          <w:p>
            <w:pPr>
              <w:spacing w:after="0"/>
            </w:pPr>
            <w:r/>
            <w:r>
              <w:rPr>
                <w:rFonts w:ascii="Arial" w:hAnsi="Arial" w:eastAsia="Arial"/>
                <w:b/>
                <w:sz w:val="16"/>
              </w:rPr>
              <w:t>Interpretation</w:t>
            </w:r>
          </w:p>
        </w:tc>
      </w:tr>
      <w:tr>
        <w:trPr>
          <w:cantSplit/>
        </w:trPr>
        <w:tc>
          <w:tcPr>
            <w:tcW w:type="dxa" w:w="2033"/>
            <w:vAlign w:val="center"/>
          </w:tcPr>
          <w:p>
            <w:pPr>
              <w:spacing w:after="0"/>
            </w:pPr>
            <w:r/>
            <w:r>
              <w:rPr>
                <w:rFonts w:ascii="Arial" w:hAnsi="Arial" w:eastAsia="Arial"/>
                <w:b w:val="0"/>
                <w:sz w:val="16"/>
              </w:rPr>
              <w:t>PASS</w:t>
            </w:r>
          </w:p>
        </w:tc>
        <w:tc>
          <w:tcPr>
            <w:tcW w:type="dxa" w:w="2033"/>
            <w:vAlign w:val="center"/>
          </w:tcPr>
          <w:p>
            <w:pPr>
              <w:spacing w:after="0"/>
            </w:pPr>
            <w:r/>
            <w:r>
              <w:rPr>
                <w:rFonts w:ascii="Arial" w:hAnsi="Arial" w:eastAsia="Arial"/>
                <w:b w:val="0"/>
                <w:sz w:val="16"/>
              </w:rPr>
              <w:t>2021-2022 in both systems</w:t>
            </w:r>
          </w:p>
        </w:tc>
        <w:tc>
          <w:tcPr>
            <w:tcW w:type="dxa" w:w="2033"/>
            <w:vAlign w:val="center"/>
          </w:tcPr>
          <w:p>
            <w:pPr>
              <w:spacing w:after="0"/>
            </w:pPr>
            <w:r/>
            <w:r>
              <w:rPr>
                <w:rFonts w:ascii="Arial" w:hAnsi="Arial" w:eastAsia="Arial"/>
                <w:b w:val="0"/>
                <w:sz w:val="16"/>
              </w:rPr>
              <w:t>500/500</w:t>
            </w:r>
          </w:p>
        </w:tc>
        <w:tc>
          <w:tcPr>
            <w:tcW w:type="dxa" w:w="2033"/>
            <w:vAlign w:val="center"/>
          </w:tcPr>
          <w:p>
            <w:pPr>
              <w:spacing w:after="0"/>
            </w:pPr>
            <w:r/>
            <w:r>
              <w:rPr>
                <w:rFonts w:ascii="Arial" w:hAnsi="Arial" w:eastAsia="Arial"/>
                <w:b w:val="0"/>
                <w:sz w:val="16"/>
              </w:rPr>
              <w:t>0.0118</w:t>
            </w:r>
          </w:p>
        </w:tc>
        <w:tc>
          <w:tcPr>
            <w:tcW w:type="dxa" w:w="2033"/>
            <w:vAlign w:val="center"/>
          </w:tcPr>
          <w:p>
            <w:pPr>
              <w:spacing w:after="0"/>
            </w:pPr>
            <w:r/>
            <w:r>
              <w:rPr>
                <w:rFonts w:ascii="Arial" w:hAnsi="Arial" w:eastAsia="Arial"/>
                <w:b w:val="0"/>
                <w:sz w:val="16"/>
              </w:rPr>
              <w:t>measurement-definition comparison, not causal decomposition</w:t>
            </w:r>
          </w:p>
        </w:tc>
      </w:tr>
    </w:tbl>
    <w:p/>
    <w:p>
      <w:pPr>
        <w:spacing w:after="60"/>
      </w:pPr>
      <w:r>
        <w:rPr>
          <w:b/>
        </w:rPr>
        <w:t>Supplementary Table S8 | 2021-2022 common-support coding-definition range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rPr>
        <w:tc>
          <w:tcPr>
            <w:tcW w:type="dxa" w:w="2033"/>
            <w:vAlign w:val="center"/>
            <w:shd w:fill="D9EAF7"/>
          </w:tcPr>
          <w:p>
            <w:pPr>
              <w:spacing w:after="0"/>
            </w:pPr>
            <w:r/>
            <w:r>
              <w:rPr>
                <w:rFonts w:ascii="Arial" w:hAnsi="Arial" w:eastAsia="Arial"/>
                <w:b/>
                <w:sz w:val="16"/>
              </w:rPr>
              <w:t>Cohort</w:t>
            </w:r>
          </w:p>
        </w:tc>
        <w:tc>
          <w:tcPr>
            <w:tcW w:type="dxa" w:w="2033"/>
            <w:vAlign w:val="center"/>
            <w:shd w:fill="D9EAF7"/>
          </w:tcPr>
          <w:p>
            <w:pPr>
              <w:spacing w:after="0"/>
            </w:pPr>
            <w:r/>
            <w:r>
              <w:rPr>
                <w:rFonts w:ascii="Arial" w:hAnsi="Arial" w:eastAsia="Arial"/>
                <w:b/>
                <w:sz w:val="16"/>
              </w:rPr>
              <w:t>Coding-definition bound</w:t>
            </w:r>
          </w:p>
        </w:tc>
        <w:tc>
          <w:tcPr>
            <w:tcW w:type="dxa" w:w="2033"/>
            <w:vAlign w:val="center"/>
            <w:shd w:fill="D9EAF7"/>
          </w:tcPr>
          <w:p>
            <w:pPr>
              <w:spacing w:after="0"/>
            </w:pPr>
            <w:r/>
            <w:r>
              <w:rPr>
                <w:rFonts w:ascii="Arial" w:hAnsi="Arial" w:eastAsia="Arial"/>
                <w:b/>
                <w:sz w:val="16"/>
              </w:rPr>
              <w:t>Estimate</w:t>
            </w:r>
          </w:p>
        </w:tc>
        <w:tc>
          <w:tcPr>
            <w:tcW w:type="dxa" w:w="2033"/>
            <w:vAlign w:val="center"/>
            <w:shd w:fill="D9EAF7"/>
          </w:tcPr>
          <w:p>
            <w:pPr>
              <w:spacing w:after="0"/>
            </w:pPr>
            <w:r/>
            <w:r>
              <w:rPr>
                <w:rFonts w:ascii="Arial" w:hAnsi="Arial" w:eastAsia="Arial"/>
                <w:b/>
                <w:sz w:val="16"/>
              </w:rPr>
              <w:t>95% bootstrap interval</w:t>
            </w:r>
          </w:p>
        </w:tc>
        <w:tc>
          <w:tcPr>
            <w:tcW w:type="dxa" w:w="2033"/>
            <w:vAlign w:val="center"/>
            <w:shd w:fill="D9EAF7"/>
          </w:tcPr>
          <w:p>
            <w:pPr>
              <w:spacing w:after="0"/>
            </w:pPr>
            <w:r/>
            <w:r>
              <w:rPr>
                <w:rFonts w:ascii="Arial" w:hAnsi="Arial" w:eastAsia="Arial"/>
                <w:b/>
                <w:sz w:val="16"/>
              </w:rPr>
              <w:t>Successful replicates</w:t>
            </w:r>
          </w:p>
        </w:tc>
      </w:tr>
      <w:tr>
        <w:trPr>
          <w:cantSplit/>
        </w:trPr>
        <w:tc>
          <w:tcPr>
            <w:tcW w:type="dxa" w:w="2033"/>
            <w:vAlign w:val="center"/>
          </w:tcPr>
          <w:p>
            <w:pPr>
              <w:spacing w:after="0"/>
            </w:pPr>
            <w:r/>
            <w:r>
              <w:rPr>
                <w:rFonts w:ascii="Arial" w:hAnsi="Arial" w:eastAsia="Arial"/>
                <w:b w:val="0"/>
                <w:sz w:val="16"/>
              </w:rPr>
              <w:t>Acute cholecystitis</w:t>
            </w:r>
          </w:p>
        </w:tc>
        <w:tc>
          <w:tcPr>
            <w:tcW w:type="dxa" w:w="2033"/>
            <w:vAlign w:val="center"/>
          </w:tcPr>
          <w:p>
            <w:pPr>
              <w:spacing w:after="0"/>
            </w:pPr>
            <w:r/>
            <w:r>
              <w:rPr>
                <w:rFonts w:ascii="Arial" w:hAnsi="Arial" w:eastAsia="Arial"/>
                <w:b w:val="0"/>
                <w:sz w:val="16"/>
              </w:rPr>
              <w:t>us_narrow_minus_br_broader</w:t>
            </w:r>
          </w:p>
        </w:tc>
        <w:tc>
          <w:tcPr>
            <w:tcW w:type="dxa" w:w="2033"/>
            <w:vAlign w:val="center"/>
          </w:tcPr>
          <w:p>
            <w:pPr>
              <w:spacing w:after="0"/>
            </w:pPr>
            <w:r/>
            <w:r>
              <w:rPr>
                <w:rFonts w:ascii="Arial" w:hAnsi="Arial" w:eastAsia="Arial"/>
                <w:b w:val="0"/>
                <w:sz w:val="16"/>
              </w:rPr>
              <w:t>15.547%</w:t>
            </w:r>
          </w:p>
        </w:tc>
        <w:tc>
          <w:tcPr>
            <w:tcW w:type="dxa" w:w="2033"/>
            <w:vAlign w:val="center"/>
          </w:tcPr>
          <w:p>
            <w:pPr>
              <w:spacing w:after="0"/>
            </w:pPr>
            <w:r/>
            <w:r>
              <w:rPr>
                <w:rFonts w:ascii="Arial" w:hAnsi="Arial" w:eastAsia="Arial"/>
                <w:b w:val="0"/>
                <w:sz w:val="16"/>
              </w:rPr>
              <w:t>14.019% to 17.059%</w:t>
            </w:r>
          </w:p>
        </w:tc>
        <w:tc>
          <w:tcPr>
            <w:tcW w:type="dxa" w:w="2033"/>
            <w:vAlign w:val="center"/>
          </w:tcPr>
          <w:p>
            <w:pPr>
              <w:spacing w:after="0"/>
            </w:pPr>
            <w:r/>
            <w:r>
              <w:rPr>
                <w:rFonts w:ascii="Arial" w:hAnsi="Arial" w:eastAsia="Arial"/>
                <w:b w:val="0"/>
                <w:sz w:val="16"/>
              </w:rPr>
              <w:t>500/500</w:t>
            </w:r>
          </w:p>
        </w:tc>
      </w:tr>
      <w:tr>
        <w:trPr>
          <w:cantSplit/>
        </w:trPr>
        <w:tc>
          <w:tcPr>
            <w:tcW w:type="dxa" w:w="2033"/>
            <w:vAlign w:val="center"/>
          </w:tcPr>
          <w:p>
            <w:pPr>
              <w:spacing w:after="0"/>
            </w:pPr>
            <w:r/>
            <w:r>
              <w:rPr>
                <w:rFonts w:ascii="Arial" w:hAnsi="Arial" w:eastAsia="Arial"/>
                <w:b w:val="0"/>
                <w:sz w:val="16"/>
              </w:rPr>
              <w:t>Acute cholecystitis</w:t>
            </w:r>
          </w:p>
        </w:tc>
        <w:tc>
          <w:tcPr>
            <w:tcW w:type="dxa" w:w="2033"/>
            <w:vAlign w:val="center"/>
          </w:tcPr>
          <w:p>
            <w:pPr>
              <w:spacing w:after="0"/>
            </w:pPr>
            <w:r/>
            <w:r>
              <w:rPr>
                <w:rFonts w:ascii="Arial" w:hAnsi="Arial" w:eastAsia="Arial"/>
                <w:b w:val="0"/>
                <w:sz w:val="16"/>
              </w:rPr>
              <w:t>us_broader_minus_br_narrow</w:t>
            </w:r>
          </w:p>
        </w:tc>
        <w:tc>
          <w:tcPr>
            <w:tcW w:type="dxa" w:w="2033"/>
            <w:vAlign w:val="center"/>
          </w:tcPr>
          <w:p>
            <w:pPr>
              <w:spacing w:after="0"/>
            </w:pPr>
            <w:r/>
            <w:r>
              <w:rPr>
                <w:rFonts w:ascii="Arial" w:hAnsi="Arial" w:eastAsia="Arial"/>
                <w:b w:val="0"/>
                <w:sz w:val="16"/>
              </w:rPr>
              <w:t>16.666%</w:t>
            </w:r>
          </w:p>
        </w:tc>
        <w:tc>
          <w:tcPr>
            <w:tcW w:type="dxa" w:w="2033"/>
            <w:vAlign w:val="center"/>
          </w:tcPr>
          <w:p>
            <w:pPr>
              <w:spacing w:after="0"/>
            </w:pPr>
            <w:r/>
            <w:r>
              <w:rPr>
                <w:rFonts w:ascii="Arial" w:hAnsi="Arial" w:eastAsia="Arial"/>
                <w:b w:val="0"/>
                <w:sz w:val="16"/>
              </w:rPr>
              <w:t>15.100% to 18.152%</w:t>
            </w:r>
          </w:p>
        </w:tc>
        <w:tc>
          <w:tcPr>
            <w:tcW w:type="dxa" w:w="2033"/>
            <w:vAlign w:val="center"/>
          </w:tcPr>
          <w:p>
            <w:pPr>
              <w:spacing w:after="0"/>
            </w:pPr>
            <w:r/>
            <w:r>
              <w:rPr>
                <w:rFonts w:ascii="Arial" w:hAnsi="Arial" w:eastAsia="Arial"/>
                <w:b w:val="0"/>
                <w:sz w:val="16"/>
              </w:rPr>
              <w:t>500/500</w:t>
            </w:r>
          </w:p>
        </w:tc>
      </w:tr>
      <w:tr>
        <w:trPr>
          <w:cantSplit/>
        </w:trPr>
        <w:tc>
          <w:tcPr>
            <w:tcW w:type="dxa" w:w="2033"/>
            <w:vAlign w:val="center"/>
          </w:tcPr>
          <w:p>
            <w:pPr>
              <w:spacing w:after="0"/>
            </w:pPr>
            <w:r/>
            <w:r>
              <w:rPr>
                <w:rFonts w:ascii="Arial" w:hAnsi="Arial" w:eastAsia="Arial"/>
                <w:b w:val="0"/>
                <w:sz w:val="16"/>
              </w:rPr>
              <w:t>Choledocholithiasis</w:t>
            </w:r>
          </w:p>
        </w:tc>
        <w:tc>
          <w:tcPr>
            <w:tcW w:type="dxa" w:w="2033"/>
            <w:vAlign w:val="center"/>
          </w:tcPr>
          <w:p>
            <w:pPr>
              <w:spacing w:after="0"/>
            </w:pPr>
            <w:r/>
            <w:r>
              <w:rPr>
                <w:rFonts w:ascii="Arial" w:hAnsi="Arial" w:eastAsia="Arial"/>
                <w:b w:val="0"/>
                <w:sz w:val="16"/>
              </w:rPr>
              <w:t>us_narrow_minus_br_broader</w:t>
            </w:r>
          </w:p>
        </w:tc>
        <w:tc>
          <w:tcPr>
            <w:tcW w:type="dxa" w:w="2033"/>
            <w:vAlign w:val="center"/>
          </w:tcPr>
          <w:p>
            <w:pPr>
              <w:spacing w:after="0"/>
            </w:pPr>
            <w:r/>
            <w:r>
              <w:rPr>
                <w:rFonts w:ascii="Arial" w:hAnsi="Arial" w:eastAsia="Arial"/>
                <w:b w:val="0"/>
                <w:sz w:val="16"/>
              </w:rPr>
              <w:t>33.986%</w:t>
            </w:r>
          </w:p>
        </w:tc>
        <w:tc>
          <w:tcPr>
            <w:tcW w:type="dxa" w:w="2033"/>
            <w:vAlign w:val="center"/>
          </w:tcPr>
          <w:p>
            <w:pPr>
              <w:spacing w:after="0"/>
            </w:pPr>
            <w:r/>
            <w:r>
              <w:rPr>
                <w:rFonts w:ascii="Arial" w:hAnsi="Arial" w:eastAsia="Arial"/>
                <w:b w:val="0"/>
                <w:sz w:val="16"/>
              </w:rPr>
              <w:t>31.261% to 36.609%</w:t>
            </w:r>
          </w:p>
        </w:tc>
        <w:tc>
          <w:tcPr>
            <w:tcW w:type="dxa" w:w="2033"/>
            <w:vAlign w:val="center"/>
          </w:tcPr>
          <w:p>
            <w:pPr>
              <w:spacing w:after="0"/>
            </w:pPr>
            <w:r/>
            <w:r>
              <w:rPr>
                <w:rFonts w:ascii="Arial" w:hAnsi="Arial" w:eastAsia="Arial"/>
                <w:b w:val="0"/>
                <w:sz w:val="16"/>
              </w:rPr>
              <w:t>500/500</w:t>
            </w:r>
          </w:p>
        </w:tc>
      </w:tr>
      <w:tr>
        <w:trPr>
          <w:cantSplit/>
        </w:trPr>
        <w:tc>
          <w:tcPr>
            <w:tcW w:type="dxa" w:w="2033"/>
            <w:vAlign w:val="center"/>
          </w:tcPr>
          <w:p>
            <w:pPr>
              <w:spacing w:after="0"/>
            </w:pPr>
            <w:r/>
            <w:r>
              <w:rPr>
                <w:rFonts w:ascii="Arial" w:hAnsi="Arial" w:eastAsia="Arial"/>
                <w:b w:val="0"/>
                <w:sz w:val="16"/>
              </w:rPr>
              <w:t>Choledocholithiasis</w:t>
            </w:r>
          </w:p>
        </w:tc>
        <w:tc>
          <w:tcPr>
            <w:tcW w:type="dxa" w:w="2033"/>
            <w:vAlign w:val="center"/>
          </w:tcPr>
          <w:p>
            <w:pPr>
              <w:spacing w:after="0"/>
            </w:pPr>
            <w:r/>
            <w:r>
              <w:rPr>
                <w:rFonts w:ascii="Arial" w:hAnsi="Arial" w:eastAsia="Arial"/>
                <w:b w:val="0"/>
                <w:sz w:val="16"/>
              </w:rPr>
              <w:t>us_broader_minus_br_narrow</w:t>
            </w:r>
          </w:p>
        </w:tc>
        <w:tc>
          <w:tcPr>
            <w:tcW w:type="dxa" w:w="2033"/>
            <w:vAlign w:val="center"/>
          </w:tcPr>
          <w:p>
            <w:pPr>
              <w:spacing w:after="0"/>
            </w:pPr>
            <w:r/>
            <w:r>
              <w:rPr>
                <w:rFonts w:ascii="Arial" w:hAnsi="Arial" w:eastAsia="Arial"/>
                <w:b w:val="0"/>
                <w:sz w:val="16"/>
              </w:rPr>
              <w:t>57.179%</w:t>
            </w:r>
          </w:p>
        </w:tc>
        <w:tc>
          <w:tcPr>
            <w:tcW w:type="dxa" w:w="2033"/>
            <w:vAlign w:val="center"/>
          </w:tcPr>
          <w:p>
            <w:pPr>
              <w:spacing w:after="0"/>
            </w:pPr>
            <w:r/>
            <w:r>
              <w:rPr>
                <w:rFonts w:ascii="Arial" w:hAnsi="Arial" w:eastAsia="Arial"/>
                <w:b w:val="0"/>
                <w:sz w:val="16"/>
              </w:rPr>
              <w:t>56.130% to 58.078%</w:t>
            </w:r>
          </w:p>
        </w:tc>
        <w:tc>
          <w:tcPr>
            <w:tcW w:type="dxa" w:w="2033"/>
            <w:vAlign w:val="center"/>
          </w:tcPr>
          <w:p>
            <w:pPr>
              <w:spacing w:after="0"/>
            </w:pPr>
            <w:r/>
            <w:r>
              <w:rPr>
                <w:rFonts w:ascii="Arial" w:hAnsi="Arial" w:eastAsia="Arial"/>
                <w:b w:val="0"/>
                <w:sz w:val="16"/>
              </w:rPr>
              <w:t>500/500</w:t>
            </w:r>
          </w:p>
        </w:tc>
      </w:tr>
    </w:tbl>
    <w:p/>
    <w:p>
      <w:pPr>
        <w:pStyle w:val="Heading2"/>
      </w:pPr>
      <w:r>
        <w:t>Hospital-year models and peer-benchmark associated burden</w:t>
      </w:r>
    </w:p>
    <w:p>
      <w:pPr>
        <w:spacing w:line="259" w:lineRule="auto"/>
      </w:pPr>
      <w:r>
        <w:t>Mixed models were assessed for singular fits and model-gradient warnings. Risk-standardized hospital-year distributions are descriptive and should not be used for hospital ranking. The peer-P75 scenarios are associated-burden calculations explicitly guarded by the residual-selection diagnostic; they are not estimates of preventable events or savings.</w:t>
      </w:r>
    </w:p>
    <w:p>
      <w:pPr>
        <w:spacing w:after="60"/>
      </w:pPr>
      <w:r>
        <w:rPr>
          <w:b/>
        </w:rPr>
        <w:t>Supplementary Table S9 | Hospital-year model diagnostics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cantSplit/>
        </w:trPr>
        <w:tc>
          <w:tcPr>
            <w:tcW w:type="dxa" w:w="1452"/>
            <w:vAlign w:val="center"/>
            <w:shd w:fill="D9EAF7"/>
          </w:tcPr>
          <w:p>
            <w:pPr>
              <w:spacing w:after="0"/>
            </w:pPr>
            <w:r/>
            <w:r>
              <w:rPr>
                <w:rFonts w:ascii="Arial" w:hAnsi="Arial" w:eastAsia="Arial"/>
                <w:b/>
                <w:sz w:val="16"/>
              </w:rPr>
              <w:t>Cohort</w:t>
            </w:r>
          </w:p>
        </w:tc>
        <w:tc>
          <w:tcPr>
            <w:tcW w:type="dxa" w:w="1452"/>
            <w:vAlign w:val="center"/>
            <w:shd w:fill="D9EAF7"/>
          </w:tcPr>
          <w:p>
            <w:pPr>
              <w:spacing w:after="0"/>
            </w:pPr>
            <w:r/>
            <w:r>
              <w:rPr>
                <w:rFonts w:ascii="Arial" w:hAnsi="Arial" w:eastAsia="Arial"/>
                <w:b/>
                <w:sz w:val="16"/>
              </w:rPr>
              <w:t>Outcome model</w:t>
            </w:r>
          </w:p>
        </w:tc>
        <w:tc>
          <w:tcPr>
            <w:tcW w:type="dxa" w:w="1452"/>
            <w:vAlign w:val="center"/>
            <w:shd w:fill="D9EAF7"/>
          </w:tcPr>
          <w:p>
            <w:pPr>
              <w:spacing w:after="0"/>
            </w:pPr>
            <w:r/>
            <w:r>
              <w:rPr>
                <w:rFonts w:ascii="Arial" w:hAnsi="Arial" w:eastAsia="Arial"/>
                <w:b/>
                <w:sz w:val="16"/>
              </w:rPr>
              <w:t>N</w:t>
            </w:r>
          </w:p>
        </w:tc>
        <w:tc>
          <w:tcPr>
            <w:tcW w:type="dxa" w:w="1452"/>
            <w:vAlign w:val="center"/>
            <w:shd w:fill="D9EAF7"/>
          </w:tcPr>
          <w:p>
            <w:pPr>
              <w:spacing w:after="0"/>
            </w:pPr>
            <w:r/>
            <w:r>
              <w:rPr>
                <w:rFonts w:ascii="Arial" w:hAnsi="Arial" w:eastAsia="Arial"/>
                <w:b/>
                <w:sz w:val="16"/>
              </w:rPr>
              <w:t>Hospital years</w:t>
            </w:r>
          </w:p>
        </w:tc>
        <w:tc>
          <w:tcPr>
            <w:tcW w:type="dxa" w:w="1452"/>
            <w:vAlign w:val="center"/>
            <w:shd w:fill="D9EAF7"/>
          </w:tcPr>
          <w:p>
            <w:pPr>
              <w:spacing w:after="0"/>
            </w:pPr>
            <w:r/>
            <w:r>
              <w:rPr>
                <w:rFonts w:ascii="Arial" w:hAnsi="Arial" w:eastAsia="Arial"/>
                <w:b/>
                <w:sz w:val="16"/>
              </w:rPr>
              <w:t>MOR</w:t>
            </w:r>
          </w:p>
        </w:tc>
        <w:tc>
          <w:tcPr>
            <w:tcW w:type="dxa" w:w="1452"/>
            <w:vAlign w:val="center"/>
            <w:shd w:fill="D9EAF7"/>
          </w:tcPr>
          <w:p>
            <w:pPr>
              <w:spacing w:after="0"/>
            </w:pPr>
            <w:r/>
            <w:r>
              <w:rPr>
                <w:rFonts w:ascii="Arial" w:hAnsi="Arial" w:eastAsia="Arial"/>
                <w:b/>
                <w:sz w:val="16"/>
              </w:rPr>
              <w:t>Risk-standardized P10-P90</w:t>
            </w:r>
          </w:p>
        </w:tc>
        <w:tc>
          <w:tcPr>
            <w:tcW w:type="dxa" w:w="1452"/>
            <w:vAlign w:val="center"/>
            <w:shd w:fill="D9EAF7"/>
          </w:tcPr>
          <w:p>
            <w:pPr>
              <w:spacing w:after="0"/>
            </w:pPr>
            <w:r/>
            <w:r>
              <w:rPr>
                <w:rFonts w:ascii="Arial" w:hAnsi="Arial" w:eastAsia="Arial"/>
                <w:b/>
                <w:sz w:val="16"/>
              </w:rPr>
              <w:t>Singular</w:t>
            </w:r>
          </w:p>
        </w:tc>
      </w:tr>
      <w:tr>
        <w:trPr>
          <w:cantSplit/>
        </w:trPr>
        <w:tc>
          <w:tcPr>
            <w:tcW w:type="dxa" w:w="1452"/>
            <w:vAlign w:val="center"/>
          </w:tcPr>
          <w:p>
            <w:pPr>
              <w:spacing w:after="0"/>
            </w:pPr>
            <w:r/>
            <w:r>
              <w:rPr>
                <w:rFonts w:ascii="Arial" w:hAnsi="Arial" w:eastAsia="Arial"/>
                <w:b w:val="0"/>
                <w:sz w:val="16"/>
              </w:rPr>
              <w:t>Acute cholecystitis</w:t>
            </w:r>
          </w:p>
        </w:tc>
        <w:tc>
          <w:tcPr>
            <w:tcW w:type="dxa" w:w="1452"/>
            <w:vAlign w:val="center"/>
          </w:tcPr>
          <w:p>
            <w:pPr>
              <w:spacing w:after="0"/>
            </w:pPr>
            <w:r/>
            <w:r>
              <w:rPr>
                <w:rFonts w:ascii="Arial" w:hAnsi="Arial" w:eastAsia="Arial"/>
                <w:b w:val="0"/>
                <w:sz w:val="16"/>
              </w:rPr>
              <w:t>treatment</w:t>
            </w:r>
          </w:p>
        </w:tc>
        <w:tc>
          <w:tcPr>
            <w:tcW w:type="dxa" w:w="1452"/>
            <w:vAlign w:val="center"/>
          </w:tcPr>
          <w:p>
            <w:pPr>
              <w:spacing w:after="0"/>
            </w:pPr>
            <w:r/>
            <w:r>
              <w:rPr>
                <w:rFonts w:ascii="Arial" w:hAnsi="Arial" w:eastAsia="Arial"/>
                <w:b w:val="0"/>
                <w:sz w:val="16"/>
              </w:rPr>
              <w:t>233,764</w:t>
            </w:r>
          </w:p>
        </w:tc>
        <w:tc>
          <w:tcPr>
            <w:tcW w:type="dxa" w:w="1452"/>
            <w:vAlign w:val="center"/>
          </w:tcPr>
          <w:p>
            <w:pPr>
              <w:spacing w:after="0"/>
            </w:pPr>
            <w:r/>
            <w:r>
              <w:rPr>
                <w:rFonts w:ascii="Arial" w:hAnsi="Arial" w:eastAsia="Arial"/>
                <w:b w:val="0"/>
                <w:sz w:val="16"/>
              </w:rPr>
              <w:t>9,356</w:t>
            </w:r>
          </w:p>
        </w:tc>
        <w:tc>
          <w:tcPr>
            <w:tcW w:type="dxa" w:w="1452"/>
            <w:vAlign w:val="center"/>
          </w:tcPr>
          <w:p>
            <w:pPr>
              <w:spacing w:after="0"/>
            </w:pPr>
            <w:r/>
            <w:r>
              <w:rPr>
                <w:rFonts w:ascii="Arial" w:hAnsi="Arial" w:eastAsia="Arial"/>
                <w:b w:val="0"/>
                <w:sz w:val="16"/>
              </w:rPr>
              <w:t>1.92</w:t>
            </w:r>
          </w:p>
        </w:tc>
        <w:tc>
          <w:tcPr>
            <w:tcW w:type="dxa" w:w="1452"/>
            <w:vAlign w:val="center"/>
          </w:tcPr>
          <w:p>
            <w:pPr>
              <w:spacing w:after="0"/>
            </w:pPr>
            <w:r/>
            <w:r>
              <w:rPr>
                <w:rFonts w:ascii="Arial" w:hAnsi="Arial" w:eastAsia="Arial"/>
                <w:b w:val="0"/>
                <w:sz w:val="16"/>
              </w:rPr>
              <w:t>62.637% to 84.735%</w:t>
            </w:r>
          </w:p>
        </w:tc>
        <w:tc>
          <w:tcPr>
            <w:tcW w:type="dxa" w:w="1452"/>
            <w:vAlign w:val="center"/>
          </w:tcPr>
          <w:p>
            <w:pPr>
              <w:spacing w:after="0"/>
            </w:pPr>
            <w:r/>
            <w:r>
              <w:rPr>
                <w:rFonts w:ascii="Arial" w:hAnsi="Arial" w:eastAsia="Arial"/>
                <w:b w:val="0"/>
                <w:sz w:val="16"/>
              </w:rPr>
              <w:t>FALSE</w:t>
            </w:r>
          </w:p>
        </w:tc>
      </w:tr>
      <w:tr>
        <w:trPr>
          <w:cantSplit/>
        </w:trPr>
        <w:tc>
          <w:tcPr>
            <w:tcW w:type="dxa" w:w="1452"/>
            <w:vAlign w:val="center"/>
          </w:tcPr>
          <w:p>
            <w:pPr>
              <w:spacing w:after="0"/>
            </w:pPr>
            <w:r/>
            <w:r>
              <w:rPr>
                <w:rFonts w:ascii="Arial" w:hAnsi="Arial" w:eastAsia="Arial"/>
                <w:b w:val="0"/>
                <w:sz w:val="16"/>
              </w:rPr>
              <w:t>Acute cholecystitis</w:t>
            </w:r>
          </w:p>
        </w:tc>
        <w:tc>
          <w:tcPr>
            <w:tcW w:type="dxa" w:w="1452"/>
            <w:vAlign w:val="center"/>
          </w:tcPr>
          <w:p>
            <w:pPr>
              <w:spacing w:after="0"/>
            </w:pPr>
            <w:r/>
            <w:r>
              <w:rPr>
                <w:rFonts w:ascii="Arial" w:hAnsi="Arial" w:eastAsia="Arial"/>
                <w:b w:val="0"/>
                <w:sz w:val="16"/>
              </w:rPr>
              <w:t>biliary90</w:t>
            </w:r>
          </w:p>
        </w:tc>
        <w:tc>
          <w:tcPr>
            <w:tcW w:type="dxa" w:w="1452"/>
            <w:vAlign w:val="center"/>
          </w:tcPr>
          <w:p>
            <w:pPr>
              <w:spacing w:after="0"/>
            </w:pPr>
            <w:r/>
            <w:r>
              <w:rPr>
                <w:rFonts w:ascii="Arial" w:hAnsi="Arial" w:eastAsia="Arial"/>
                <w:b w:val="0"/>
                <w:sz w:val="16"/>
              </w:rPr>
              <w:t>233,764</w:t>
            </w:r>
          </w:p>
        </w:tc>
        <w:tc>
          <w:tcPr>
            <w:tcW w:type="dxa" w:w="1452"/>
            <w:vAlign w:val="center"/>
          </w:tcPr>
          <w:p>
            <w:pPr>
              <w:spacing w:after="0"/>
            </w:pPr>
            <w:r/>
            <w:r>
              <w:rPr>
                <w:rFonts w:ascii="Arial" w:hAnsi="Arial" w:eastAsia="Arial"/>
                <w:b w:val="0"/>
                <w:sz w:val="16"/>
              </w:rPr>
              <w:t>9,356</w:t>
            </w:r>
          </w:p>
        </w:tc>
        <w:tc>
          <w:tcPr>
            <w:tcW w:type="dxa" w:w="1452"/>
            <w:vAlign w:val="center"/>
          </w:tcPr>
          <w:p>
            <w:pPr>
              <w:spacing w:after="0"/>
            </w:pPr>
            <w:r/>
            <w:r>
              <w:rPr>
                <w:rFonts w:ascii="Arial" w:hAnsi="Arial" w:eastAsia="Arial"/>
                <w:b w:val="0"/>
                <w:sz w:val="16"/>
              </w:rPr>
              <w:t>1.51</w:t>
            </w:r>
          </w:p>
        </w:tc>
        <w:tc>
          <w:tcPr>
            <w:tcW w:type="dxa" w:w="1452"/>
            <w:vAlign w:val="center"/>
          </w:tcPr>
          <w:p>
            <w:pPr>
              <w:spacing w:after="0"/>
            </w:pPr>
            <w:r/>
            <w:r>
              <w:rPr>
                <w:rFonts w:ascii="Arial" w:hAnsi="Arial" w:eastAsia="Arial"/>
                <w:b w:val="0"/>
                <w:sz w:val="16"/>
              </w:rPr>
              <w:t>3.497% to 5.527%</w:t>
            </w:r>
          </w:p>
        </w:tc>
        <w:tc>
          <w:tcPr>
            <w:tcW w:type="dxa" w:w="1452"/>
            <w:vAlign w:val="center"/>
          </w:tcPr>
          <w:p>
            <w:pPr>
              <w:spacing w:after="0"/>
            </w:pPr>
            <w:r/>
            <w:r>
              <w:rPr>
                <w:rFonts w:ascii="Arial" w:hAnsi="Arial" w:eastAsia="Arial"/>
                <w:b w:val="0"/>
                <w:sz w:val="16"/>
              </w:rPr>
              <w:t>FALSE</w:t>
            </w:r>
          </w:p>
        </w:tc>
      </w:tr>
      <w:tr>
        <w:trPr>
          <w:cantSplit/>
        </w:trPr>
        <w:tc>
          <w:tcPr>
            <w:tcW w:type="dxa" w:w="1452"/>
            <w:vAlign w:val="center"/>
          </w:tcPr>
          <w:p>
            <w:pPr>
              <w:spacing w:after="0"/>
            </w:pPr>
            <w:r/>
            <w:r>
              <w:rPr>
                <w:rFonts w:ascii="Arial" w:hAnsi="Arial" w:eastAsia="Arial"/>
                <w:b w:val="0"/>
                <w:sz w:val="16"/>
              </w:rPr>
              <w:t>Choledocholithiasis</w:t>
            </w:r>
          </w:p>
        </w:tc>
        <w:tc>
          <w:tcPr>
            <w:tcW w:type="dxa" w:w="1452"/>
            <w:vAlign w:val="center"/>
          </w:tcPr>
          <w:p>
            <w:pPr>
              <w:spacing w:after="0"/>
            </w:pPr>
            <w:r/>
            <w:r>
              <w:rPr>
                <w:rFonts w:ascii="Arial" w:hAnsi="Arial" w:eastAsia="Arial"/>
                <w:b w:val="0"/>
                <w:sz w:val="16"/>
              </w:rPr>
              <w:t>treatment</w:t>
            </w:r>
          </w:p>
        </w:tc>
        <w:tc>
          <w:tcPr>
            <w:tcW w:type="dxa" w:w="1452"/>
            <w:vAlign w:val="center"/>
          </w:tcPr>
          <w:p>
            <w:pPr>
              <w:spacing w:after="0"/>
            </w:pPr>
            <w:r/>
            <w:r>
              <w:rPr>
                <w:rFonts w:ascii="Arial" w:hAnsi="Arial" w:eastAsia="Arial"/>
                <w:b w:val="0"/>
                <w:sz w:val="16"/>
              </w:rPr>
              <w:t>117,293</w:t>
            </w:r>
          </w:p>
        </w:tc>
        <w:tc>
          <w:tcPr>
            <w:tcW w:type="dxa" w:w="1452"/>
            <w:vAlign w:val="center"/>
          </w:tcPr>
          <w:p>
            <w:pPr>
              <w:spacing w:after="0"/>
            </w:pPr>
            <w:r/>
            <w:r>
              <w:rPr>
                <w:rFonts w:ascii="Arial" w:hAnsi="Arial" w:eastAsia="Arial"/>
                <w:b w:val="0"/>
                <w:sz w:val="16"/>
              </w:rPr>
              <w:t>7,562</w:t>
            </w:r>
          </w:p>
        </w:tc>
        <w:tc>
          <w:tcPr>
            <w:tcW w:type="dxa" w:w="1452"/>
            <w:vAlign w:val="center"/>
          </w:tcPr>
          <w:p>
            <w:pPr>
              <w:spacing w:after="0"/>
            </w:pPr>
            <w:r/>
            <w:r>
              <w:rPr>
                <w:rFonts w:ascii="Arial" w:hAnsi="Arial" w:eastAsia="Arial"/>
                <w:b w:val="0"/>
                <w:sz w:val="16"/>
              </w:rPr>
              <w:t>1.68</w:t>
            </w:r>
          </w:p>
        </w:tc>
        <w:tc>
          <w:tcPr>
            <w:tcW w:type="dxa" w:w="1452"/>
            <w:vAlign w:val="center"/>
          </w:tcPr>
          <w:p>
            <w:pPr>
              <w:spacing w:after="0"/>
            </w:pPr>
            <w:r/>
            <w:r>
              <w:rPr>
                <w:rFonts w:ascii="Arial" w:hAnsi="Arial" w:eastAsia="Arial"/>
                <w:b w:val="0"/>
                <w:sz w:val="16"/>
              </w:rPr>
              <w:t>39.127% to 61.981%</w:t>
            </w:r>
          </w:p>
        </w:tc>
        <w:tc>
          <w:tcPr>
            <w:tcW w:type="dxa" w:w="1452"/>
            <w:vAlign w:val="center"/>
          </w:tcPr>
          <w:p>
            <w:pPr>
              <w:spacing w:after="0"/>
            </w:pPr>
            <w:r/>
            <w:r>
              <w:rPr>
                <w:rFonts w:ascii="Arial" w:hAnsi="Arial" w:eastAsia="Arial"/>
                <w:b w:val="0"/>
                <w:sz w:val="16"/>
              </w:rPr>
              <w:t>FALSE</w:t>
            </w:r>
          </w:p>
        </w:tc>
      </w:tr>
      <w:tr>
        <w:trPr>
          <w:cantSplit/>
        </w:trPr>
        <w:tc>
          <w:tcPr>
            <w:tcW w:type="dxa" w:w="1452"/>
            <w:vAlign w:val="center"/>
          </w:tcPr>
          <w:p>
            <w:pPr>
              <w:spacing w:after="0"/>
            </w:pPr>
            <w:r/>
            <w:r>
              <w:rPr>
                <w:rFonts w:ascii="Arial" w:hAnsi="Arial" w:eastAsia="Arial"/>
                <w:b w:val="0"/>
                <w:sz w:val="16"/>
              </w:rPr>
              <w:t>Choledocholithiasis</w:t>
            </w:r>
          </w:p>
        </w:tc>
        <w:tc>
          <w:tcPr>
            <w:tcW w:type="dxa" w:w="1452"/>
            <w:vAlign w:val="center"/>
          </w:tcPr>
          <w:p>
            <w:pPr>
              <w:spacing w:after="0"/>
            </w:pPr>
            <w:r/>
            <w:r>
              <w:rPr>
                <w:rFonts w:ascii="Arial" w:hAnsi="Arial" w:eastAsia="Arial"/>
                <w:b w:val="0"/>
                <w:sz w:val="16"/>
              </w:rPr>
              <w:t>biliary90</w:t>
            </w:r>
          </w:p>
        </w:tc>
        <w:tc>
          <w:tcPr>
            <w:tcW w:type="dxa" w:w="1452"/>
            <w:vAlign w:val="center"/>
          </w:tcPr>
          <w:p>
            <w:pPr>
              <w:spacing w:after="0"/>
            </w:pPr>
            <w:r/>
            <w:r>
              <w:rPr>
                <w:rFonts w:ascii="Arial" w:hAnsi="Arial" w:eastAsia="Arial"/>
                <w:b w:val="0"/>
                <w:sz w:val="16"/>
              </w:rPr>
              <w:t>117,293</w:t>
            </w:r>
          </w:p>
        </w:tc>
        <w:tc>
          <w:tcPr>
            <w:tcW w:type="dxa" w:w="1452"/>
            <w:vAlign w:val="center"/>
          </w:tcPr>
          <w:p>
            <w:pPr>
              <w:spacing w:after="0"/>
            </w:pPr>
            <w:r/>
            <w:r>
              <w:rPr>
                <w:rFonts w:ascii="Arial" w:hAnsi="Arial" w:eastAsia="Arial"/>
                <w:b w:val="0"/>
                <w:sz w:val="16"/>
              </w:rPr>
              <w:t>7,562</w:t>
            </w:r>
          </w:p>
        </w:tc>
        <w:tc>
          <w:tcPr>
            <w:tcW w:type="dxa" w:w="1452"/>
            <w:vAlign w:val="center"/>
          </w:tcPr>
          <w:p>
            <w:pPr>
              <w:spacing w:after="0"/>
            </w:pPr>
            <w:r/>
            <w:r>
              <w:rPr>
                <w:rFonts w:ascii="Arial" w:hAnsi="Arial" w:eastAsia="Arial"/>
                <w:b w:val="0"/>
                <w:sz w:val="16"/>
              </w:rPr>
              <w:t>1.40</w:t>
            </w:r>
          </w:p>
        </w:tc>
        <w:tc>
          <w:tcPr>
            <w:tcW w:type="dxa" w:w="1452"/>
            <w:vAlign w:val="center"/>
          </w:tcPr>
          <w:p>
            <w:pPr>
              <w:spacing w:after="0"/>
            </w:pPr>
            <w:r/>
            <w:r>
              <w:rPr>
                <w:rFonts w:ascii="Arial" w:hAnsi="Arial" w:eastAsia="Arial"/>
                <w:b w:val="0"/>
                <w:sz w:val="16"/>
              </w:rPr>
              <w:t>5.280% to 7.306%</w:t>
            </w:r>
          </w:p>
        </w:tc>
        <w:tc>
          <w:tcPr>
            <w:tcW w:type="dxa" w:w="1452"/>
            <w:vAlign w:val="center"/>
          </w:tcPr>
          <w:p>
            <w:pPr>
              <w:spacing w:after="0"/>
            </w:pPr>
            <w:r/>
            <w:r>
              <w:rPr>
                <w:rFonts w:ascii="Arial" w:hAnsi="Arial" w:eastAsia="Arial"/>
                <w:b w:val="0"/>
                <w:sz w:val="16"/>
              </w:rPr>
              <w:t>FALSE</w:t>
            </w:r>
          </w:p>
        </w:tc>
      </w:tr>
    </w:tbl>
    <w:p/>
    <w:p>
      <w:pPr>
        <w:spacing w:after="60"/>
      </w:pPr>
      <w:r>
        <w:rPr>
          <w:b/>
        </w:rPr>
        <w:t>Supplementary Table S10 | Ecological hospital-year completion/readmission correlations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rPr>
        <w:tc>
          <w:tcPr>
            <w:tcW w:type="dxa" w:w="2033"/>
            <w:vAlign w:val="center"/>
            <w:shd w:fill="D9EAF7"/>
          </w:tcPr>
          <w:p>
            <w:pPr>
              <w:spacing w:after="0"/>
            </w:pPr>
            <w:r/>
            <w:r>
              <w:rPr>
                <w:rFonts w:ascii="Arial" w:hAnsi="Arial" w:eastAsia="Arial"/>
                <w:b/>
                <w:sz w:val="16"/>
              </w:rPr>
              <w:t>Cohort</w:t>
            </w:r>
          </w:p>
        </w:tc>
        <w:tc>
          <w:tcPr>
            <w:tcW w:type="dxa" w:w="2033"/>
            <w:vAlign w:val="center"/>
            <w:shd w:fill="D9EAF7"/>
          </w:tcPr>
          <w:p>
            <w:pPr>
              <w:spacing w:after="0"/>
            </w:pPr>
            <w:r/>
            <w:r>
              <w:rPr>
                <w:rFonts w:ascii="Arial" w:hAnsi="Arial" w:eastAsia="Arial"/>
                <w:b/>
                <w:sz w:val="16"/>
              </w:rPr>
              <w:t>Stable hospital years</w:t>
            </w:r>
          </w:p>
        </w:tc>
        <w:tc>
          <w:tcPr>
            <w:tcW w:type="dxa" w:w="2033"/>
            <w:vAlign w:val="center"/>
            <w:shd w:fill="D9EAF7"/>
          </w:tcPr>
          <w:p>
            <w:pPr>
              <w:spacing w:after="0"/>
            </w:pPr>
            <w:r/>
            <w:r>
              <w:rPr>
                <w:rFonts w:ascii="Arial" w:hAnsi="Arial" w:eastAsia="Arial"/>
                <w:b/>
                <w:sz w:val="16"/>
              </w:rPr>
              <w:t>Spearman correlation</w:t>
            </w:r>
          </w:p>
        </w:tc>
        <w:tc>
          <w:tcPr>
            <w:tcW w:type="dxa" w:w="2033"/>
            <w:vAlign w:val="center"/>
            <w:shd w:fill="D9EAF7"/>
          </w:tcPr>
          <w:p>
            <w:pPr>
              <w:spacing w:after="0"/>
            </w:pPr>
            <w:r/>
            <w:r>
              <w:rPr>
                <w:rFonts w:ascii="Arial" w:hAnsi="Arial" w:eastAsia="Arial"/>
                <w:b/>
                <w:sz w:val="16"/>
              </w:rPr>
              <w:t>Pearson correlation</w:t>
            </w:r>
          </w:p>
        </w:tc>
        <w:tc>
          <w:tcPr>
            <w:tcW w:type="dxa" w:w="2033"/>
            <w:vAlign w:val="center"/>
            <w:shd w:fill="D9EAF7"/>
          </w:tcPr>
          <w:p>
            <w:pPr>
              <w:spacing w:after="0"/>
            </w:pPr>
            <w:r/>
            <w:r>
              <w:rPr>
                <w:rFonts w:ascii="Arial" w:hAnsi="Arial" w:eastAsia="Arial"/>
                <w:b/>
                <w:sz w:val="16"/>
              </w:rPr>
              <w:t>Interpretation</w:t>
            </w:r>
          </w:p>
        </w:tc>
      </w:tr>
      <w:tr>
        <w:trPr>
          <w:cantSplit/>
        </w:trPr>
        <w:tc>
          <w:tcPr>
            <w:tcW w:type="dxa" w:w="2033"/>
            <w:vAlign w:val="center"/>
          </w:tcPr>
          <w:p>
            <w:pPr>
              <w:spacing w:after="0"/>
            </w:pPr>
            <w:r/>
            <w:r>
              <w:rPr>
                <w:rFonts w:ascii="Arial" w:hAnsi="Arial" w:eastAsia="Arial"/>
                <w:b w:val="0"/>
                <w:sz w:val="16"/>
              </w:rPr>
              <w:t>Acute cholecystitis</w:t>
            </w:r>
          </w:p>
        </w:tc>
        <w:tc>
          <w:tcPr>
            <w:tcW w:type="dxa" w:w="2033"/>
            <w:vAlign w:val="center"/>
          </w:tcPr>
          <w:p>
            <w:pPr>
              <w:spacing w:after="0"/>
            </w:pPr>
            <w:r/>
            <w:r>
              <w:rPr>
                <w:rFonts w:ascii="Arial" w:hAnsi="Arial" w:eastAsia="Arial"/>
                <w:b w:val="0"/>
                <w:sz w:val="16"/>
              </w:rPr>
              <w:t>4,146</w:t>
            </w:r>
          </w:p>
        </w:tc>
        <w:tc>
          <w:tcPr>
            <w:tcW w:type="dxa" w:w="2033"/>
            <w:vAlign w:val="center"/>
          </w:tcPr>
          <w:p>
            <w:pPr>
              <w:spacing w:after="0"/>
            </w:pPr>
            <w:r/>
            <w:r>
              <w:rPr>
                <w:rFonts w:ascii="Arial" w:hAnsi="Arial" w:eastAsia="Arial"/>
                <w:b w:val="0"/>
                <w:sz w:val="16"/>
              </w:rPr>
              <w:t>-0.384</w:t>
            </w:r>
          </w:p>
        </w:tc>
        <w:tc>
          <w:tcPr>
            <w:tcW w:type="dxa" w:w="2033"/>
            <w:vAlign w:val="center"/>
          </w:tcPr>
          <w:p>
            <w:pPr>
              <w:spacing w:after="0"/>
            </w:pPr>
            <w:r/>
            <w:r>
              <w:rPr>
                <w:rFonts w:ascii="Arial" w:hAnsi="Arial" w:eastAsia="Arial"/>
                <w:b w:val="0"/>
                <w:sz w:val="16"/>
              </w:rPr>
              <w:t>-0.408</w:t>
            </w:r>
          </w:p>
        </w:tc>
        <w:tc>
          <w:tcPr>
            <w:tcW w:type="dxa" w:w="2033"/>
            <w:vAlign w:val="center"/>
          </w:tcPr>
          <w:p>
            <w:pPr>
              <w:spacing w:after="0"/>
            </w:pPr>
            <w:r/>
            <w:r>
              <w:rPr>
                <w:rFonts w:ascii="Arial" w:hAnsi="Arial" w:eastAsia="Arial"/>
                <w:b w:val="0"/>
                <w:sz w:val="16"/>
              </w:rPr>
              <w:t>ecological hospital-year association; not a patient-level or causal effect</w:t>
            </w:r>
          </w:p>
        </w:tc>
      </w:tr>
    </w:tbl>
    <w:p/>
    <w:p>
      <w:pPr>
        <w:spacing w:after="60"/>
      </w:pPr>
      <w:r>
        <w:rPr>
          <w:b/>
        </w:rPr>
        <w:t>Supplementary Table S11 | Acute-cholecystitis peer-benchmark associated burden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cantSplit/>
        </w:trPr>
        <w:tc>
          <w:tcPr>
            <w:tcW w:type="dxa" w:w="1694"/>
            <w:vAlign w:val="center"/>
            <w:shd w:fill="D9EAF7"/>
          </w:tcPr>
          <w:p>
            <w:pPr>
              <w:spacing w:after="0"/>
            </w:pPr>
            <w:r/>
            <w:r>
              <w:rPr>
                <w:rFonts w:ascii="Arial" w:hAnsi="Arial" w:eastAsia="Arial"/>
                <w:b/>
                <w:sz w:val="16"/>
              </w:rPr>
              <w:t>Peer-P75 gap closure</w:t>
            </w:r>
          </w:p>
        </w:tc>
        <w:tc>
          <w:tcPr>
            <w:tcW w:type="dxa" w:w="1694"/>
            <w:vAlign w:val="center"/>
            <w:shd w:fill="D9EAF7"/>
          </w:tcPr>
          <w:p>
            <w:pPr>
              <w:spacing w:after="0"/>
            </w:pPr>
            <w:r/>
            <w:r>
              <w:rPr>
                <w:rFonts w:ascii="Arial" w:hAnsi="Arial" w:eastAsia="Arial"/>
                <w:b/>
                <w:sz w:val="16"/>
              </w:rPr>
              <w:t>Associated new completions</w:t>
            </w:r>
          </w:p>
        </w:tc>
        <w:tc>
          <w:tcPr>
            <w:tcW w:type="dxa" w:w="1694"/>
            <w:vAlign w:val="center"/>
            <w:shd w:fill="D9EAF7"/>
          </w:tcPr>
          <w:p>
            <w:pPr>
              <w:spacing w:after="0"/>
            </w:pPr>
            <w:r/>
            <w:r>
              <w:rPr>
                <w:rFonts w:ascii="Arial" w:hAnsi="Arial" w:eastAsia="Arial"/>
                <w:b/>
                <w:sz w:val="16"/>
              </w:rPr>
              <w:t>95% interval</w:t>
            </w:r>
          </w:p>
        </w:tc>
        <w:tc>
          <w:tcPr>
            <w:tcW w:type="dxa" w:w="1694"/>
            <w:vAlign w:val="center"/>
            <w:shd w:fill="D9EAF7"/>
          </w:tcPr>
          <w:p>
            <w:pPr>
              <w:spacing w:after="0"/>
            </w:pPr>
            <w:r/>
            <w:r>
              <w:rPr>
                <w:rFonts w:ascii="Arial" w:hAnsi="Arial" w:eastAsia="Arial"/>
                <w:b/>
                <w:sz w:val="16"/>
              </w:rPr>
              <w:t>Associated biliary readmissions</w:t>
            </w:r>
          </w:p>
        </w:tc>
        <w:tc>
          <w:tcPr>
            <w:tcW w:type="dxa" w:w="1694"/>
            <w:vAlign w:val="center"/>
            <w:shd w:fill="D9EAF7"/>
          </w:tcPr>
          <w:p>
            <w:pPr>
              <w:spacing w:after="0"/>
            </w:pPr>
            <w:r/>
            <w:r>
              <w:rPr>
                <w:rFonts w:ascii="Arial" w:hAnsi="Arial" w:eastAsia="Arial"/>
                <w:b/>
                <w:sz w:val="16"/>
              </w:rPr>
              <w:t>95% interval</w:t>
            </w:r>
          </w:p>
        </w:tc>
        <w:tc>
          <w:tcPr>
            <w:tcW w:type="dxa" w:w="1694"/>
            <w:vAlign w:val="center"/>
            <w:shd w:fill="D9EAF7"/>
          </w:tcPr>
          <w:p>
            <w:pPr>
              <w:spacing w:after="0"/>
            </w:pPr>
            <w:r/>
            <w:r>
              <w:rPr>
                <w:rFonts w:ascii="Arial" w:hAnsi="Arial" w:eastAsia="Arial"/>
                <w:b/>
                <w:sz w:val="16"/>
              </w:rPr>
              <w:t>Guard</w:t>
            </w:r>
          </w:p>
        </w:tc>
      </w:tr>
      <w:tr>
        <w:trPr>
          <w:cantSplit/>
        </w:trPr>
        <w:tc>
          <w:tcPr>
            <w:tcW w:type="dxa" w:w="1694"/>
            <w:vAlign w:val="center"/>
          </w:tcPr>
          <w:p>
            <w:pPr>
              <w:spacing w:after="0"/>
            </w:pPr>
            <w:r/>
            <w:r>
              <w:rPr>
                <w:rFonts w:ascii="Arial" w:hAnsi="Arial" w:eastAsia="Arial"/>
                <w:b w:val="0"/>
                <w:sz w:val="16"/>
              </w:rPr>
              <w:t>25%</w:t>
            </w:r>
          </w:p>
        </w:tc>
        <w:tc>
          <w:tcPr>
            <w:tcW w:type="dxa" w:w="1694"/>
            <w:vAlign w:val="center"/>
          </w:tcPr>
          <w:p>
            <w:pPr>
              <w:spacing w:after="0"/>
            </w:pPr>
            <w:r/>
            <w:r>
              <w:rPr>
                <w:rFonts w:ascii="Arial" w:hAnsi="Arial" w:eastAsia="Arial"/>
                <w:b w:val="0"/>
                <w:sz w:val="16"/>
              </w:rPr>
              <w:t>5,816</w:t>
            </w:r>
          </w:p>
        </w:tc>
        <w:tc>
          <w:tcPr>
            <w:tcW w:type="dxa" w:w="1694"/>
            <w:vAlign w:val="center"/>
          </w:tcPr>
          <w:p>
            <w:pPr>
              <w:spacing w:after="0"/>
            </w:pPr>
            <w:r/>
            <w:r>
              <w:rPr>
                <w:rFonts w:ascii="Arial" w:hAnsi="Arial" w:eastAsia="Arial"/>
                <w:b w:val="0"/>
                <w:sz w:val="16"/>
              </w:rPr>
              <w:t>5,607 to 6,057</w:t>
            </w:r>
          </w:p>
        </w:tc>
        <w:tc>
          <w:tcPr>
            <w:tcW w:type="dxa" w:w="1694"/>
            <w:vAlign w:val="center"/>
          </w:tcPr>
          <w:p>
            <w:pPr>
              <w:spacing w:after="0"/>
            </w:pPr>
            <w:r/>
            <w:r>
              <w:rPr>
                <w:rFonts w:ascii="Arial" w:hAnsi="Arial" w:eastAsia="Arial"/>
                <w:b w:val="0"/>
                <w:sz w:val="16"/>
              </w:rPr>
              <w:t>652</w:t>
            </w:r>
          </w:p>
        </w:tc>
        <w:tc>
          <w:tcPr>
            <w:tcW w:type="dxa" w:w="1694"/>
            <w:vAlign w:val="center"/>
          </w:tcPr>
          <w:p>
            <w:pPr>
              <w:spacing w:after="0"/>
            </w:pPr>
            <w:r/>
            <w:r>
              <w:rPr>
                <w:rFonts w:ascii="Arial" w:hAnsi="Arial" w:eastAsia="Arial"/>
                <w:b w:val="0"/>
                <w:sz w:val="16"/>
              </w:rPr>
              <w:t>623 to 685</w:t>
            </w:r>
          </w:p>
        </w:tc>
        <w:tc>
          <w:tcPr>
            <w:tcW w:type="dxa" w:w="1694"/>
            <w:vAlign w:val="center"/>
          </w:tcPr>
          <w:p>
            <w:pPr>
              <w:spacing w:after="0"/>
            </w:pPr>
            <w:r/>
            <w:r>
              <w:rPr>
                <w:rFonts w:ascii="Arial" w:hAnsi="Arial" w:eastAsia="Arial"/>
                <w:b w:val="0"/>
                <w:sz w:val="16"/>
              </w:rPr>
              <w:t>residual_selection_detected</w:t>
            </w:r>
          </w:p>
        </w:tc>
      </w:tr>
      <w:tr>
        <w:trPr>
          <w:cantSplit/>
        </w:trPr>
        <w:tc>
          <w:tcPr>
            <w:tcW w:type="dxa" w:w="1694"/>
            <w:vAlign w:val="center"/>
          </w:tcPr>
          <w:p>
            <w:pPr>
              <w:spacing w:after="0"/>
            </w:pPr>
            <w:r/>
            <w:r>
              <w:rPr>
                <w:rFonts w:ascii="Arial" w:hAnsi="Arial" w:eastAsia="Arial"/>
                <w:b w:val="0"/>
                <w:sz w:val="16"/>
              </w:rPr>
              <w:t>50%</w:t>
            </w:r>
          </w:p>
        </w:tc>
        <w:tc>
          <w:tcPr>
            <w:tcW w:type="dxa" w:w="1694"/>
            <w:vAlign w:val="center"/>
          </w:tcPr>
          <w:p>
            <w:pPr>
              <w:spacing w:after="0"/>
            </w:pPr>
            <w:r/>
            <w:r>
              <w:rPr>
                <w:rFonts w:ascii="Arial" w:hAnsi="Arial" w:eastAsia="Arial"/>
                <w:b w:val="0"/>
                <w:sz w:val="16"/>
              </w:rPr>
              <w:t>11,633</w:t>
            </w:r>
          </w:p>
        </w:tc>
        <w:tc>
          <w:tcPr>
            <w:tcW w:type="dxa" w:w="1694"/>
            <w:vAlign w:val="center"/>
          </w:tcPr>
          <w:p>
            <w:pPr>
              <w:spacing w:after="0"/>
            </w:pPr>
            <w:r/>
            <w:r>
              <w:rPr>
                <w:rFonts w:ascii="Arial" w:hAnsi="Arial" w:eastAsia="Arial"/>
                <w:b w:val="0"/>
                <w:sz w:val="16"/>
              </w:rPr>
              <w:t>11,214 to 12,113</w:t>
            </w:r>
          </w:p>
        </w:tc>
        <w:tc>
          <w:tcPr>
            <w:tcW w:type="dxa" w:w="1694"/>
            <w:vAlign w:val="center"/>
          </w:tcPr>
          <w:p>
            <w:pPr>
              <w:spacing w:after="0"/>
            </w:pPr>
            <w:r/>
            <w:r>
              <w:rPr>
                <w:rFonts w:ascii="Arial" w:hAnsi="Arial" w:eastAsia="Arial"/>
                <w:b w:val="0"/>
                <w:sz w:val="16"/>
              </w:rPr>
              <w:t>1,304</w:t>
            </w:r>
          </w:p>
        </w:tc>
        <w:tc>
          <w:tcPr>
            <w:tcW w:type="dxa" w:w="1694"/>
            <w:vAlign w:val="center"/>
          </w:tcPr>
          <w:p>
            <w:pPr>
              <w:spacing w:after="0"/>
            </w:pPr>
            <w:r/>
            <w:r>
              <w:rPr>
                <w:rFonts w:ascii="Arial" w:hAnsi="Arial" w:eastAsia="Arial"/>
                <w:b w:val="0"/>
                <w:sz w:val="16"/>
              </w:rPr>
              <w:t>1,245 to 1,369</w:t>
            </w:r>
          </w:p>
        </w:tc>
        <w:tc>
          <w:tcPr>
            <w:tcW w:type="dxa" w:w="1694"/>
            <w:vAlign w:val="center"/>
          </w:tcPr>
          <w:p>
            <w:pPr>
              <w:spacing w:after="0"/>
            </w:pPr>
            <w:r/>
            <w:r>
              <w:rPr>
                <w:rFonts w:ascii="Arial" w:hAnsi="Arial" w:eastAsia="Arial"/>
                <w:b w:val="0"/>
                <w:sz w:val="16"/>
              </w:rPr>
              <w:t>residual_selection_detected</w:t>
            </w:r>
          </w:p>
        </w:tc>
      </w:tr>
      <w:tr>
        <w:trPr>
          <w:cantSplit/>
        </w:trPr>
        <w:tc>
          <w:tcPr>
            <w:tcW w:type="dxa" w:w="1694"/>
            <w:vAlign w:val="center"/>
          </w:tcPr>
          <w:p>
            <w:pPr>
              <w:spacing w:after="0"/>
            </w:pPr>
            <w:r/>
            <w:r>
              <w:rPr>
                <w:rFonts w:ascii="Arial" w:hAnsi="Arial" w:eastAsia="Arial"/>
                <w:b w:val="0"/>
                <w:sz w:val="16"/>
              </w:rPr>
              <w:t>75%</w:t>
            </w:r>
          </w:p>
        </w:tc>
        <w:tc>
          <w:tcPr>
            <w:tcW w:type="dxa" w:w="1694"/>
            <w:vAlign w:val="center"/>
          </w:tcPr>
          <w:p>
            <w:pPr>
              <w:spacing w:after="0"/>
            </w:pPr>
            <w:r/>
            <w:r>
              <w:rPr>
                <w:rFonts w:ascii="Arial" w:hAnsi="Arial" w:eastAsia="Arial"/>
                <w:b w:val="0"/>
                <w:sz w:val="16"/>
              </w:rPr>
              <w:t>17,449</w:t>
            </w:r>
          </w:p>
        </w:tc>
        <w:tc>
          <w:tcPr>
            <w:tcW w:type="dxa" w:w="1694"/>
            <w:vAlign w:val="center"/>
          </w:tcPr>
          <w:p>
            <w:pPr>
              <w:spacing w:after="0"/>
            </w:pPr>
            <w:r/>
            <w:r>
              <w:rPr>
                <w:rFonts w:ascii="Arial" w:hAnsi="Arial" w:eastAsia="Arial"/>
                <w:b w:val="0"/>
                <w:sz w:val="16"/>
              </w:rPr>
              <w:t>16,821 to 18,170</w:t>
            </w:r>
          </w:p>
        </w:tc>
        <w:tc>
          <w:tcPr>
            <w:tcW w:type="dxa" w:w="1694"/>
            <w:vAlign w:val="center"/>
          </w:tcPr>
          <w:p>
            <w:pPr>
              <w:spacing w:after="0"/>
            </w:pPr>
            <w:r/>
            <w:r>
              <w:rPr>
                <w:rFonts w:ascii="Arial" w:hAnsi="Arial" w:eastAsia="Arial"/>
                <w:b w:val="0"/>
                <w:sz w:val="16"/>
              </w:rPr>
              <w:t>1,956</w:t>
            </w:r>
          </w:p>
        </w:tc>
        <w:tc>
          <w:tcPr>
            <w:tcW w:type="dxa" w:w="1694"/>
            <w:vAlign w:val="center"/>
          </w:tcPr>
          <w:p>
            <w:pPr>
              <w:spacing w:after="0"/>
            </w:pPr>
            <w:r/>
            <w:r>
              <w:rPr>
                <w:rFonts w:ascii="Arial" w:hAnsi="Arial" w:eastAsia="Arial"/>
                <w:b w:val="0"/>
                <w:sz w:val="16"/>
              </w:rPr>
              <w:t>1,868 to 2,054</w:t>
            </w:r>
          </w:p>
        </w:tc>
        <w:tc>
          <w:tcPr>
            <w:tcW w:type="dxa" w:w="1694"/>
            <w:vAlign w:val="center"/>
          </w:tcPr>
          <w:p>
            <w:pPr>
              <w:spacing w:after="0"/>
            </w:pPr>
            <w:r/>
            <w:r>
              <w:rPr>
                <w:rFonts w:ascii="Arial" w:hAnsi="Arial" w:eastAsia="Arial"/>
                <w:b w:val="0"/>
                <w:sz w:val="16"/>
              </w:rPr>
              <w:t>residual_selection_detected</w:t>
            </w:r>
          </w:p>
        </w:tc>
      </w:tr>
      <w:tr>
        <w:trPr>
          <w:cantSplit/>
        </w:trPr>
        <w:tc>
          <w:tcPr>
            <w:tcW w:type="dxa" w:w="1694"/>
            <w:vAlign w:val="center"/>
          </w:tcPr>
          <w:p>
            <w:pPr>
              <w:spacing w:after="0"/>
            </w:pPr>
            <w:r/>
            <w:r>
              <w:rPr>
                <w:rFonts w:ascii="Arial" w:hAnsi="Arial" w:eastAsia="Arial"/>
                <w:b w:val="0"/>
                <w:sz w:val="16"/>
              </w:rPr>
              <w:t>100%</w:t>
            </w:r>
          </w:p>
        </w:tc>
        <w:tc>
          <w:tcPr>
            <w:tcW w:type="dxa" w:w="1694"/>
            <w:vAlign w:val="center"/>
          </w:tcPr>
          <w:p>
            <w:pPr>
              <w:spacing w:after="0"/>
            </w:pPr>
            <w:r/>
            <w:r>
              <w:rPr>
                <w:rFonts w:ascii="Arial" w:hAnsi="Arial" w:eastAsia="Arial"/>
                <w:b w:val="0"/>
                <w:sz w:val="16"/>
              </w:rPr>
              <w:t>23,265</w:t>
            </w:r>
          </w:p>
        </w:tc>
        <w:tc>
          <w:tcPr>
            <w:tcW w:type="dxa" w:w="1694"/>
            <w:vAlign w:val="center"/>
          </w:tcPr>
          <w:p>
            <w:pPr>
              <w:spacing w:after="0"/>
            </w:pPr>
            <w:r/>
            <w:r>
              <w:rPr>
                <w:rFonts w:ascii="Arial" w:hAnsi="Arial" w:eastAsia="Arial"/>
                <w:b w:val="0"/>
                <w:sz w:val="16"/>
              </w:rPr>
              <w:t>22,428 to 24,227</w:t>
            </w:r>
          </w:p>
        </w:tc>
        <w:tc>
          <w:tcPr>
            <w:tcW w:type="dxa" w:w="1694"/>
            <w:vAlign w:val="center"/>
          </w:tcPr>
          <w:p>
            <w:pPr>
              <w:spacing w:after="0"/>
            </w:pPr>
            <w:r/>
            <w:r>
              <w:rPr>
                <w:rFonts w:ascii="Arial" w:hAnsi="Arial" w:eastAsia="Arial"/>
                <w:b w:val="0"/>
                <w:sz w:val="16"/>
              </w:rPr>
              <w:t>2,608</w:t>
            </w:r>
          </w:p>
        </w:tc>
        <w:tc>
          <w:tcPr>
            <w:tcW w:type="dxa" w:w="1694"/>
            <w:vAlign w:val="center"/>
          </w:tcPr>
          <w:p>
            <w:pPr>
              <w:spacing w:after="0"/>
            </w:pPr>
            <w:r/>
            <w:r>
              <w:rPr>
                <w:rFonts w:ascii="Arial" w:hAnsi="Arial" w:eastAsia="Arial"/>
                <w:b w:val="0"/>
                <w:sz w:val="16"/>
              </w:rPr>
              <w:t>2,490 to 2,739</w:t>
            </w:r>
          </w:p>
        </w:tc>
        <w:tc>
          <w:tcPr>
            <w:tcW w:type="dxa" w:w="1694"/>
            <w:vAlign w:val="center"/>
          </w:tcPr>
          <w:p>
            <w:pPr>
              <w:spacing w:after="0"/>
            </w:pPr>
            <w:r/>
            <w:r>
              <w:rPr>
                <w:rFonts w:ascii="Arial" w:hAnsi="Arial" w:eastAsia="Arial"/>
                <w:b w:val="0"/>
                <w:sz w:val="16"/>
              </w:rPr>
              <w:t>residual_selection_detected</w:t>
            </w:r>
          </w:p>
        </w:tc>
      </w:tr>
    </w:tbl>
    <w:p/>
    <w:p>
      <w:pPr>
        <w:pStyle w:val="Heading2"/>
      </w:pPr>
      <w:r>
        <w:t>Brazil road and network quality assurance</w:t>
      </w:r>
    </w:p>
    <w:p>
      <w:pPr>
        <w:spacing w:after="60"/>
      </w:pPr>
      <w:r>
        <w:rPr>
          <w:b/>
        </w:rPr>
        <w:t>Supplementary Table S12A | Brazil 2018-2022 admission-level treatment-pathway gate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rPr>
        <w:tc>
          <w:tcPr>
            <w:tcW w:type="dxa" w:w="2033"/>
            <w:vAlign w:val="center"/>
            <w:shd w:fill="D9EAF7"/>
          </w:tcPr>
          <w:p>
            <w:pPr>
              <w:spacing w:after="0"/>
            </w:pPr>
            <w:r/>
            <w:r>
              <w:rPr>
                <w:rFonts w:ascii="Arial" w:hAnsi="Arial" w:eastAsia="Arial"/>
                <w:b/>
                <w:sz w:val="16"/>
              </w:rPr>
              <w:t>Cohort</w:t>
            </w:r>
          </w:p>
        </w:tc>
        <w:tc>
          <w:tcPr>
            <w:tcW w:type="dxa" w:w="2033"/>
            <w:vAlign w:val="center"/>
            <w:shd w:fill="D9EAF7"/>
          </w:tcPr>
          <w:p>
            <w:pPr>
              <w:spacing w:after="0"/>
            </w:pPr>
            <w:r/>
            <w:r>
              <w:rPr>
                <w:rFonts w:ascii="Arial" w:hAnsi="Arial" w:eastAsia="Arial"/>
                <w:b/>
                <w:sz w:val="16"/>
              </w:rPr>
              <w:t>Admission records</w:t>
            </w:r>
          </w:p>
        </w:tc>
        <w:tc>
          <w:tcPr>
            <w:tcW w:type="dxa" w:w="2033"/>
            <w:vAlign w:val="center"/>
            <w:shd w:fill="D9EAF7"/>
          </w:tcPr>
          <w:p>
            <w:pPr>
              <w:spacing w:after="0"/>
            </w:pPr>
            <w:r/>
            <w:r>
              <w:rPr>
                <w:rFonts w:ascii="Arial" w:hAnsi="Arial" w:eastAsia="Arial"/>
                <w:b/>
                <w:sz w:val="16"/>
              </w:rPr>
              <w:t>Primary completion records</w:t>
            </w:r>
          </w:p>
        </w:tc>
        <w:tc>
          <w:tcPr>
            <w:tcW w:type="dxa" w:w="2033"/>
            <w:vAlign w:val="center"/>
            <w:shd w:fill="D9EAF7"/>
          </w:tcPr>
          <w:p>
            <w:pPr>
              <w:spacing w:after="0"/>
            </w:pPr>
            <w:r/>
            <w:r>
              <w:rPr>
                <w:rFonts w:ascii="Arial" w:hAnsi="Arial" w:eastAsia="Arial"/>
                <w:b/>
                <w:sz w:val="16"/>
              </w:rPr>
              <w:t>Primary completion</w:t>
            </w:r>
          </w:p>
        </w:tc>
        <w:tc>
          <w:tcPr>
            <w:tcW w:type="dxa" w:w="2033"/>
            <w:vAlign w:val="center"/>
            <w:shd w:fill="D9EAF7"/>
          </w:tcPr>
          <w:p>
            <w:pPr>
              <w:spacing w:after="0"/>
            </w:pPr>
            <w:r/>
            <w:r>
              <w:rPr>
                <w:rFonts w:ascii="Arial" w:hAnsi="Arial" w:eastAsia="Arial"/>
                <w:b/>
                <w:sz w:val="16"/>
              </w:rPr>
              <w:t>Narrow completion</w:t>
            </w:r>
          </w:p>
        </w:tc>
      </w:tr>
      <w:tr>
        <w:trPr>
          <w:cantSplit/>
        </w:trPr>
        <w:tc>
          <w:tcPr>
            <w:tcW w:type="dxa" w:w="2033"/>
            <w:vAlign w:val="center"/>
          </w:tcPr>
          <w:p>
            <w:pPr>
              <w:spacing w:after="0"/>
            </w:pPr>
            <w:r/>
            <w:r>
              <w:rPr>
                <w:rFonts w:ascii="Arial" w:hAnsi="Arial" w:eastAsia="Arial"/>
                <w:b w:val="0"/>
                <w:sz w:val="16"/>
              </w:rPr>
              <w:t>Acute cholecystitis</w:t>
            </w:r>
          </w:p>
        </w:tc>
        <w:tc>
          <w:tcPr>
            <w:tcW w:type="dxa" w:w="2033"/>
            <w:vAlign w:val="center"/>
          </w:tcPr>
          <w:p>
            <w:pPr>
              <w:spacing w:after="0"/>
            </w:pPr>
            <w:r/>
            <w:r>
              <w:rPr>
                <w:rFonts w:ascii="Arial" w:hAnsi="Arial" w:eastAsia="Arial"/>
                <w:b w:val="0"/>
                <w:sz w:val="16"/>
              </w:rPr>
              <w:t>403,476</w:t>
            </w:r>
          </w:p>
        </w:tc>
        <w:tc>
          <w:tcPr>
            <w:tcW w:type="dxa" w:w="2033"/>
            <w:vAlign w:val="center"/>
          </w:tcPr>
          <w:p>
            <w:pPr>
              <w:spacing w:after="0"/>
            </w:pPr>
            <w:r/>
            <w:r>
              <w:rPr>
                <w:rFonts w:ascii="Arial" w:hAnsi="Arial" w:eastAsia="Arial"/>
                <w:b w:val="0"/>
                <w:sz w:val="16"/>
              </w:rPr>
              <w:t>279,525</w:t>
            </w:r>
          </w:p>
        </w:tc>
        <w:tc>
          <w:tcPr>
            <w:tcW w:type="dxa" w:w="2033"/>
            <w:vAlign w:val="center"/>
          </w:tcPr>
          <w:p>
            <w:pPr>
              <w:spacing w:after="0"/>
            </w:pPr>
            <w:r/>
            <w:r>
              <w:rPr>
                <w:rFonts w:ascii="Arial" w:hAnsi="Arial" w:eastAsia="Arial"/>
                <w:b w:val="0"/>
                <w:sz w:val="16"/>
              </w:rPr>
              <w:t>69.279%</w:t>
            </w:r>
          </w:p>
        </w:tc>
        <w:tc>
          <w:tcPr>
            <w:tcW w:type="dxa" w:w="2033"/>
            <w:vAlign w:val="center"/>
          </w:tcPr>
          <w:p>
            <w:pPr>
              <w:spacing w:after="0"/>
            </w:pPr>
            <w:r/>
            <w:r>
              <w:rPr>
                <w:rFonts w:ascii="Arial" w:hAnsi="Arial" w:eastAsia="Arial"/>
                <w:b w:val="0"/>
                <w:sz w:val="16"/>
              </w:rPr>
              <w:t>69.279%</w:t>
            </w:r>
          </w:p>
        </w:tc>
      </w:tr>
      <w:tr>
        <w:trPr>
          <w:cantSplit/>
        </w:trPr>
        <w:tc>
          <w:tcPr>
            <w:tcW w:type="dxa" w:w="2033"/>
            <w:vAlign w:val="center"/>
          </w:tcPr>
          <w:p>
            <w:pPr>
              <w:spacing w:after="0"/>
            </w:pPr>
            <w:r/>
            <w:r>
              <w:rPr>
                <w:rFonts w:ascii="Arial" w:hAnsi="Arial" w:eastAsia="Arial"/>
                <w:b w:val="0"/>
                <w:sz w:val="16"/>
              </w:rPr>
              <w:t>Choledocholithiasis</w:t>
            </w:r>
          </w:p>
        </w:tc>
        <w:tc>
          <w:tcPr>
            <w:tcW w:type="dxa" w:w="2033"/>
            <w:vAlign w:val="center"/>
          </w:tcPr>
          <w:p>
            <w:pPr>
              <w:spacing w:after="0"/>
            </w:pPr>
            <w:r/>
            <w:r>
              <w:rPr>
                <w:rFonts w:ascii="Arial" w:hAnsi="Arial" w:eastAsia="Arial"/>
                <w:b w:val="0"/>
                <w:sz w:val="16"/>
              </w:rPr>
              <w:t>61,823</w:t>
            </w:r>
          </w:p>
        </w:tc>
        <w:tc>
          <w:tcPr>
            <w:tcW w:type="dxa" w:w="2033"/>
            <w:vAlign w:val="center"/>
          </w:tcPr>
          <w:p>
            <w:pPr>
              <w:spacing w:after="0"/>
            </w:pPr>
            <w:r/>
            <w:r>
              <w:rPr>
                <w:rFonts w:ascii="Arial" w:hAnsi="Arial" w:eastAsia="Arial"/>
                <w:b w:val="0"/>
                <w:sz w:val="16"/>
              </w:rPr>
              <w:t>7,974</w:t>
            </w:r>
          </w:p>
        </w:tc>
        <w:tc>
          <w:tcPr>
            <w:tcW w:type="dxa" w:w="2033"/>
            <w:vAlign w:val="center"/>
          </w:tcPr>
          <w:p>
            <w:pPr>
              <w:spacing w:after="0"/>
            </w:pPr>
            <w:r/>
            <w:r>
              <w:rPr>
                <w:rFonts w:ascii="Arial" w:hAnsi="Arial" w:eastAsia="Arial"/>
                <w:b w:val="0"/>
                <w:sz w:val="16"/>
              </w:rPr>
              <w:t>12.898%</w:t>
            </w:r>
          </w:p>
        </w:tc>
        <w:tc>
          <w:tcPr>
            <w:tcW w:type="dxa" w:w="2033"/>
            <w:vAlign w:val="center"/>
          </w:tcPr>
          <w:p>
            <w:pPr>
              <w:spacing w:after="0"/>
            </w:pPr>
            <w:r/>
            <w:r>
              <w:rPr>
                <w:rFonts w:ascii="Arial" w:hAnsi="Arial" w:eastAsia="Arial"/>
                <w:b w:val="0"/>
                <w:sz w:val="16"/>
              </w:rPr>
              <w:t>0.000%</w:t>
            </w:r>
          </w:p>
        </w:tc>
      </w:tr>
    </w:tbl>
    <w:p/>
    <w:p>
      <w:pPr>
        <w:spacing w:line="259" w:lineRule="auto"/>
      </w:pPr>
      <w:r>
        <w:t>Road routing used OSRM driving routes between official IBGE 2022 municipality centroids. Of 18,149 external pairs, 18,107 routed successfully; 42 lacked a route and 343 were flagged for plausibility review. IBGE population and GDP data covered 5,570 municipalities. The route metric is not individual travel time.</w:t>
      </w:r>
    </w:p>
    <w:p>
      <w:pPr>
        <w:spacing w:after="60"/>
      </w:pPr>
      <w:r>
        <w:rPr>
          <w:b/>
        </w:rPr>
        <w:t>Supplementary Table S12 | Brazil IBGE and road-routing quality checks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D9EAF7"/>
          </w:tcPr>
          <w:p>
            <w:pPr>
              <w:spacing w:after="0"/>
            </w:pPr>
            <w:r/>
            <w:r>
              <w:rPr>
                <w:rFonts w:ascii="Arial" w:hAnsi="Arial" w:eastAsia="Arial"/>
                <w:b/>
                <w:sz w:val="16"/>
              </w:rPr>
              <w:t>Metric</w:t>
            </w:r>
          </w:p>
        </w:tc>
        <w:tc>
          <w:tcPr>
            <w:tcW w:type="dxa" w:w="5083"/>
            <w:vAlign w:val="center"/>
            <w:shd w:fill="D9EAF7"/>
          </w:tcPr>
          <w:p>
            <w:pPr>
              <w:spacing w:after="0"/>
            </w:pPr>
            <w:r/>
            <w:r>
              <w:rPr>
                <w:rFonts w:ascii="Arial" w:hAnsi="Arial" w:eastAsia="Arial"/>
                <w:b/>
                <w:sz w:val="16"/>
              </w:rPr>
              <w:t>Count or value</w:t>
            </w:r>
          </w:p>
        </w:tc>
      </w:tr>
      <w:tr>
        <w:trPr>
          <w:cantSplit/>
        </w:trPr>
        <w:tc>
          <w:tcPr>
            <w:tcW w:type="dxa" w:w="5083"/>
            <w:vAlign w:val="center"/>
          </w:tcPr>
          <w:p>
            <w:pPr>
              <w:spacing w:after="0"/>
            </w:pPr>
            <w:r/>
            <w:r>
              <w:rPr>
                <w:rFonts w:ascii="Arial" w:hAnsi="Arial" w:eastAsia="Arial"/>
                <w:b w:val="0"/>
                <w:sz w:val="16"/>
              </w:rPr>
              <w:t>All municipality pairs</w:t>
            </w:r>
          </w:p>
        </w:tc>
        <w:tc>
          <w:tcPr>
            <w:tcW w:type="dxa" w:w="5083"/>
            <w:vAlign w:val="center"/>
          </w:tcPr>
          <w:p>
            <w:pPr>
              <w:spacing w:after="0"/>
            </w:pPr>
            <w:r/>
            <w:r>
              <w:rPr>
                <w:rFonts w:ascii="Arial" w:hAnsi="Arial" w:eastAsia="Arial"/>
                <w:b w:val="0"/>
                <w:sz w:val="16"/>
              </w:rPr>
              <w:t>20,941</w:t>
            </w:r>
          </w:p>
        </w:tc>
      </w:tr>
      <w:tr>
        <w:trPr>
          <w:cantSplit/>
        </w:trPr>
        <w:tc>
          <w:tcPr>
            <w:tcW w:type="dxa" w:w="5083"/>
            <w:vAlign w:val="center"/>
          </w:tcPr>
          <w:p>
            <w:pPr>
              <w:spacing w:after="0"/>
            </w:pPr>
            <w:r/>
            <w:r>
              <w:rPr>
                <w:rFonts w:ascii="Arial" w:hAnsi="Arial" w:eastAsia="Arial"/>
                <w:b w:val="0"/>
                <w:sz w:val="16"/>
              </w:rPr>
              <w:t>Same-municipality pairs</w:t>
            </w:r>
          </w:p>
        </w:tc>
        <w:tc>
          <w:tcPr>
            <w:tcW w:type="dxa" w:w="5083"/>
            <w:vAlign w:val="center"/>
          </w:tcPr>
          <w:p>
            <w:pPr>
              <w:spacing w:after="0"/>
            </w:pPr>
            <w:r/>
            <w:r>
              <w:rPr>
                <w:rFonts w:ascii="Arial" w:hAnsi="Arial" w:eastAsia="Arial"/>
                <w:b w:val="0"/>
                <w:sz w:val="16"/>
              </w:rPr>
              <w:t>2,792</w:t>
            </w:r>
          </w:p>
        </w:tc>
      </w:tr>
      <w:tr>
        <w:trPr>
          <w:cantSplit/>
        </w:trPr>
        <w:tc>
          <w:tcPr>
            <w:tcW w:type="dxa" w:w="5083"/>
            <w:vAlign w:val="center"/>
          </w:tcPr>
          <w:p>
            <w:pPr>
              <w:spacing w:after="0"/>
            </w:pPr>
            <w:r/>
            <w:r>
              <w:rPr>
                <w:rFonts w:ascii="Arial" w:hAnsi="Arial" w:eastAsia="Arial"/>
                <w:b w:val="0"/>
                <w:sz w:val="16"/>
              </w:rPr>
              <w:t>External pairs</w:t>
            </w:r>
          </w:p>
        </w:tc>
        <w:tc>
          <w:tcPr>
            <w:tcW w:type="dxa" w:w="5083"/>
            <w:vAlign w:val="center"/>
          </w:tcPr>
          <w:p>
            <w:pPr>
              <w:spacing w:after="0"/>
            </w:pPr>
            <w:r/>
            <w:r>
              <w:rPr>
                <w:rFonts w:ascii="Arial" w:hAnsi="Arial" w:eastAsia="Arial"/>
                <w:b w:val="0"/>
                <w:sz w:val="16"/>
              </w:rPr>
              <w:t>18,149</w:t>
            </w:r>
          </w:p>
        </w:tc>
      </w:tr>
      <w:tr>
        <w:trPr>
          <w:cantSplit/>
        </w:trPr>
        <w:tc>
          <w:tcPr>
            <w:tcW w:type="dxa" w:w="5083"/>
            <w:vAlign w:val="center"/>
          </w:tcPr>
          <w:p>
            <w:pPr>
              <w:spacing w:after="0"/>
            </w:pPr>
            <w:r/>
            <w:r>
              <w:rPr>
                <w:rFonts w:ascii="Arial" w:hAnsi="Arial" w:eastAsia="Arial"/>
                <w:b w:val="0"/>
                <w:sz w:val="16"/>
              </w:rPr>
              <w:t>External routes completed</w:t>
            </w:r>
          </w:p>
        </w:tc>
        <w:tc>
          <w:tcPr>
            <w:tcW w:type="dxa" w:w="5083"/>
            <w:vAlign w:val="center"/>
          </w:tcPr>
          <w:p>
            <w:pPr>
              <w:spacing w:after="0"/>
            </w:pPr>
            <w:r/>
            <w:r>
              <w:rPr>
                <w:rFonts w:ascii="Arial" w:hAnsi="Arial" w:eastAsia="Arial"/>
                <w:b w:val="0"/>
                <w:sz w:val="16"/>
              </w:rPr>
              <w:t>18,107</w:t>
            </w:r>
          </w:p>
        </w:tc>
      </w:tr>
      <w:tr>
        <w:trPr>
          <w:cantSplit/>
        </w:trPr>
        <w:tc>
          <w:tcPr>
            <w:tcW w:type="dxa" w:w="5083"/>
            <w:vAlign w:val="center"/>
          </w:tcPr>
          <w:p>
            <w:pPr>
              <w:spacing w:after="0"/>
            </w:pPr>
            <w:r/>
            <w:r>
              <w:rPr>
                <w:rFonts w:ascii="Arial" w:hAnsi="Arial" w:eastAsia="Arial"/>
                <w:b w:val="0"/>
                <w:sz w:val="16"/>
              </w:rPr>
              <w:t>External routes missing</w:t>
            </w:r>
          </w:p>
        </w:tc>
        <w:tc>
          <w:tcPr>
            <w:tcW w:type="dxa" w:w="5083"/>
            <w:vAlign w:val="center"/>
          </w:tcPr>
          <w:p>
            <w:pPr>
              <w:spacing w:after="0"/>
            </w:pPr>
            <w:r/>
            <w:r>
              <w:rPr>
                <w:rFonts w:ascii="Arial" w:hAnsi="Arial" w:eastAsia="Arial"/>
                <w:b w:val="0"/>
                <w:sz w:val="16"/>
              </w:rPr>
              <w:t>42</w:t>
            </w:r>
          </w:p>
        </w:tc>
      </w:tr>
      <w:tr>
        <w:trPr>
          <w:cantSplit/>
        </w:trPr>
        <w:tc>
          <w:tcPr>
            <w:tcW w:type="dxa" w:w="5083"/>
            <w:vAlign w:val="center"/>
          </w:tcPr>
          <w:p>
            <w:pPr>
              <w:spacing w:after="0"/>
            </w:pPr>
            <w:r/>
            <w:r>
              <w:rPr>
                <w:rFonts w:ascii="Arial" w:hAnsi="Arial" w:eastAsia="Arial"/>
                <w:b w:val="0"/>
                <w:sz w:val="16"/>
              </w:rPr>
              <w:t>Plausibility flags</w:t>
            </w:r>
          </w:p>
        </w:tc>
        <w:tc>
          <w:tcPr>
            <w:tcW w:type="dxa" w:w="5083"/>
            <w:vAlign w:val="center"/>
          </w:tcPr>
          <w:p>
            <w:pPr>
              <w:spacing w:after="0"/>
            </w:pPr>
            <w:r/>
            <w:r>
              <w:rPr>
                <w:rFonts w:ascii="Arial" w:hAnsi="Arial" w:eastAsia="Arial"/>
                <w:b w:val="0"/>
                <w:sz w:val="16"/>
              </w:rPr>
              <w:t>343</w:t>
            </w:r>
          </w:p>
        </w:tc>
      </w:tr>
      <w:tr>
        <w:trPr>
          <w:cantSplit/>
        </w:trPr>
        <w:tc>
          <w:tcPr>
            <w:tcW w:type="dxa" w:w="5083"/>
            <w:vAlign w:val="center"/>
          </w:tcPr>
          <w:p>
            <w:pPr>
              <w:spacing w:after="0"/>
            </w:pPr>
            <w:r/>
            <w:r>
              <w:rPr>
                <w:rFonts w:ascii="Arial" w:hAnsi="Arial" w:eastAsia="Arial"/>
                <w:b w:val="0"/>
                <w:sz w:val="16"/>
              </w:rPr>
              <w:t>Median external route</w:t>
            </w:r>
          </w:p>
        </w:tc>
        <w:tc>
          <w:tcPr>
            <w:tcW w:type="dxa" w:w="5083"/>
            <w:vAlign w:val="center"/>
          </w:tcPr>
          <w:p>
            <w:pPr>
              <w:spacing w:after="0"/>
            </w:pPr>
            <w:r/>
            <w:r>
              <w:rPr>
                <w:rFonts w:ascii="Arial" w:hAnsi="Arial" w:eastAsia="Arial"/>
                <w:b w:val="0"/>
                <w:sz w:val="16"/>
              </w:rPr>
              <w:t>109.4 min</w:t>
            </w:r>
          </w:p>
        </w:tc>
      </w:tr>
      <w:tr>
        <w:trPr>
          <w:cantSplit/>
        </w:trPr>
        <w:tc>
          <w:tcPr>
            <w:tcW w:type="dxa" w:w="5083"/>
            <w:vAlign w:val="center"/>
          </w:tcPr>
          <w:p>
            <w:pPr>
              <w:spacing w:after="0"/>
            </w:pPr>
            <w:r/>
            <w:r>
              <w:rPr>
                <w:rFonts w:ascii="Arial" w:hAnsi="Arial" w:eastAsia="Arial"/>
                <w:b w:val="0"/>
                <w:sz w:val="16"/>
              </w:rPr>
              <w:t>IBGE population/GDP coverage</w:t>
            </w:r>
          </w:p>
        </w:tc>
        <w:tc>
          <w:tcPr>
            <w:tcW w:type="dxa" w:w="5083"/>
            <w:vAlign w:val="center"/>
          </w:tcPr>
          <w:p>
            <w:pPr>
              <w:spacing w:after="0"/>
            </w:pPr>
            <w:r/>
            <w:r>
              <w:rPr>
                <w:rFonts w:ascii="Arial" w:hAnsi="Arial" w:eastAsia="Arial"/>
                <w:b w:val="0"/>
                <w:sz w:val="16"/>
              </w:rPr>
              <w:t>5,570</w:t>
            </w:r>
          </w:p>
        </w:tc>
      </w:tr>
    </w:tbl>
    <w:p/>
    <w:p>
      <w:pPr>
        <w:spacing w:after="60"/>
      </w:pPr>
      <w:r>
        <w:rPr>
          <w:b/>
        </w:rPr>
        <w:t>Supplementary Table S13 | Brazil geographic-equity contrasts</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vAlign w:val="center"/>
            <w:shd w:fill="D9EAF7"/>
          </w:tcPr>
          <w:p>
            <w:pPr>
              <w:spacing w:after="0"/>
            </w:pPr>
            <w:r/>
            <w:r>
              <w:rPr>
                <w:rFonts w:ascii="Arial" w:hAnsi="Arial" w:eastAsia="Arial"/>
                <w:b/>
                <w:sz w:val="16"/>
              </w:rPr>
              <w:t>Cohort</w:t>
            </w:r>
          </w:p>
        </w:tc>
        <w:tc>
          <w:tcPr>
            <w:tcW w:type="dxa" w:w="2541"/>
            <w:vAlign w:val="center"/>
            <w:shd w:fill="D9EAF7"/>
          </w:tcPr>
          <w:p>
            <w:pPr>
              <w:spacing w:after="0"/>
            </w:pPr>
            <w:r/>
            <w:r>
              <w:rPr>
                <w:rFonts w:ascii="Arial" w:hAnsi="Arial" w:eastAsia="Arial"/>
                <w:b/>
                <w:sz w:val="16"/>
              </w:rPr>
              <w:t>Standardized geographic contrast</w:t>
            </w:r>
          </w:p>
        </w:tc>
        <w:tc>
          <w:tcPr>
            <w:tcW w:type="dxa" w:w="2541"/>
            <w:vAlign w:val="center"/>
            <w:shd w:fill="D9EAF7"/>
          </w:tcPr>
          <w:p>
            <w:pPr>
              <w:spacing w:after="0"/>
            </w:pPr>
            <w:r/>
            <w:r>
              <w:rPr>
                <w:rFonts w:ascii="Arial" w:hAnsi="Arial" w:eastAsia="Arial"/>
                <w:b/>
                <w:sz w:val="16"/>
              </w:rPr>
              <w:t>Difference</w:t>
            </w:r>
          </w:p>
        </w:tc>
        <w:tc>
          <w:tcPr>
            <w:tcW w:type="dxa" w:w="2541"/>
            <w:vAlign w:val="center"/>
            <w:shd w:fill="D9EAF7"/>
          </w:tcPr>
          <w:p>
            <w:pPr>
              <w:spacing w:after="0"/>
            </w:pPr>
            <w:r/>
            <w:r>
              <w:rPr>
                <w:rFonts w:ascii="Arial" w:hAnsi="Arial" w:eastAsia="Arial"/>
                <w:b/>
                <w:sz w:val="16"/>
              </w:rPr>
              <w:t>95% interval</w:t>
            </w:r>
          </w:p>
        </w:tc>
      </w:tr>
      <w:tr>
        <w:trPr>
          <w:cantSplit/>
        </w:trPr>
        <w:tc>
          <w:tcPr>
            <w:tcW w:type="dxa" w:w="2541"/>
            <w:vAlign w:val="center"/>
          </w:tcPr>
          <w:p>
            <w:pPr>
              <w:spacing w:after="0"/>
            </w:pPr>
            <w:r/>
            <w:r>
              <w:rPr>
                <w:rFonts w:ascii="Arial" w:hAnsi="Arial" w:eastAsia="Arial"/>
                <w:b w:val="0"/>
                <w:sz w:val="16"/>
              </w:rPr>
              <w:t>Acute cholecystitis</w:t>
            </w:r>
          </w:p>
        </w:tc>
        <w:tc>
          <w:tcPr>
            <w:tcW w:type="dxa" w:w="2541"/>
            <w:vAlign w:val="center"/>
          </w:tcPr>
          <w:p>
            <w:pPr>
              <w:spacing w:after="0"/>
            </w:pPr>
            <w:r/>
            <w:r>
              <w:rPr>
                <w:rFonts w:ascii="Arial" w:hAnsi="Arial" w:eastAsia="Arial"/>
                <w:b w:val="0"/>
                <w:sz w:val="16"/>
              </w:rPr>
              <w:t>GDP_per_capita_Q4_vs_Q1</w:t>
            </w:r>
          </w:p>
        </w:tc>
        <w:tc>
          <w:tcPr>
            <w:tcW w:type="dxa" w:w="2541"/>
            <w:vAlign w:val="center"/>
          </w:tcPr>
          <w:p>
            <w:pPr>
              <w:spacing w:after="0"/>
            </w:pPr>
            <w:r/>
            <w:r>
              <w:rPr>
                <w:rFonts w:ascii="Arial" w:hAnsi="Arial" w:eastAsia="Arial"/>
                <w:b w:val="0"/>
                <w:sz w:val="16"/>
              </w:rPr>
              <w:t>+0.275 percentage points</w:t>
            </w:r>
          </w:p>
        </w:tc>
        <w:tc>
          <w:tcPr>
            <w:tcW w:type="dxa" w:w="2541"/>
            <w:vAlign w:val="center"/>
          </w:tcPr>
          <w:p>
            <w:pPr>
              <w:spacing w:after="0"/>
            </w:pPr>
            <w:r/>
            <w:r>
              <w:rPr>
                <w:rFonts w:ascii="Arial" w:hAnsi="Arial" w:eastAsia="Arial"/>
                <w:b w:val="0"/>
                <w:sz w:val="16"/>
              </w:rPr>
              <w:t>-0.058 percentage points to +0.608 percentage points</w:t>
            </w:r>
          </w:p>
        </w:tc>
      </w:tr>
      <w:tr>
        <w:trPr>
          <w:cantSplit/>
        </w:trPr>
        <w:tc>
          <w:tcPr>
            <w:tcW w:type="dxa" w:w="2541"/>
            <w:vAlign w:val="center"/>
          </w:tcPr>
          <w:p>
            <w:pPr>
              <w:spacing w:after="0"/>
            </w:pPr>
            <w:r/>
            <w:r>
              <w:rPr>
                <w:rFonts w:ascii="Arial" w:hAnsi="Arial" w:eastAsia="Arial"/>
                <w:b w:val="0"/>
                <w:sz w:val="16"/>
              </w:rPr>
              <w:t>Acute cholecystitis</w:t>
            </w:r>
          </w:p>
        </w:tc>
        <w:tc>
          <w:tcPr>
            <w:tcW w:type="dxa" w:w="2541"/>
            <w:vAlign w:val="center"/>
          </w:tcPr>
          <w:p>
            <w:pPr>
              <w:spacing w:after="0"/>
            </w:pPr>
            <w:r/>
            <w:r>
              <w:rPr>
                <w:rFonts w:ascii="Arial" w:hAnsi="Arial" w:eastAsia="Arial"/>
                <w:b w:val="0"/>
                <w:sz w:val="16"/>
              </w:rPr>
              <w:t>population_Q4_vs_Q1</w:t>
            </w:r>
          </w:p>
        </w:tc>
        <w:tc>
          <w:tcPr>
            <w:tcW w:type="dxa" w:w="2541"/>
            <w:vAlign w:val="center"/>
          </w:tcPr>
          <w:p>
            <w:pPr>
              <w:spacing w:after="0"/>
            </w:pPr>
            <w:r/>
            <w:r>
              <w:rPr>
                <w:rFonts w:ascii="Arial" w:hAnsi="Arial" w:eastAsia="Arial"/>
                <w:b w:val="0"/>
                <w:sz w:val="16"/>
              </w:rPr>
              <w:t>-0.288 percentage points</w:t>
            </w:r>
          </w:p>
        </w:tc>
        <w:tc>
          <w:tcPr>
            <w:tcW w:type="dxa" w:w="2541"/>
            <w:vAlign w:val="center"/>
          </w:tcPr>
          <w:p>
            <w:pPr>
              <w:spacing w:after="0"/>
            </w:pPr>
            <w:r/>
            <w:r>
              <w:rPr>
                <w:rFonts w:ascii="Arial" w:hAnsi="Arial" w:eastAsia="Arial"/>
                <w:b w:val="0"/>
                <w:sz w:val="16"/>
              </w:rPr>
              <w:t>-0.561 percentage points to -0.015 percentage points</w:t>
            </w:r>
          </w:p>
        </w:tc>
      </w:tr>
      <w:tr>
        <w:trPr>
          <w:cantSplit/>
        </w:trPr>
        <w:tc>
          <w:tcPr>
            <w:tcW w:type="dxa" w:w="2541"/>
            <w:vAlign w:val="center"/>
          </w:tcPr>
          <w:p>
            <w:pPr>
              <w:spacing w:after="0"/>
            </w:pPr>
            <w:r/>
            <w:r>
              <w:rPr>
                <w:rFonts w:ascii="Arial" w:hAnsi="Arial" w:eastAsia="Arial"/>
                <w:b w:val="0"/>
                <w:sz w:val="16"/>
              </w:rPr>
              <w:t>Acute cholecystitis</w:t>
            </w:r>
          </w:p>
        </w:tc>
        <w:tc>
          <w:tcPr>
            <w:tcW w:type="dxa" w:w="2541"/>
            <w:vAlign w:val="center"/>
          </w:tcPr>
          <w:p>
            <w:pPr>
              <w:spacing w:after="0"/>
            </w:pPr>
            <w:r/>
            <w:r>
              <w:rPr>
                <w:rFonts w:ascii="Arial" w:hAnsi="Arial" w:eastAsia="Arial"/>
                <w:b w:val="0"/>
                <w:sz w:val="16"/>
              </w:rPr>
              <w:t>road_time_gt240_vs_le60_minutes</w:t>
            </w:r>
          </w:p>
        </w:tc>
        <w:tc>
          <w:tcPr>
            <w:tcW w:type="dxa" w:w="2541"/>
            <w:vAlign w:val="center"/>
          </w:tcPr>
          <w:p>
            <w:pPr>
              <w:spacing w:after="0"/>
            </w:pPr>
            <w:r/>
            <w:r>
              <w:rPr>
                <w:rFonts w:ascii="Arial" w:hAnsi="Arial" w:eastAsia="Arial"/>
                <w:b w:val="0"/>
                <w:sz w:val="16"/>
              </w:rPr>
              <w:t>-0.346 percentage points</w:t>
            </w:r>
          </w:p>
        </w:tc>
        <w:tc>
          <w:tcPr>
            <w:tcW w:type="dxa" w:w="2541"/>
            <w:vAlign w:val="center"/>
          </w:tcPr>
          <w:p>
            <w:pPr>
              <w:spacing w:after="0"/>
            </w:pPr>
            <w:r/>
            <w:r>
              <w:rPr>
                <w:rFonts w:ascii="Arial" w:hAnsi="Arial" w:eastAsia="Arial"/>
                <w:b w:val="0"/>
                <w:sz w:val="16"/>
              </w:rPr>
              <w:t>-0.792 percentage points to +0.101 percentage points</w:t>
            </w:r>
          </w:p>
        </w:tc>
      </w:tr>
      <w:tr>
        <w:trPr>
          <w:cantSplit/>
        </w:trPr>
        <w:tc>
          <w:tcPr>
            <w:tcW w:type="dxa" w:w="2541"/>
            <w:vAlign w:val="center"/>
          </w:tcPr>
          <w:p>
            <w:pPr>
              <w:spacing w:after="0"/>
            </w:pPr>
            <w:r/>
            <w:r>
              <w:rPr>
                <w:rFonts w:ascii="Arial" w:hAnsi="Arial" w:eastAsia="Arial"/>
                <w:b w:val="0"/>
                <w:sz w:val="16"/>
              </w:rPr>
              <w:t>Acute cholecystitis</w:t>
            </w:r>
          </w:p>
        </w:tc>
        <w:tc>
          <w:tcPr>
            <w:tcW w:type="dxa" w:w="2541"/>
            <w:vAlign w:val="center"/>
          </w:tcPr>
          <w:p>
            <w:pPr>
              <w:spacing w:after="0"/>
            </w:pPr>
            <w:r/>
            <w:r>
              <w:rPr>
                <w:rFonts w:ascii="Arial" w:hAnsi="Arial" w:eastAsia="Arial"/>
                <w:b w:val="0"/>
                <w:sz w:val="16"/>
              </w:rPr>
              <w:t>Central-West_vs_Southeast</w:t>
            </w:r>
          </w:p>
        </w:tc>
        <w:tc>
          <w:tcPr>
            <w:tcW w:type="dxa" w:w="2541"/>
            <w:vAlign w:val="center"/>
          </w:tcPr>
          <w:p>
            <w:pPr>
              <w:spacing w:after="0"/>
            </w:pPr>
            <w:r/>
            <w:r>
              <w:rPr>
                <w:rFonts w:ascii="Arial" w:hAnsi="Arial" w:eastAsia="Arial"/>
                <w:b w:val="0"/>
                <w:sz w:val="16"/>
              </w:rPr>
              <w:t>+0.550 percentage points</w:t>
            </w:r>
          </w:p>
        </w:tc>
        <w:tc>
          <w:tcPr>
            <w:tcW w:type="dxa" w:w="2541"/>
            <w:vAlign w:val="center"/>
          </w:tcPr>
          <w:p>
            <w:pPr>
              <w:spacing w:after="0"/>
            </w:pPr>
            <w:r/>
            <w:r>
              <w:rPr>
                <w:rFonts w:ascii="Arial" w:hAnsi="Arial" w:eastAsia="Arial"/>
                <w:b w:val="0"/>
                <w:sz w:val="16"/>
              </w:rPr>
              <w:t>+0.293 percentage points to +0.808 percentage points</w:t>
            </w:r>
          </w:p>
        </w:tc>
      </w:tr>
      <w:tr>
        <w:trPr>
          <w:cantSplit/>
        </w:trPr>
        <w:tc>
          <w:tcPr>
            <w:tcW w:type="dxa" w:w="2541"/>
            <w:vAlign w:val="center"/>
          </w:tcPr>
          <w:p>
            <w:pPr>
              <w:spacing w:after="0"/>
            </w:pPr>
            <w:r/>
            <w:r>
              <w:rPr>
                <w:rFonts w:ascii="Arial" w:hAnsi="Arial" w:eastAsia="Arial"/>
                <w:b w:val="0"/>
                <w:sz w:val="16"/>
              </w:rPr>
              <w:t>Acute cholecystitis</w:t>
            </w:r>
          </w:p>
        </w:tc>
        <w:tc>
          <w:tcPr>
            <w:tcW w:type="dxa" w:w="2541"/>
            <w:vAlign w:val="center"/>
          </w:tcPr>
          <w:p>
            <w:pPr>
              <w:spacing w:after="0"/>
            </w:pPr>
            <w:r/>
            <w:r>
              <w:rPr>
                <w:rFonts w:ascii="Arial" w:hAnsi="Arial" w:eastAsia="Arial"/>
                <w:b w:val="0"/>
                <w:sz w:val="16"/>
              </w:rPr>
              <w:t>North_vs_Southeast</w:t>
            </w:r>
          </w:p>
        </w:tc>
        <w:tc>
          <w:tcPr>
            <w:tcW w:type="dxa" w:w="2541"/>
            <w:vAlign w:val="center"/>
          </w:tcPr>
          <w:p>
            <w:pPr>
              <w:spacing w:after="0"/>
            </w:pPr>
            <w:r/>
            <w:r>
              <w:rPr>
                <w:rFonts w:ascii="Arial" w:hAnsi="Arial" w:eastAsia="Arial"/>
                <w:b w:val="0"/>
                <w:sz w:val="16"/>
              </w:rPr>
              <w:t>+0.268 percentage points</w:t>
            </w:r>
          </w:p>
        </w:tc>
        <w:tc>
          <w:tcPr>
            <w:tcW w:type="dxa" w:w="2541"/>
            <w:vAlign w:val="center"/>
          </w:tcPr>
          <w:p>
            <w:pPr>
              <w:spacing w:after="0"/>
            </w:pPr>
            <w:r/>
            <w:r>
              <w:rPr>
                <w:rFonts w:ascii="Arial" w:hAnsi="Arial" w:eastAsia="Arial"/>
                <w:b w:val="0"/>
                <w:sz w:val="16"/>
              </w:rPr>
              <w:t>-0.123 percentage points to +0.659 percentage points</w:t>
            </w:r>
          </w:p>
        </w:tc>
      </w:tr>
      <w:tr>
        <w:trPr>
          <w:cantSplit/>
        </w:trPr>
        <w:tc>
          <w:tcPr>
            <w:tcW w:type="dxa" w:w="2541"/>
            <w:vAlign w:val="center"/>
          </w:tcPr>
          <w:p>
            <w:pPr>
              <w:spacing w:after="0"/>
            </w:pPr>
            <w:r/>
            <w:r>
              <w:rPr>
                <w:rFonts w:ascii="Arial" w:hAnsi="Arial" w:eastAsia="Arial"/>
                <w:b w:val="0"/>
                <w:sz w:val="16"/>
              </w:rPr>
              <w:t>Acute cholecystitis</w:t>
            </w:r>
          </w:p>
        </w:tc>
        <w:tc>
          <w:tcPr>
            <w:tcW w:type="dxa" w:w="2541"/>
            <w:vAlign w:val="center"/>
          </w:tcPr>
          <w:p>
            <w:pPr>
              <w:spacing w:after="0"/>
            </w:pPr>
            <w:r/>
            <w:r>
              <w:rPr>
                <w:rFonts w:ascii="Arial" w:hAnsi="Arial" w:eastAsia="Arial"/>
                <w:b w:val="0"/>
                <w:sz w:val="16"/>
              </w:rPr>
              <w:t>Northeast_vs_Southeast</w:t>
            </w:r>
          </w:p>
        </w:tc>
        <w:tc>
          <w:tcPr>
            <w:tcW w:type="dxa" w:w="2541"/>
            <w:vAlign w:val="center"/>
          </w:tcPr>
          <w:p>
            <w:pPr>
              <w:spacing w:after="0"/>
            </w:pPr>
            <w:r/>
            <w:r>
              <w:rPr>
                <w:rFonts w:ascii="Arial" w:hAnsi="Arial" w:eastAsia="Arial"/>
                <w:b w:val="0"/>
                <w:sz w:val="16"/>
              </w:rPr>
              <w:t>+0.402 percentage points</w:t>
            </w:r>
          </w:p>
        </w:tc>
        <w:tc>
          <w:tcPr>
            <w:tcW w:type="dxa" w:w="2541"/>
            <w:vAlign w:val="center"/>
          </w:tcPr>
          <w:p>
            <w:pPr>
              <w:spacing w:after="0"/>
            </w:pPr>
            <w:r/>
            <w:r>
              <w:rPr>
                <w:rFonts w:ascii="Arial" w:hAnsi="Arial" w:eastAsia="Arial"/>
                <w:b w:val="0"/>
                <w:sz w:val="16"/>
              </w:rPr>
              <w:t>+0.104 percentage points to +0.701 percentage points</w:t>
            </w:r>
          </w:p>
        </w:tc>
      </w:tr>
      <w:tr>
        <w:trPr>
          <w:cantSplit/>
        </w:trPr>
        <w:tc>
          <w:tcPr>
            <w:tcW w:type="dxa" w:w="2541"/>
            <w:vAlign w:val="center"/>
          </w:tcPr>
          <w:p>
            <w:pPr>
              <w:spacing w:after="0"/>
            </w:pPr>
            <w:r/>
            <w:r>
              <w:rPr>
                <w:rFonts w:ascii="Arial" w:hAnsi="Arial" w:eastAsia="Arial"/>
                <w:b w:val="0"/>
                <w:sz w:val="16"/>
              </w:rPr>
              <w:t>Acute cholecystitis</w:t>
            </w:r>
          </w:p>
        </w:tc>
        <w:tc>
          <w:tcPr>
            <w:tcW w:type="dxa" w:w="2541"/>
            <w:vAlign w:val="center"/>
          </w:tcPr>
          <w:p>
            <w:pPr>
              <w:spacing w:after="0"/>
            </w:pPr>
            <w:r/>
            <w:r>
              <w:rPr>
                <w:rFonts w:ascii="Arial" w:hAnsi="Arial" w:eastAsia="Arial"/>
                <w:b w:val="0"/>
                <w:sz w:val="16"/>
              </w:rPr>
              <w:t>South_vs_Southeast</w:t>
            </w:r>
          </w:p>
        </w:tc>
        <w:tc>
          <w:tcPr>
            <w:tcW w:type="dxa" w:w="2541"/>
            <w:vAlign w:val="center"/>
          </w:tcPr>
          <w:p>
            <w:pPr>
              <w:spacing w:after="0"/>
            </w:pPr>
            <w:r/>
            <w:r>
              <w:rPr>
                <w:rFonts w:ascii="Arial" w:hAnsi="Arial" w:eastAsia="Arial"/>
                <w:b w:val="0"/>
                <w:sz w:val="16"/>
              </w:rPr>
              <w:t>+0.265 percentage points</w:t>
            </w:r>
          </w:p>
        </w:tc>
        <w:tc>
          <w:tcPr>
            <w:tcW w:type="dxa" w:w="2541"/>
            <w:vAlign w:val="center"/>
          </w:tcPr>
          <w:p>
            <w:pPr>
              <w:spacing w:after="0"/>
            </w:pPr>
            <w:r/>
            <w:r>
              <w:rPr>
                <w:rFonts w:ascii="Arial" w:hAnsi="Arial" w:eastAsia="Arial"/>
                <w:b w:val="0"/>
                <w:sz w:val="16"/>
              </w:rPr>
              <w:t>+0.004 percentage points to +0.526 percentage points</w:t>
            </w:r>
          </w:p>
        </w:tc>
      </w:tr>
      <w:tr>
        <w:trPr>
          <w:cantSplit/>
        </w:trPr>
        <w:tc>
          <w:tcPr>
            <w:tcW w:type="dxa" w:w="2541"/>
            <w:vAlign w:val="center"/>
          </w:tcPr>
          <w:p>
            <w:pPr>
              <w:spacing w:after="0"/>
            </w:pPr>
            <w:r/>
            <w:r>
              <w:rPr>
                <w:rFonts w:ascii="Arial" w:hAnsi="Arial" w:eastAsia="Arial"/>
                <w:b w:val="0"/>
                <w:sz w:val="16"/>
              </w:rPr>
              <w:t>Choledocholithiasis</w:t>
            </w:r>
          </w:p>
        </w:tc>
        <w:tc>
          <w:tcPr>
            <w:tcW w:type="dxa" w:w="2541"/>
            <w:vAlign w:val="center"/>
          </w:tcPr>
          <w:p>
            <w:pPr>
              <w:spacing w:after="0"/>
            </w:pPr>
            <w:r/>
            <w:r>
              <w:rPr>
                <w:rFonts w:ascii="Arial" w:hAnsi="Arial" w:eastAsia="Arial"/>
                <w:b w:val="0"/>
                <w:sz w:val="16"/>
              </w:rPr>
              <w:t>GDP_per_capita_Q4_vs_Q1</w:t>
            </w:r>
          </w:p>
        </w:tc>
        <w:tc>
          <w:tcPr>
            <w:tcW w:type="dxa" w:w="2541"/>
            <w:vAlign w:val="center"/>
          </w:tcPr>
          <w:p>
            <w:pPr>
              <w:spacing w:after="0"/>
            </w:pPr>
            <w:r/>
            <w:r>
              <w:rPr>
                <w:rFonts w:ascii="Arial" w:hAnsi="Arial" w:eastAsia="Arial"/>
                <w:b w:val="0"/>
                <w:sz w:val="16"/>
              </w:rPr>
              <w:t>-0.099 percentage points</w:t>
            </w:r>
          </w:p>
        </w:tc>
        <w:tc>
          <w:tcPr>
            <w:tcW w:type="dxa" w:w="2541"/>
            <w:vAlign w:val="center"/>
          </w:tcPr>
          <w:p>
            <w:pPr>
              <w:spacing w:after="0"/>
            </w:pPr>
            <w:r/>
            <w:r>
              <w:rPr>
                <w:rFonts w:ascii="Arial" w:hAnsi="Arial" w:eastAsia="Arial"/>
                <w:b w:val="0"/>
                <w:sz w:val="16"/>
              </w:rPr>
              <w:t>-0.208 percentage points to +0.011 percentage points</w:t>
            </w:r>
          </w:p>
        </w:tc>
      </w:tr>
      <w:tr>
        <w:trPr>
          <w:cantSplit/>
        </w:trPr>
        <w:tc>
          <w:tcPr>
            <w:tcW w:type="dxa" w:w="2541"/>
            <w:vAlign w:val="center"/>
          </w:tcPr>
          <w:p>
            <w:pPr>
              <w:spacing w:after="0"/>
            </w:pPr>
            <w:r/>
            <w:r>
              <w:rPr>
                <w:rFonts w:ascii="Arial" w:hAnsi="Arial" w:eastAsia="Arial"/>
                <w:b w:val="0"/>
                <w:sz w:val="16"/>
              </w:rPr>
              <w:t>Choledocholithiasis</w:t>
            </w:r>
          </w:p>
        </w:tc>
        <w:tc>
          <w:tcPr>
            <w:tcW w:type="dxa" w:w="2541"/>
            <w:vAlign w:val="center"/>
          </w:tcPr>
          <w:p>
            <w:pPr>
              <w:spacing w:after="0"/>
            </w:pPr>
            <w:r/>
            <w:r>
              <w:rPr>
                <w:rFonts w:ascii="Arial" w:hAnsi="Arial" w:eastAsia="Arial"/>
                <w:b w:val="0"/>
                <w:sz w:val="16"/>
              </w:rPr>
              <w:t>population_Q4_vs_Q1</w:t>
            </w:r>
          </w:p>
        </w:tc>
        <w:tc>
          <w:tcPr>
            <w:tcW w:type="dxa" w:w="2541"/>
            <w:vAlign w:val="center"/>
          </w:tcPr>
          <w:p>
            <w:pPr>
              <w:spacing w:after="0"/>
            </w:pPr>
            <w:r/>
            <w:r>
              <w:rPr>
                <w:rFonts w:ascii="Arial" w:hAnsi="Arial" w:eastAsia="Arial"/>
                <w:b w:val="0"/>
                <w:sz w:val="16"/>
              </w:rPr>
              <w:t>+0.114 percentage points</w:t>
            </w:r>
          </w:p>
        </w:tc>
        <w:tc>
          <w:tcPr>
            <w:tcW w:type="dxa" w:w="2541"/>
            <w:vAlign w:val="center"/>
          </w:tcPr>
          <w:p>
            <w:pPr>
              <w:spacing w:after="0"/>
            </w:pPr>
            <w:r/>
            <w:r>
              <w:rPr>
                <w:rFonts w:ascii="Arial" w:hAnsi="Arial" w:eastAsia="Arial"/>
                <w:b w:val="0"/>
                <w:sz w:val="16"/>
              </w:rPr>
              <w:t>-0.099 percentage points to +0.328 percentage points</w:t>
            </w:r>
          </w:p>
        </w:tc>
      </w:tr>
      <w:tr>
        <w:trPr>
          <w:cantSplit/>
        </w:trPr>
        <w:tc>
          <w:tcPr>
            <w:tcW w:type="dxa" w:w="2541"/>
            <w:vAlign w:val="center"/>
          </w:tcPr>
          <w:p>
            <w:pPr>
              <w:spacing w:after="0"/>
            </w:pPr>
            <w:r/>
            <w:r>
              <w:rPr>
                <w:rFonts w:ascii="Arial" w:hAnsi="Arial" w:eastAsia="Arial"/>
                <w:b w:val="0"/>
                <w:sz w:val="16"/>
              </w:rPr>
              <w:t>Choledocholithiasis</w:t>
            </w:r>
          </w:p>
        </w:tc>
        <w:tc>
          <w:tcPr>
            <w:tcW w:type="dxa" w:w="2541"/>
            <w:vAlign w:val="center"/>
          </w:tcPr>
          <w:p>
            <w:pPr>
              <w:spacing w:after="0"/>
            </w:pPr>
            <w:r/>
            <w:r>
              <w:rPr>
                <w:rFonts w:ascii="Arial" w:hAnsi="Arial" w:eastAsia="Arial"/>
                <w:b w:val="0"/>
                <w:sz w:val="16"/>
              </w:rPr>
              <w:t>road_time_gt240_vs_le60_minutes</w:t>
            </w:r>
          </w:p>
        </w:tc>
        <w:tc>
          <w:tcPr>
            <w:tcW w:type="dxa" w:w="2541"/>
            <w:vAlign w:val="center"/>
          </w:tcPr>
          <w:p>
            <w:pPr>
              <w:spacing w:after="0"/>
            </w:pPr>
            <w:r/>
            <w:r>
              <w:rPr>
                <w:rFonts w:ascii="Arial" w:hAnsi="Arial" w:eastAsia="Arial"/>
                <w:b w:val="0"/>
                <w:sz w:val="16"/>
              </w:rPr>
              <w:t>+0.098 percentage points</w:t>
            </w:r>
          </w:p>
        </w:tc>
        <w:tc>
          <w:tcPr>
            <w:tcW w:type="dxa" w:w="2541"/>
            <w:vAlign w:val="center"/>
          </w:tcPr>
          <w:p>
            <w:pPr>
              <w:spacing w:after="0"/>
            </w:pPr>
            <w:r/>
            <w:r>
              <w:rPr>
                <w:rFonts w:ascii="Arial" w:hAnsi="Arial" w:eastAsia="Arial"/>
                <w:b w:val="0"/>
                <w:sz w:val="16"/>
              </w:rPr>
              <w:t>+0.000 percentage points to +0.196 percentage points</w:t>
            </w:r>
          </w:p>
        </w:tc>
      </w:tr>
      <w:tr>
        <w:trPr>
          <w:cantSplit/>
        </w:trPr>
        <w:tc>
          <w:tcPr>
            <w:tcW w:type="dxa" w:w="2541"/>
            <w:vAlign w:val="center"/>
          </w:tcPr>
          <w:p>
            <w:pPr>
              <w:spacing w:after="0"/>
            </w:pPr>
            <w:r/>
            <w:r>
              <w:rPr>
                <w:rFonts w:ascii="Arial" w:hAnsi="Arial" w:eastAsia="Arial"/>
                <w:b w:val="0"/>
                <w:sz w:val="16"/>
              </w:rPr>
              <w:t>Choledocholithiasis</w:t>
            </w:r>
          </w:p>
        </w:tc>
        <w:tc>
          <w:tcPr>
            <w:tcW w:type="dxa" w:w="2541"/>
            <w:vAlign w:val="center"/>
          </w:tcPr>
          <w:p>
            <w:pPr>
              <w:spacing w:after="0"/>
            </w:pPr>
            <w:r/>
            <w:r>
              <w:rPr>
                <w:rFonts w:ascii="Arial" w:hAnsi="Arial" w:eastAsia="Arial"/>
                <w:b w:val="0"/>
                <w:sz w:val="16"/>
              </w:rPr>
              <w:t>Central-West_vs_Southeast</w:t>
            </w:r>
          </w:p>
        </w:tc>
        <w:tc>
          <w:tcPr>
            <w:tcW w:type="dxa" w:w="2541"/>
            <w:vAlign w:val="center"/>
          </w:tcPr>
          <w:p>
            <w:pPr>
              <w:spacing w:after="0"/>
            </w:pPr>
            <w:r/>
            <w:r>
              <w:rPr>
                <w:rFonts w:ascii="Arial" w:hAnsi="Arial" w:eastAsia="Arial"/>
                <w:b w:val="0"/>
                <w:sz w:val="16"/>
              </w:rPr>
              <w:t>-0.110 percentage points</w:t>
            </w:r>
          </w:p>
        </w:tc>
        <w:tc>
          <w:tcPr>
            <w:tcW w:type="dxa" w:w="2541"/>
            <w:vAlign w:val="center"/>
          </w:tcPr>
          <w:p>
            <w:pPr>
              <w:spacing w:after="0"/>
            </w:pPr>
            <w:r/>
            <w:r>
              <w:rPr>
                <w:rFonts w:ascii="Arial" w:hAnsi="Arial" w:eastAsia="Arial"/>
                <w:b w:val="0"/>
                <w:sz w:val="16"/>
              </w:rPr>
              <w:t>-0.267 percentage points to +0.047 percentage points</w:t>
            </w:r>
          </w:p>
        </w:tc>
      </w:tr>
      <w:tr>
        <w:trPr>
          <w:cantSplit/>
        </w:trPr>
        <w:tc>
          <w:tcPr>
            <w:tcW w:type="dxa" w:w="2541"/>
            <w:vAlign w:val="center"/>
          </w:tcPr>
          <w:p>
            <w:pPr>
              <w:spacing w:after="0"/>
            </w:pPr>
            <w:r/>
            <w:r>
              <w:rPr>
                <w:rFonts w:ascii="Arial" w:hAnsi="Arial" w:eastAsia="Arial"/>
                <w:b w:val="0"/>
                <w:sz w:val="16"/>
              </w:rPr>
              <w:t>Choledocholithiasis</w:t>
            </w:r>
          </w:p>
        </w:tc>
        <w:tc>
          <w:tcPr>
            <w:tcW w:type="dxa" w:w="2541"/>
            <w:vAlign w:val="center"/>
          </w:tcPr>
          <w:p>
            <w:pPr>
              <w:spacing w:after="0"/>
            </w:pPr>
            <w:r/>
            <w:r>
              <w:rPr>
                <w:rFonts w:ascii="Arial" w:hAnsi="Arial" w:eastAsia="Arial"/>
                <w:b w:val="0"/>
                <w:sz w:val="16"/>
              </w:rPr>
              <w:t>North_vs_Southeast</w:t>
            </w:r>
          </w:p>
        </w:tc>
        <w:tc>
          <w:tcPr>
            <w:tcW w:type="dxa" w:w="2541"/>
            <w:vAlign w:val="center"/>
          </w:tcPr>
          <w:p>
            <w:pPr>
              <w:spacing w:after="0"/>
            </w:pPr>
            <w:r/>
            <w:r>
              <w:rPr>
                <w:rFonts w:ascii="Arial" w:hAnsi="Arial" w:eastAsia="Arial"/>
                <w:b w:val="0"/>
                <w:sz w:val="16"/>
              </w:rPr>
              <w:t>-0.047 percentage points</w:t>
            </w:r>
          </w:p>
        </w:tc>
        <w:tc>
          <w:tcPr>
            <w:tcW w:type="dxa" w:w="2541"/>
            <w:vAlign w:val="center"/>
          </w:tcPr>
          <w:p>
            <w:pPr>
              <w:spacing w:after="0"/>
            </w:pPr>
            <w:r/>
            <w:r>
              <w:rPr>
                <w:rFonts w:ascii="Arial" w:hAnsi="Arial" w:eastAsia="Arial"/>
                <w:b w:val="0"/>
                <w:sz w:val="16"/>
              </w:rPr>
              <w:t>-0.117 percentage points to +0.024 percentage points</w:t>
            </w:r>
          </w:p>
        </w:tc>
      </w:tr>
      <w:tr>
        <w:trPr>
          <w:cantSplit/>
        </w:trPr>
        <w:tc>
          <w:tcPr>
            <w:tcW w:type="dxa" w:w="2541"/>
            <w:vAlign w:val="center"/>
          </w:tcPr>
          <w:p>
            <w:pPr>
              <w:spacing w:after="0"/>
            </w:pPr>
            <w:r/>
            <w:r>
              <w:rPr>
                <w:rFonts w:ascii="Arial" w:hAnsi="Arial" w:eastAsia="Arial"/>
                <w:b w:val="0"/>
                <w:sz w:val="16"/>
              </w:rPr>
              <w:t>Choledocholithiasis</w:t>
            </w:r>
          </w:p>
        </w:tc>
        <w:tc>
          <w:tcPr>
            <w:tcW w:type="dxa" w:w="2541"/>
            <w:vAlign w:val="center"/>
          </w:tcPr>
          <w:p>
            <w:pPr>
              <w:spacing w:after="0"/>
            </w:pPr>
            <w:r/>
            <w:r>
              <w:rPr>
                <w:rFonts w:ascii="Arial" w:hAnsi="Arial" w:eastAsia="Arial"/>
                <w:b w:val="0"/>
                <w:sz w:val="16"/>
              </w:rPr>
              <w:t>Northeast_vs_Southeast</w:t>
            </w:r>
          </w:p>
        </w:tc>
        <w:tc>
          <w:tcPr>
            <w:tcW w:type="dxa" w:w="2541"/>
            <w:vAlign w:val="center"/>
          </w:tcPr>
          <w:p>
            <w:pPr>
              <w:spacing w:after="0"/>
            </w:pPr>
            <w:r/>
            <w:r>
              <w:rPr>
                <w:rFonts w:ascii="Arial" w:hAnsi="Arial" w:eastAsia="Arial"/>
                <w:b w:val="0"/>
                <w:sz w:val="16"/>
              </w:rPr>
              <w:t>-0.098 percentage points</w:t>
            </w:r>
          </w:p>
        </w:tc>
        <w:tc>
          <w:tcPr>
            <w:tcW w:type="dxa" w:w="2541"/>
            <w:vAlign w:val="center"/>
          </w:tcPr>
          <w:p>
            <w:pPr>
              <w:spacing w:after="0"/>
            </w:pPr>
            <w:r/>
            <w:r>
              <w:rPr>
                <w:rFonts w:ascii="Arial" w:hAnsi="Arial" w:eastAsia="Arial"/>
                <w:b w:val="0"/>
                <w:sz w:val="16"/>
              </w:rPr>
              <w:t>-0.224 percentage points to +0.027 percentage points</w:t>
            </w:r>
          </w:p>
        </w:tc>
      </w:tr>
      <w:tr>
        <w:trPr>
          <w:cantSplit/>
        </w:trPr>
        <w:tc>
          <w:tcPr>
            <w:tcW w:type="dxa" w:w="2541"/>
            <w:vAlign w:val="center"/>
          </w:tcPr>
          <w:p>
            <w:pPr>
              <w:spacing w:after="0"/>
            </w:pPr>
            <w:r/>
            <w:r>
              <w:rPr>
                <w:rFonts w:ascii="Arial" w:hAnsi="Arial" w:eastAsia="Arial"/>
                <w:b w:val="0"/>
                <w:sz w:val="16"/>
              </w:rPr>
              <w:t>Choledocholithiasis</w:t>
            </w:r>
          </w:p>
        </w:tc>
        <w:tc>
          <w:tcPr>
            <w:tcW w:type="dxa" w:w="2541"/>
            <w:vAlign w:val="center"/>
          </w:tcPr>
          <w:p>
            <w:pPr>
              <w:spacing w:after="0"/>
            </w:pPr>
            <w:r/>
            <w:r>
              <w:rPr>
                <w:rFonts w:ascii="Arial" w:hAnsi="Arial" w:eastAsia="Arial"/>
                <w:b w:val="0"/>
                <w:sz w:val="16"/>
              </w:rPr>
              <w:t>South_vs_Southeast</w:t>
            </w:r>
          </w:p>
        </w:tc>
        <w:tc>
          <w:tcPr>
            <w:tcW w:type="dxa" w:w="2541"/>
            <w:vAlign w:val="center"/>
          </w:tcPr>
          <w:p>
            <w:pPr>
              <w:spacing w:after="0"/>
            </w:pPr>
            <w:r/>
            <w:r>
              <w:rPr>
                <w:rFonts w:ascii="Arial" w:hAnsi="Arial" w:eastAsia="Arial"/>
                <w:b w:val="0"/>
                <w:sz w:val="16"/>
              </w:rPr>
              <w:t>-0.029 percentage points</w:t>
            </w:r>
          </w:p>
        </w:tc>
        <w:tc>
          <w:tcPr>
            <w:tcW w:type="dxa" w:w="2541"/>
            <w:vAlign w:val="center"/>
          </w:tcPr>
          <w:p>
            <w:pPr>
              <w:spacing w:after="0"/>
            </w:pPr>
            <w:r/>
            <w:r>
              <w:rPr>
                <w:rFonts w:ascii="Arial" w:hAnsi="Arial" w:eastAsia="Arial"/>
                <w:b w:val="0"/>
                <w:sz w:val="16"/>
              </w:rPr>
              <w:t>-0.101 percentage points to +0.042 percentage points</w:t>
            </w:r>
          </w:p>
        </w:tc>
      </w:tr>
    </w:tbl>
    <w:p/>
    <w:p>
      <w:r>
        <w:br w:type="page"/>
      </w:r>
    </w:p>
    <w:p>
      <w:pPr>
        <w:pStyle w:val="Heading2"/>
      </w:pPr>
      <w:r>
        <w:t>Scenario constraints</w:t>
      </w:r>
    </w:p>
    <w:p>
      <w:pPr>
        <w:spacing w:line="259" w:lineRule="auto"/>
      </w:pPr>
      <w:r>
        <w:t>Scenario A standardizes local capability to present. Scenario B routes only to the fastest observed capable in-state destination and applies a 20% observed-volume capacity cap. Scenario C combines both. These association-based calculations keep the observed model structure and do not project an intervention outcome.</w:t>
      </w:r>
    </w:p>
    <w:p>
      <w:pPr>
        <w:spacing w:after="60"/>
      </w:pPr>
      <w:r>
        <w:rPr>
          <w:b/>
        </w:rPr>
        <w:t>Supplementary Table S14 | Brazil association-based capability and referral scenarios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cantSplit/>
        </w:trPr>
        <w:tc>
          <w:tcPr>
            <w:tcW w:type="dxa" w:w="1694"/>
            <w:vAlign w:val="center"/>
            <w:shd w:fill="D9EAF7"/>
          </w:tcPr>
          <w:p>
            <w:pPr>
              <w:spacing w:after="0"/>
            </w:pPr>
            <w:r/>
            <w:r>
              <w:rPr>
                <w:rFonts w:ascii="Arial" w:hAnsi="Arial" w:eastAsia="Arial"/>
                <w:b/>
                <w:sz w:val="16"/>
              </w:rPr>
              <w:t>Cohort</w:t>
            </w:r>
          </w:p>
        </w:tc>
        <w:tc>
          <w:tcPr>
            <w:tcW w:type="dxa" w:w="1694"/>
            <w:vAlign w:val="center"/>
            <w:shd w:fill="D9EAF7"/>
          </w:tcPr>
          <w:p>
            <w:pPr>
              <w:spacing w:after="0"/>
            </w:pPr>
            <w:r/>
            <w:r>
              <w:rPr>
                <w:rFonts w:ascii="Arial" w:hAnsi="Arial" w:eastAsia="Arial"/>
                <w:b/>
                <w:sz w:val="16"/>
              </w:rPr>
              <w:t>Association scenario</w:t>
            </w:r>
          </w:p>
        </w:tc>
        <w:tc>
          <w:tcPr>
            <w:tcW w:type="dxa" w:w="1694"/>
            <w:vAlign w:val="center"/>
            <w:shd w:fill="D9EAF7"/>
          </w:tcPr>
          <w:p>
            <w:pPr>
              <w:spacing w:after="0"/>
            </w:pPr>
            <w:r/>
            <w:r>
              <w:rPr>
                <w:rFonts w:ascii="Arial" w:hAnsi="Arial" w:eastAsia="Arial"/>
                <w:b/>
                <w:sz w:val="16"/>
              </w:rPr>
              <w:t>Eligible admissions</w:t>
            </w:r>
          </w:p>
        </w:tc>
        <w:tc>
          <w:tcPr>
            <w:tcW w:type="dxa" w:w="1694"/>
            <w:vAlign w:val="center"/>
            <w:shd w:fill="D9EAF7"/>
          </w:tcPr>
          <w:p>
            <w:pPr>
              <w:spacing w:after="0"/>
            </w:pPr>
            <w:r/>
            <w:r>
              <w:rPr>
                <w:rFonts w:ascii="Arial" w:hAnsi="Arial" w:eastAsia="Arial"/>
                <w:b/>
                <w:sz w:val="16"/>
              </w:rPr>
              <w:t>Change from baseline</w:t>
            </w:r>
          </w:p>
        </w:tc>
        <w:tc>
          <w:tcPr>
            <w:tcW w:type="dxa" w:w="1694"/>
            <w:vAlign w:val="center"/>
            <w:shd w:fill="D9EAF7"/>
          </w:tcPr>
          <w:p>
            <w:pPr>
              <w:spacing w:after="0"/>
            </w:pPr>
            <w:r/>
            <w:r>
              <w:rPr>
                <w:rFonts w:ascii="Arial" w:hAnsi="Arial" w:eastAsia="Arial"/>
                <w:b/>
                <w:sz w:val="16"/>
              </w:rPr>
              <w:t>95% interval</w:t>
            </w:r>
          </w:p>
        </w:tc>
        <w:tc>
          <w:tcPr>
            <w:tcW w:type="dxa" w:w="1694"/>
            <w:vAlign w:val="center"/>
            <w:shd w:fill="D9EAF7"/>
          </w:tcPr>
          <w:p>
            <w:pPr>
              <w:spacing w:after="0"/>
            </w:pPr>
            <w:r/>
            <w:r>
              <w:rPr>
                <w:rFonts w:ascii="Arial" w:hAnsi="Arial" w:eastAsia="Arial"/>
                <w:b/>
                <w:sz w:val="16"/>
              </w:rPr>
              <w:t>Mean capacity allocation</w:t>
            </w:r>
          </w:p>
        </w:tc>
      </w:tr>
      <w:tr>
        <w:trPr>
          <w:cantSplit/>
        </w:trPr>
        <w:tc>
          <w:tcPr>
            <w:tcW w:type="dxa" w:w="1694"/>
            <w:vAlign w:val="center"/>
          </w:tcPr>
          <w:p>
            <w:pPr>
              <w:spacing w:after="0"/>
            </w:pPr>
            <w:r/>
            <w:r>
              <w:rPr>
                <w:rFonts w:ascii="Arial" w:hAnsi="Arial" w:eastAsia="Arial"/>
                <w:b w:val="0"/>
                <w:sz w:val="16"/>
              </w:rPr>
              <w:t>Acute cholecystitis</w:t>
            </w:r>
          </w:p>
        </w:tc>
        <w:tc>
          <w:tcPr>
            <w:tcW w:type="dxa" w:w="1694"/>
            <w:vAlign w:val="center"/>
          </w:tcPr>
          <w:p>
            <w:pPr>
              <w:spacing w:after="0"/>
            </w:pPr>
            <w:r/>
            <w:r>
              <w:rPr>
                <w:rFonts w:ascii="Arial" w:hAnsi="Arial" w:eastAsia="Arial"/>
                <w:b w:val="0"/>
                <w:sz w:val="16"/>
              </w:rPr>
              <w:t>A_local_capability_expansion</w:t>
            </w:r>
          </w:p>
        </w:tc>
        <w:tc>
          <w:tcPr>
            <w:tcW w:type="dxa" w:w="1694"/>
            <w:vAlign w:val="center"/>
          </w:tcPr>
          <w:p>
            <w:pPr>
              <w:spacing w:after="0"/>
            </w:pPr>
            <w:r/>
            <w:r>
              <w:rPr>
                <w:rFonts w:ascii="Arial" w:hAnsi="Arial" w:eastAsia="Arial"/>
                <w:b w:val="0"/>
                <w:sz w:val="16"/>
              </w:rPr>
              <w:t>129,722</w:t>
            </w:r>
          </w:p>
        </w:tc>
        <w:tc>
          <w:tcPr>
            <w:tcW w:type="dxa" w:w="1694"/>
            <w:vAlign w:val="center"/>
          </w:tcPr>
          <w:p>
            <w:pPr>
              <w:spacing w:after="0"/>
            </w:pPr>
            <w:r/>
            <w:r>
              <w:rPr>
                <w:rFonts w:ascii="Arial" w:hAnsi="Arial" w:eastAsia="Arial"/>
                <w:b w:val="0"/>
                <w:sz w:val="16"/>
              </w:rPr>
              <w:t>+0.054 percentage points</w:t>
            </w:r>
          </w:p>
        </w:tc>
        <w:tc>
          <w:tcPr>
            <w:tcW w:type="dxa" w:w="1694"/>
            <w:vAlign w:val="center"/>
          </w:tcPr>
          <w:p>
            <w:pPr>
              <w:spacing w:after="0"/>
            </w:pPr>
            <w:r/>
            <w:r>
              <w:rPr>
                <w:rFonts w:ascii="Arial" w:hAnsi="Arial" w:eastAsia="Arial"/>
                <w:b w:val="0"/>
                <w:sz w:val="16"/>
              </w:rPr>
              <w:t>-0.020 percentage points to +0.127 percentage points</w:t>
            </w:r>
          </w:p>
        </w:tc>
        <w:tc>
          <w:tcPr>
            <w:tcW w:type="dxa" w:w="1694"/>
            <w:vAlign w:val="center"/>
          </w:tcPr>
          <w:p>
            <w:pPr>
              <w:spacing w:after="0"/>
            </w:pPr>
            <w:r/>
            <w:r>
              <w:rPr>
                <w:rFonts w:ascii="Arial" w:hAnsi="Arial" w:eastAsia="Arial"/>
                <w:b w:val="0"/>
                <w:sz w:val="16"/>
              </w:rPr>
              <w:t>100.0%</w:t>
            </w:r>
          </w:p>
        </w:tc>
      </w:tr>
      <w:tr>
        <w:trPr>
          <w:cantSplit/>
        </w:trPr>
        <w:tc>
          <w:tcPr>
            <w:tcW w:type="dxa" w:w="1694"/>
            <w:vAlign w:val="center"/>
          </w:tcPr>
          <w:p>
            <w:pPr>
              <w:spacing w:after="0"/>
            </w:pPr>
            <w:r/>
            <w:r>
              <w:rPr>
                <w:rFonts w:ascii="Arial" w:hAnsi="Arial" w:eastAsia="Arial"/>
                <w:b w:val="0"/>
                <w:sz w:val="16"/>
              </w:rPr>
              <w:t>Acute cholecystitis</w:t>
            </w:r>
          </w:p>
        </w:tc>
        <w:tc>
          <w:tcPr>
            <w:tcW w:type="dxa" w:w="1694"/>
            <w:vAlign w:val="center"/>
          </w:tcPr>
          <w:p>
            <w:pPr>
              <w:spacing w:after="0"/>
            </w:pPr>
            <w:r/>
            <w:r>
              <w:rPr>
                <w:rFonts w:ascii="Arial" w:hAnsi="Arial" w:eastAsia="Arial"/>
                <w:b w:val="0"/>
                <w:sz w:val="16"/>
              </w:rPr>
              <w:t>B_capacity_constrained_referral_reconfiguration</w:t>
            </w:r>
          </w:p>
        </w:tc>
        <w:tc>
          <w:tcPr>
            <w:tcW w:type="dxa" w:w="1694"/>
            <w:vAlign w:val="center"/>
          </w:tcPr>
          <w:p>
            <w:pPr>
              <w:spacing w:after="0"/>
            </w:pPr>
            <w:r/>
            <w:r>
              <w:rPr>
                <w:rFonts w:ascii="Arial" w:hAnsi="Arial" w:eastAsia="Arial"/>
                <w:b w:val="0"/>
                <w:sz w:val="16"/>
              </w:rPr>
              <w:t>28,834</w:t>
            </w:r>
          </w:p>
        </w:tc>
        <w:tc>
          <w:tcPr>
            <w:tcW w:type="dxa" w:w="1694"/>
            <w:vAlign w:val="center"/>
          </w:tcPr>
          <w:p>
            <w:pPr>
              <w:spacing w:after="0"/>
            </w:pPr>
            <w:r/>
            <w:r>
              <w:rPr>
                <w:rFonts w:ascii="Arial" w:hAnsi="Arial" w:eastAsia="Arial"/>
                <w:b w:val="0"/>
                <w:sz w:val="16"/>
              </w:rPr>
              <w:t>+0.028 percentage points</w:t>
            </w:r>
          </w:p>
        </w:tc>
        <w:tc>
          <w:tcPr>
            <w:tcW w:type="dxa" w:w="1694"/>
            <w:vAlign w:val="center"/>
          </w:tcPr>
          <w:p>
            <w:pPr>
              <w:spacing w:after="0"/>
            </w:pPr>
            <w:r/>
            <w:r>
              <w:rPr>
                <w:rFonts w:ascii="Arial" w:hAnsi="Arial" w:eastAsia="Arial"/>
                <w:b w:val="0"/>
                <w:sz w:val="16"/>
              </w:rPr>
              <w:t>+0.019 percentage points to +0.037 percentage points</w:t>
            </w:r>
          </w:p>
        </w:tc>
        <w:tc>
          <w:tcPr>
            <w:tcW w:type="dxa" w:w="1694"/>
            <w:vAlign w:val="center"/>
          </w:tcPr>
          <w:p>
            <w:pPr>
              <w:spacing w:after="0"/>
            </w:pPr>
            <w:r/>
            <w:r>
              <w:rPr>
                <w:rFonts w:ascii="Arial" w:hAnsi="Arial" w:eastAsia="Arial"/>
                <w:b w:val="0"/>
                <w:sz w:val="16"/>
              </w:rPr>
              <w:t>69.1%</w:t>
            </w:r>
          </w:p>
        </w:tc>
      </w:tr>
      <w:tr>
        <w:trPr>
          <w:cantSplit/>
        </w:trPr>
        <w:tc>
          <w:tcPr>
            <w:tcW w:type="dxa" w:w="1694"/>
            <w:vAlign w:val="center"/>
          </w:tcPr>
          <w:p>
            <w:pPr>
              <w:spacing w:after="0"/>
            </w:pPr>
            <w:r/>
            <w:r>
              <w:rPr>
                <w:rFonts w:ascii="Arial" w:hAnsi="Arial" w:eastAsia="Arial"/>
                <w:b w:val="0"/>
                <w:sz w:val="16"/>
              </w:rPr>
              <w:t>Acute cholecystitis</w:t>
            </w:r>
          </w:p>
        </w:tc>
        <w:tc>
          <w:tcPr>
            <w:tcW w:type="dxa" w:w="1694"/>
            <w:vAlign w:val="center"/>
          </w:tcPr>
          <w:p>
            <w:pPr>
              <w:spacing w:after="0"/>
            </w:pPr>
            <w:r/>
            <w:r>
              <w:rPr>
                <w:rFonts w:ascii="Arial" w:hAnsi="Arial" w:eastAsia="Arial"/>
                <w:b w:val="0"/>
                <w:sz w:val="16"/>
              </w:rPr>
              <w:t>C_combined_capability_and_referral</w:t>
            </w:r>
          </w:p>
        </w:tc>
        <w:tc>
          <w:tcPr>
            <w:tcW w:type="dxa" w:w="1694"/>
            <w:vAlign w:val="center"/>
          </w:tcPr>
          <w:p>
            <w:pPr>
              <w:spacing w:after="0"/>
            </w:pPr>
            <w:r/>
            <w:r>
              <w:rPr>
                <w:rFonts w:ascii="Arial" w:hAnsi="Arial" w:eastAsia="Arial"/>
                <w:b w:val="0"/>
                <w:sz w:val="16"/>
              </w:rPr>
              <w:t>129,722</w:t>
            </w:r>
          </w:p>
        </w:tc>
        <w:tc>
          <w:tcPr>
            <w:tcW w:type="dxa" w:w="1694"/>
            <w:vAlign w:val="center"/>
          </w:tcPr>
          <w:p>
            <w:pPr>
              <w:spacing w:after="0"/>
            </w:pPr>
            <w:r/>
            <w:r>
              <w:rPr>
                <w:rFonts w:ascii="Arial" w:hAnsi="Arial" w:eastAsia="Arial"/>
                <w:b w:val="0"/>
                <w:sz w:val="16"/>
              </w:rPr>
              <w:t>+0.078 percentage points</w:t>
            </w:r>
          </w:p>
        </w:tc>
        <w:tc>
          <w:tcPr>
            <w:tcW w:type="dxa" w:w="1694"/>
            <w:vAlign w:val="center"/>
          </w:tcPr>
          <w:p>
            <w:pPr>
              <w:spacing w:after="0"/>
            </w:pPr>
            <w:r/>
            <w:r>
              <w:rPr>
                <w:rFonts w:ascii="Arial" w:hAnsi="Arial" w:eastAsia="Arial"/>
                <w:b w:val="0"/>
                <w:sz w:val="16"/>
              </w:rPr>
              <w:t>+0.009 percentage points to +0.147 percentage points</w:t>
            </w:r>
          </w:p>
        </w:tc>
        <w:tc>
          <w:tcPr>
            <w:tcW w:type="dxa" w:w="1694"/>
            <w:vAlign w:val="center"/>
          </w:tcPr>
          <w:p>
            <w:pPr>
              <w:spacing w:after="0"/>
            </w:pPr>
            <w:r/>
            <w:r>
              <w:rPr>
                <w:rFonts w:ascii="Arial" w:hAnsi="Arial" w:eastAsia="Arial"/>
                <w:b w:val="0"/>
                <w:sz w:val="16"/>
              </w:rPr>
              <w:t>69.1%</w:t>
            </w:r>
          </w:p>
        </w:tc>
      </w:tr>
      <w:tr>
        <w:trPr>
          <w:cantSplit/>
        </w:trPr>
        <w:tc>
          <w:tcPr>
            <w:tcW w:type="dxa" w:w="1694"/>
            <w:vAlign w:val="center"/>
          </w:tcPr>
          <w:p>
            <w:pPr>
              <w:spacing w:after="0"/>
            </w:pPr>
            <w:r/>
            <w:r>
              <w:rPr>
                <w:rFonts w:ascii="Arial" w:hAnsi="Arial" w:eastAsia="Arial"/>
                <w:b w:val="0"/>
                <w:sz w:val="16"/>
              </w:rPr>
              <w:t>Choledocholithiasis</w:t>
            </w:r>
          </w:p>
        </w:tc>
        <w:tc>
          <w:tcPr>
            <w:tcW w:type="dxa" w:w="1694"/>
            <w:vAlign w:val="center"/>
          </w:tcPr>
          <w:p>
            <w:pPr>
              <w:spacing w:after="0"/>
            </w:pPr>
            <w:r/>
            <w:r>
              <w:rPr>
                <w:rFonts w:ascii="Arial" w:hAnsi="Arial" w:eastAsia="Arial"/>
                <w:b w:val="0"/>
                <w:sz w:val="16"/>
              </w:rPr>
              <w:t>A_local_capability_expansion</w:t>
            </w:r>
          </w:p>
        </w:tc>
        <w:tc>
          <w:tcPr>
            <w:tcW w:type="dxa" w:w="1694"/>
            <w:vAlign w:val="center"/>
          </w:tcPr>
          <w:p>
            <w:pPr>
              <w:spacing w:after="0"/>
            </w:pPr>
            <w:r/>
            <w:r>
              <w:rPr>
                <w:rFonts w:ascii="Arial" w:hAnsi="Arial" w:eastAsia="Arial"/>
                <w:b w:val="0"/>
                <w:sz w:val="16"/>
              </w:rPr>
              <w:t>42,529</w:t>
            </w:r>
          </w:p>
        </w:tc>
        <w:tc>
          <w:tcPr>
            <w:tcW w:type="dxa" w:w="1694"/>
            <w:vAlign w:val="center"/>
          </w:tcPr>
          <w:p>
            <w:pPr>
              <w:spacing w:after="0"/>
            </w:pPr>
            <w:r/>
            <w:r>
              <w:rPr>
                <w:rFonts w:ascii="Arial" w:hAnsi="Arial" w:eastAsia="Arial"/>
                <w:b w:val="0"/>
                <w:sz w:val="16"/>
              </w:rPr>
              <w:t>+0.003 percentage points</w:t>
            </w:r>
          </w:p>
        </w:tc>
        <w:tc>
          <w:tcPr>
            <w:tcW w:type="dxa" w:w="1694"/>
            <w:vAlign w:val="center"/>
          </w:tcPr>
          <w:p>
            <w:pPr>
              <w:spacing w:after="0"/>
            </w:pPr>
            <w:r/>
            <w:r>
              <w:rPr>
                <w:rFonts w:ascii="Arial" w:hAnsi="Arial" w:eastAsia="Arial"/>
                <w:b w:val="0"/>
                <w:sz w:val="16"/>
              </w:rPr>
              <w:t>-0.055 percentage points to +0.060 percentage points</w:t>
            </w:r>
          </w:p>
        </w:tc>
        <w:tc>
          <w:tcPr>
            <w:tcW w:type="dxa" w:w="1694"/>
            <w:vAlign w:val="center"/>
          </w:tcPr>
          <w:p>
            <w:pPr>
              <w:spacing w:after="0"/>
            </w:pPr>
            <w:r/>
            <w:r>
              <w:rPr>
                <w:rFonts w:ascii="Arial" w:hAnsi="Arial" w:eastAsia="Arial"/>
                <w:b w:val="0"/>
                <w:sz w:val="16"/>
              </w:rPr>
              <w:t>100.0%</w:t>
            </w:r>
          </w:p>
        </w:tc>
      </w:tr>
      <w:tr>
        <w:trPr>
          <w:cantSplit/>
        </w:trPr>
        <w:tc>
          <w:tcPr>
            <w:tcW w:type="dxa" w:w="1694"/>
            <w:vAlign w:val="center"/>
          </w:tcPr>
          <w:p>
            <w:pPr>
              <w:spacing w:after="0"/>
            </w:pPr>
            <w:r/>
            <w:r>
              <w:rPr>
                <w:rFonts w:ascii="Arial" w:hAnsi="Arial" w:eastAsia="Arial"/>
                <w:b w:val="0"/>
                <w:sz w:val="16"/>
              </w:rPr>
              <w:t>Choledocholithiasis</w:t>
            </w:r>
          </w:p>
        </w:tc>
        <w:tc>
          <w:tcPr>
            <w:tcW w:type="dxa" w:w="1694"/>
            <w:vAlign w:val="center"/>
          </w:tcPr>
          <w:p>
            <w:pPr>
              <w:spacing w:after="0"/>
            </w:pPr>
            <w:r/>
            <w:r>
              <w:rPr>
                <w:rFonts w:ascii="Arial" w:hAnsi="Arial" w:eastAsia="Arial"/>
                <w:b w:val="0"/>
                <w:sz w:val="16"/>
              </w:rPr>
              <w:t>B_capacity_constrained_referral_reconfiguration</w:t>
            </w:r>
          </w:p>
        </w:tc>
        <w:tc>
          <w:tcPr>
            <w:tcW w:type="dxa" w:w="1694"/>
            <w:vAlign w:val="center"/>
          </w:tcPr>
          <w:p>
            <w:pPr>
              <w:spacing w:after="0"/>
            </w:pPr>
            <w:r/>
            <w:r>
              <w:rPr>
                <w:rFonts w:ascii="Arial" w:hAnsi="Arial" w:eastAsia="Arial"/>
                <w:b w:val="0"/>
                <w:sz w:val="16"/>
              </w:rPr>
              <w:t>14,714</w:t>
            </w:r>
          </w:p>
        </w:tc>
        <w:tc>
          <w:tcPr>
            <w:tcW w:type="dxa" w:w="1694"/>
            <w:vAlign w:val="center"/>
          </w:tcPr>
          <w:p>
            <w:pPr>
              <w:spacing w:after="0"/>
            </w:pPr>
            <w:r/>
            <w:r>
              <w:rPr>
                <w:rFonts w:ascii="Arial" w:hAnsi="Arial" w:eastAsia="Arial"/>
                <w:b w:val="0"/>
                <w:sz w:val="16"/>
              </w:rPr>
              <w:t>+0.007 percentage points</w:t>
            </w:r>
          </w:p>
        </w:tc>
        <w:tc>
          <w:tcPr>
            <w:tcW w:type="dxa" w:w="1694"/>
            <w:vAlign w:val="center"/>
          </w:tcPr>
          <w:p>
            <w:pPr>
              <w:spacing w:after="0"/>
            </w:pPr>
            <w:r/>
            <w:r>
              <w:rPr>
                <w:rFonts w:ascii="Arial" w:hAnsi="Arial" w:eastAsia="Arial"/>
                <w:b w:val="0"/>
                <w:sz w:val="16"/>
              </w:rPr>
              <w:t>+0.002 percentage points to +0.012 percentage points</w:t>
            </w:r>
          </w:p>
        </w:tc>
        <w:tc>
          <w:tcPr>
            <w:tcW w:type="dxa" w:w="1694"/>
            <w:vAlign w:val="center"/>
          </w:tcPr>
          <w:p>
            <w:pPr>
              <w:spacing w:after="0"/>
            </w:pPr>
            <w:r/>
            <w:r>
              <w:rPr>
                <w:rFonts w:ascii="Arial" w:hAnsi="Arial" w:eastAsia="Arial"/>
                <w:b w:val="0"/>
                <w:sz w:val="16"/>
              </w:rPr>
              <w:t>21.1%</w:t>
            </w:r>
          </w:p>
        </w:tc>
      </w:tr>
      <w:tr>
        <w:trPr>
          <w:cantSplit/>
        </w:trPr>
        <w:tc>
          <w:tcPr>
            <w:tcW w:type="dxa" w:w="1694"/>
            <w:vAlign w:val="center"/>
          </w:tcPr>
          <w:p>
            <w:pPr>
              <w:spacing w:after="0"/>
            </w:pPr>
            <w:r/>
            <w:r>
              <w:rPr>
                <w:rFonts w:ascii="Arial" w:hAnsi="Arial" w:eastAsia="Arial"/>
                <w:b w:val="0"/>
                <w:sz w:val="16"/>
              </w:rPr>
              <w:t>Choledocholithiasis</w:t>
            </w:r>
          </w:p>
        </w:tc>
        <w:tc>
          <w:tcPr>
            <w:tcW w:type="dxa" w:w="1694"/>
            <w:vAlign w:val="center"/>
          </w:tcPr>
          <w:p>
            <w:pPr>
              <w:spacing w:after="0"/>
            </w:pPr>
            <w:r/>
            <w:r>
              <w:rPr>
                <w:rFonts w:ascii="Arial" w:hAnsi="Arial" w:eastAsia="Arial"/>
                <w:b w:val="0"/>
                <w:sz w:val="16"/>
              </w:rPr>
              <w:t>C_combined_capability_and_referral</w:t>
            </w:r>
          </w:p>
        </w:tc>
        <w:tc>
          <w:tcPr>
            <w:tcW w:type="dxa" w:w="1694"/>
            <w:vAlign w:val="center"/>
          </w:tcPr>
          <w:p>
            <w:pPr>
              <w:spacing w:after="0"/>
            </w:pPr>
            <w:r/>
            <w:r>
              <w:rPr>
                <w:rFonts w:ascii="Arial" w:hAnsi="Arial" w:eastAsia="Arial"/>
                <w:b w:val="0"/>
                <w:sz w:val="16"/>
              </w:rPr>
              <w:t>42,529</w:t>
            </w:r>
          </w:p>
        </w:tc>
        <w:tc>
          <w:tcPr>
            <w:tcW w:type="dxa" w:w="1694"/>
            <w:vAlign w:val="center"/>
          </w:tcPr>
          <w:p>
            <w:pPr>
              <w:spacing w:after="0"/>
            </w:pPr>
            <w:r/>
            <w:r>
              <w:rPr>
                <w:rFonts w:ascii="Arial" w:hAnsi="Arial" w:eastAsia="Arial"/>
                <w:b w:val="0"/>
                <w:sz w:val="16"/>
              </w:rPr>
              <w:t>+0.010 percentage points</w:t>
            </w:r>
          </w:p>
        </w:tc>
        <w:tc>
          <w:tcPr>
            <w:tcW w:type="dxa" w:w="1694"/>
            <w:vAlign w:val="center"/>
          </w:tcPr>
          <w:p>
            <w:pPr>
              <w:spacing w:after="0"/>
            </w:pPr>
            <w:r/>
            <w:r>
              <w:rPr>
                <w:rFonts w:ascii="Arial" w:hAnsi="Arial" w:eastAsia="Arial"/>
                <w:b w:val="0"/>
                <w:sz w:val="16"/>
              </w:rPr>
              <w:t>-0.051 percentage points to +0.071 percentage points</w:t>
            </w:r>
          </w:p>
        </w:tc>
        <w:tc>
          <w:tcPr>
            <w:tcW w:type="dxa" w:w="1694"/>
            <w:vAlign w:val="center"/>
          </w:tcPr>
          <w:p>
            <w:pPr>
              <w:spacing w:after="0"/>
            </w:pPr>
            <w:r/>
            <w:r>
              <w:rPr>
                <w:rFonts w:ascii="Arial" w:hAnsi="Arial" w:eastAsia="Arial"/>
                <w:b w:val="0"/>
                <w:sz w:val="16"/>
              </w:rPr>
              <w:t>21.1%</w:t>
            </w:r>
          </w:p>
        </w:tc>
      </w:tr>
    </w:tbl>
    <w:p/>
    <w:p>
      <w:pPr>
        <w:spacing w:after="60"/>
      </w:pPr>
      <w:r>
        <w:rPr>
          <w:b/>
        </w:rPr>
        <w:t>Supplementary Table S15 | Biliary acute pancreatitis subgroup and treatment heterogeneity. Completion percentages use the full pancreatitis or nonpancreatitis subgroup denominator; interaction estimates are exploratory and observational.</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rPr>
          <w:cantSplit/>
        </w:trPr>
        <w:tc>
          <w:tcPr>
            <w:tcW w:type="dxa" w:w="1130"/>
            <w:vAlign w:val="center"/>
            <w:shd w:fill="D9EAF7"/>
          </w:tcPr>
          <w:p>
            <w:pPr>
              <w:spacing w:after="0"/>
            </w:pPr>
            <w:r/>
            <w:r>
              <w:rPr>
                <w:rFonts w:ascii="Arial" w:hAnsi="Arial" w:eastAsia="Arial"/>
                <w:b/>
                <w:sz w:val="16"/>
              </w:rPr>
              <w:t>Cohort</w:t>
            </w:r>
          </w:p>
        </w:tc>
        <w:tc>
          <w:tcPr>
            <w:tcW w:type="dxa" w:w="1130"/>
            <w:vAlign w:val="center"/>
            <w:shd w:fill="D9EAF7"/>
          </w:tcPr>
          <w:p>
            <w:pPr>
              <w:spacing w:after="0"/>
            </w:pPr>
            <w:r/>
            <w:r>
              <w:rPr>
                <w:rFonts w:ascii="Arial" w:hAnsi="Arial" w:eastAsia="Arial"/>
                <w:b/>
                <w:sz w:val="16"/>
              </w:rPr>
              <w:t>Day-3 N</w:t>
            </w:r>
          </w:p>
        </w:tc>
        <w:tc>
          <w:tcPr>
            <w:tcW w:type="dxa" w:w="1130"/>
            <w:vAlign w:val="center"/>
            <w:shd w:fill="D9EAF7"/>
          </w:tcPr>
          <w:p>
            <w:pPr>
              <w:spacing w:after="0"/>
            </w:pPr>
            <w:r/>
            <w:r>
              <w:rPr>
                <w:rFonts w:ascii="Arial" w:hAnsi="Arial" w:eastAsia="Arial"/>
                <w:b/>
                <w:sz w:val="16"/>
              </w:rPr>
              <w:t>Pancreatitis N</w:t>
            </w:r>
          </w:p>
        </w:tc>
        <w:tc>
          <w:tcPr>
            <w:tcW w:type="dxa" w:w="1130"/>
            <w:vAlign w:val="center"/>
            <w:shd w:fill="D9EAF7"/>
          </w:tcPr>
          <w:p>
            <w:pPr>
              <w:spacing w:after="0"/>
            </w:pPr>
            <w:r/>
            <w:r>
              <w:rPr>
                <w:rFonts w:ascii="Arial" w:hAnsi="Arial" w:eastAsia="Arial"/>
                <w:b/>
                <w:sz w:val="16"/>
              </w:rPr>
              <w:t>Completion among pancreatitis admissions</w:t>
            </w:r>
          </w:p>
        </w:tc>
        <w:tc>
          <w:tcPr>
            <w:tcW w:type="dxa" w:w="1130"/>
            <w:vAlign w:val="center"/>
            <w:shd w:fill="D9EAF7"/>
          </w:tcPr>
          <w:p>
            <w:pPr>
              <w:spacing w:after="0"/>
            </w:pPr>
            <w:r/>
            <w:r>
              <w:rPr>
                <w:rFonts w:ascii="Arial" w:hAnsi="Arial" w:eastAsia="Arial"/>
                <w:b/>
                <w:sz w:val="16"/>
              </w:rPr>
              <w:t>Completion without pancreatitis</w:t>
            </w:r>
          </w:p>
        </w:tc>
        <w:tc>
          <w:tcPr>
            <w:tcW w:type="dxa" w:w="1130"/>
            <w:vAlign w:val="center"/>
            <w:shd w:fill="D9EAF7"/>
          </w:tcPr>
          <w:p>
            <w:pPr>
              <w:spacing w:after="0"/>
            </w:pPr>
            <w:r/>
            <w:r>
              <w:rPr>
                <w:rFonts w:ascii="Arial" w:hAnsi="Arial" w:eastAsia="Arial"/>
                <w:b/>
                <w:sz w:val="16"/>
              </w:rPr>
              <w:t>RD with pancreatitis</w:t>
            </w:r>
          </w:p>
        </w:tc>
        <w:tc>
          <w:tcPr>
            <w:tcW w:type="dxa" w:w="1130"/>
            <w:vAlign w:val="center"/>
            <w:shd w:fill="D9EAF7"/>
          </w:tcPr>
          <w:p>
            <w:pPr>
              <w:spacing w:after="0"/>
            </w:pPr>
            <w:r/>
            <w:r>
              <w:rPr>
                <w:rFonts w:ascii="Arial" w:hAnsi="Arial" w:eastAsia="Arial"/>
                <w:b/>
                <w:sz w:val="16"/>
              </w:rPr>
              <w:t>RD without pancreatitis</w:t>
            </w:r>
          </w:p>
        </w:tc>
        <w:tc>
          <w:tcPr>
            <w:tcW w:type="dxa" w:w="1130"/>
            <w:vAlign w:val="center"/>
            <w:shd w:fill="D9EAF7"/>
          </w:tcPr>
          <w:p>
            <w:pPr>
              <w:spacing w:after="0"/>
            </w:pPr>
            <w:r/>
            <w:r>
              <w:rPr>
                <w:rFonts w:ascii="Arial" w:hAnsi="Arial" w:eastAsia="Arial"/>
                <w:b/>
                <w:sz w:val="16"/>
              </w:rPr>
              <w:t>Interaction log-odds coefficient (95% CI)</w:t>
            </w:r>
          </w:p>
        </w:tc>
        <w:tc>
          <w:tcPr>
            <w:tcW w:type="dxa" w:w="1130"/>
            <w:vAlign w:val="center"/>
            <w:shd w:fill="D9EAF7"/>
          </w:tcPr>
          <w:p>
            <w:pPr>
              <w:spacing w:after="0"/>
            </w:pPr>
            <w:r/>
            <w:r>
              <w:rPr>
                <w:rFonts w:ascii="Arial" w:hAnsi="Arial" w:eastAsia="Arial"/>
                <w:b/>
                <w:sz w:val="16"/>
              </w:rPr>
              <w:t>P value</w:t>
            </w:r>
          </w:p>
        </w:tc>
      </w:tr>
      <w:tr>
        <w:trPr>
          <w:cantSplit/>
        </w:trPr>
        <w:tc>
          <w:tcPr>
            <w:tcW w:type="dxa" w:w="1130"/>
            <w:vAlign w:val="center"/>
          </w:tcPr>
          <w:p>
            <w:pPr>
              <w:spacing w:after="0"/>
            </w:pPr>
            <w:r/>
            <w:r>
              <w:rPr>
                <w:rFonts w:ascii="Arial" w:hAnsi="Arial" w:eastAsia="Arial"/>
                <w:b w:val="0"/>
                <w:sz w:val="16"/>
              </w:rPr>
              <w:t>Acute cholecystitis</w:t>
            </w:r>
          </w:p>
        </w:tc>
        <w:tc>
          <w:tcPr>
            <w:tcW w:type="dxa" w:w="1130"/>
            <w:vAlign w:val="center"/>
          </w:tcPr>
          <w:p>
            <w:pPr>
              <w:spacing w:after="0"/>
            </w:pPr>
            <w:r/>
            <w:r>
              <w:rPr>
                <w:rFonts w:ascii="Arial" w:hAnsi="Arial" w:eastAsia="Arial"/>
                <w:b w:val="0"/>
                <w:sz w:val="16"/>
              </w:rPr>
              <w:t>233,764</w:t>
            </w:r>
          </w:p>
        </w:tc>
        <w:tc>
          <w:tcPr>
            <w:tcW w:type="dxa" w:w="1130"/>
            <w:vAlign w:val="center"/>
          </w:tcPr>
          <w:p>
            <w:pPr>
              <w:spacing w:after="0"/>
            </w:pPr>
            <w:r/>
            <w:r>
              <w:rPr>
                <w:rFonts w:ascii="Arial" w:hAnsi="Arial" w:eastAsia="Arial"/>
                <w:b w:val="0"/>
                <w:sz w:val="16"/>
              </w:rPr>
              <w:t>15,779</w:t>
            </w:r>
          </w:p>
        </w:tc>
        <w:tc>
          <w:tcPr>
            <w:tcW w:type="dxa" w:w="1130"/>
            <w:vAlign w:val="center"/>
          </w:tcPr>
          <w:p>
            <w:pPr>
              <w:spacing w:after="0"/>
            </w:pPr>
            <w:r/>
            <w:r>
              <w:rPr>
                <w:rFonts w:ascii="Arial" w:hAnsi="Arial" w:eastAsia="Arial"/>
                <w:b w:val="0"/>
                <w:sz w:val="16"/>
              </w:rPr>
              <w:t>69.533%</w:t>
            </w:r>
          </w:p>
        </w:tc>
        <w:tc>
          <w:tcPr>
            <w:tcW w:type="dxa" w:w="1130"/>
            <w:vAlign w:val="center"/>
          </w:tcPr>
          <w:p>
            <w:pPr>
              <w:spacing w:after="0"/>
            </w:pPr>
            <w:r/>
            <w:r>
              <w:rPr>
                <w:rFonts w:ascii="Arial" w:hAnsi="Arial" w:eastAsia="Arial"/>
                <w:b w:val="0"/>
                <w:sz w:val="16"/>
              </w:rPr>
              <w:t>75.661%</w:t>
            </w:r>
          </w:p>
        </w:tc>
        <w:tc>
          <w:tcPr>
            <w:tcW w:type="dxa" w:w="1130"/>
            <w:vAlign w:val="center"/>
          </w:tcPr>
          <w:p>
            <w:pPr>
              <w:spacing w:after="0"/>
            </w:pPr>
            <w:r/>
            <w:r>
              <w:rPr>
                <w:rFonts w:ascii="Arial" w:hAnsi="Arial" w:eastAsia="Arial"/>
                <w:b w:val="0"/>
                <w:sz w:val="16"/>
              </w:rPr>
              <w:t>-5.947 percentage points</w:t>
            </w:r>
          </w:p>
        </w:tc>
        <w:tc>
          <w:tcPr>
            <w:tcW w:type="dxa" w:w="1130"/>
            <w:vAlign w:val="center"/>
          </w:tcPr>
          <w:p>
            <w:pPr>
              <w:spacing w:after="0"/>
            </w:pPr>
            <w:r/>
            <w:r>
              <w:rPr>
                <w:rFonts w:ascii="Arial" w:hAnsi="Arial" w:eastAsia="Arial"/>
                <w:b w:val="0"/>
                <w:sz w:val="16"/>
              </w:rPr>
              <w:t>-11.572 percentage points</w:t>
            </w:r>
          </w:p>
        </w:tc>
        <w:tc>
          <w:tcPr>
            <w:tcW w:type="dxa" w:w="1130"/>
            <w:vAlign w:val="center"/>
          </w:tcPr>
          <w:p>
            <w:pPr>
              <w:spacing w:after="0"/>
            </w:pPr>
            <w:r/>
            <w:r>
              <w:rPr>
                <w:rFonts w:ascii="Arial" w:hAnsi="Arial" w:eastAsia="Arial"/>
                <w:b w:val="0"/>
                <w:sz w:val="16"/>
              </w:rPr>
              <w:t>0.804 (0.596 to 1.012)</w:t>
            </w:r>
          </w:p>
        </w:tc>
        <w:tc>
          <w:tcPr>
            <w:tcW w:type="dxa" w:w="1130"/>
            <w:vAlign w:val="center"/>
          </w:tcPr>
          <w:p>
            <w:pPr>
              <w:spacing w:after="0"/>
            </w:pPr>
            <w:r/>
            <w:r>
              <w:rPr>
                <w:rFonts w:ascii="Arial" w:hAnsi="Arial" w:eastAsia="Arial"/>
                <w:b w:val="0"/>
                <w:sz w:val="16"/>
              </w:rPr>
              <w:t>3.69e-14</w:t>
            </w:r>
          </w:p>
        </w:tc>
      </w:tr>
      <w:tr>
        <w:trPr>
          <w:cantSplit/>
        </w:trPr>
        <w:tc>
          <w:tcPr>
            <w:tcW w:type="dxa" w:w="1130"/>
            <w:vAlign w:val="center"/>
          </w:tcPr>
          <w:p>
            <w:pPr>
              <w:spacing w:after="0"/>
            </w:pPr>
            <w:r/>
            <w:r>
              <w:rPr>
                <w:rFonts w:ascii="Arial" w:hAnsi="Arial" w:eastAsia="Arial"/>
                <w:b w:val="0"/>
                <w:sz w:val="16"/>
              </w:rPr>
              <w:t>Choledocholithiasis</w:t>
            </w:r>
          </w:p>
        </w:tc>
        <w:tc>
          <w:tcPr>
            <w:tcW w:type="dxa" w:w="1130"/>
            <w:vAlign w:val="center"/>
          </w:tcPr>
          <w:p>
            <w:pPr>
              <w:spacing w:after="0"/>
            </w:pPr>
            <w:r/>
            <w:r>
              <w:rPr>
                <w:rFonts w:ascii="Arial" w:hAnsi="Arial" w:eastAsia="Arial"/>
                <w:b w:val="0"/>
                <w:sz w:val="16"/>
              </w:rPr>
              <w:t>117,293</w:t>
            </w:r>
          </w:p>
        </w:tc>
        <w:tc>
          <w:tcPr>
            <w:tcW w:type="dxa" w:w="1130"/>
            <w:vAlign w:val="center"/>
          </w:tcPr>
          <w:p>
            <w:pPr>
              <w:spacing w:after="0"/>
            </w:pPr>
            <w:r/>
            <w:r>
              <w:rPr>
                <w:rFonts w:ascii="Arial" w:hAnsi="Arial" w:eastAsia="Arial"/>
                <w:b w:val="0"/>
                <w:sz w:val="16"/>
              </w:rPr>
              <w:t>14,507</w:t>
            </w:r>
          </w:p>
        </w:tc>
        <w:tc>
          <w:tcPr>
            <w:tcW w:type="dxa" w:w="1130"/>
            <w:vAlign w:val="center"/>
          </w:tcPr>
          <w:p>
            <w:pPr>
              <w:spacing w:after="0"/>
            </w:pPr>
            <w:r/>
            <w:r>
              <w:rPr>
                <w:rFonts w:ascii="Arial" w:hAnsi="Arial" w:eastAsia="Arial"/>
                <w:b w:val="0"/>
                <w:sz w:val="16"/>
              </w:rPr>
              <w:t>51.294%</w:t>
            </w:r>
          </w:p>
        </w:tc>
        <w:tc>
          <w:tcPr>
            <w:tcW w:type="dxa" w:w="1130"/>
            <w:vAlign w:val="center"/>
          </w:tcPr>
          <w:p>
            <w:pPr>
              <w:spacing w:after="0"/>
            </w:pPr>
            <w:r/>
            <w:r>
              <w:rPr>
                <w:rFonts w:ascii="Arial" w:hAnsi="Arial" w:eastAsia="Arial"/>
                <w:b w:val="0"/>
                <w:sz w:val="16"/>
              </w:rPr>
              <w:t>48.796%</w:t>
            </w:r>
          </w:p>
        </w:tc>
        <w:tc>
          <w:tcPr>
            <w:tcW w:type="dxa" w:w="1130"/>
            <w:vAlign w:val="center"/>
          </w:tcPr>
          <w:p>
            <w:pPr>
              <w:spacing w:after="0"/>
            </w:pPr>
            <w:r/>
            <w:r>
              <w:rPr>
                <w:rFonts w:ascii="Arial" w:hAnsi="Arial" w:eastAsia="Arial"/>
                <w:b w:val="0"/>
                <w:sz w:val="16"/>
              </w:rPr>
              <w:t>-2.444 percentage points</w:t>
            </w:r>
          </w:p>
        </w:tc>
        <w:tc>
          <w:tcPr>
            <w:tcW w:type="dxa" w:w="1130"/>
            <w:vAlign w:val="center"/>
          </w:tcPr>
          <w:p>
            <w:pPr>
              <w:spacing w:after="0"/>
            </w:pPr>
            <w:r/>
            <w:r>
              <w:rPr>
                <w:rFonts w:ascii="Arial" w:hAnsi="Arial" w:eastAsia="Arial"/>
                <w:b w:val="0"/>
                <w:sz w:val="16"/>
              </w:rPr>
              <w:t>-3.295 percentage points</w:t>
            </w:r>
          </w:p>
        </w:tc>
        <w:tc>
          <w:tcPr>
            <w:tcW w:type="dxa" w:w="1130"/>
            <w:vAlign w:val="center"/>
          </w:tcPr>
          <w:p>
            <w:pPr>
              <w:spacing w:after="0"/>
            </w:pPr>
            <w:r/>
            <w:r>
              <w:rPr>
                <w:rFonts w:ascii="Arial" w:hAnsi="Arial" w:eastAsia="Arial"/>
                <w:b w:val="0"/>
                <w:sz w:val="16"/>
              </w:rPr>
              <w:t>0.024 (-0.160 to 0.207)</w:t>
            </w:r>
          </w:p>
        </w:tc>
        <w:tc>
          <w:tcPr>
            <w:tcW w:type="dxa" w:w="1130"/>
            <w:vAlign w:val="center"/>
          </w:tcPr>
          <w:p>
            <w:pPr>
              <w:spacing w:after="0"/>
            </w:pPr>
            <w:r/>
            <w:r>
              <w:rPr>
                <w:rFonts w:ascii="Arial" w:hAnsi="Arial" w:eastAsia="Arial"/>
                <w:b w:val="0"/>
                <w:sz w:val="16"/>
              </w:rPr>
              <w:t>0.8</w:t>
            </w:r>
          </w:p>
        </w:tc>
      </w:tr>
    </w:tbl>
    <w:p/>
    <w:p>
      <w:pPr>
        <w:spacing w:after="60"/>
      </w:pPr>
      <w:r>
        <w:rPr>
          <w:b/>
        </w:rPr>
        <w:t>Supplementary Table S16 | Concept map and interpretation limits</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vAlign w:val="center"/>
            <w:shd w:fill="D9EAF7"/>
          </w:tcPr>
          <w:p>
            <w:pPr>
              <w:spacing w:after="0"/>
            </w:pPr>
            <w:r/>
            <w:r>
              <w:rPr>
                <w:rFonts w:ascii="Arial" w:hAnsi="Arial" w:eastAsia="Arial"/>
                <w:b/>
                <w:sz w:val="16"/>
              </w:rPr>
              <w:t>Concept</w:t>
            </w:r>
          </w:p>
        </w:tc>
        <w:tc>
          <w:tcPr>
            <w:tcW w:type="dxa" w:w="2541"/>
            <w:vAlign w:val="center"/>
            <w:shd w:fill="D9EAF7"/>
          </w:tcPr>
          <w:p>
            <w:pPr>
              <w:spacing w:after="0"/>
            </w:pPr>
            <w:r/>
            <w:r>
              <w:rPr>
                <w:rFonts w:ascii="Arial" w:hAnsi="Arial" w:eastAsia="Arial"/>
                <w:b/>
                <w:sz w:val="16"/>
              </w:rPr>
              <w:t>Derived field</w:t>
            </w:r>
          </w:p>
        </w:tc>
        <w:tc>
          <w:tcPr>
            <w:tcW w:type="dxa" w:w="2541"/>
            <w:vAlign w:val="center"/>
            <w:shd w:fill="D9EAF7"/>
          </w:tcPr>
          <w:p>
            <w:pPr>
              <w:spacing w:after="0"/>
            </w:pPr>
            <w:r/>
            <w:r>
              <w:rPr>
                <w:rFonts w:ascii="Arial" w:hAnsi="Arial" w:eastAsia="Arial"/>
                <w:b/>
                <w:sz w:val="16"/>
              </w:rPr>
              <w:t>Code or procedure family</w:t>
            </w:r>
          </w:p>
        </w:tc>
        <w:tc>
          <w:tcPr>
            <w:tcW w:type="dxa" w:w="2541"/>
            <w:vAlign w:val="center"/>
            <w:shd w:fill="D9EAF7"/>
          </w:tcPr>
          <w:p>
            <w:pPr>
              <w:spacing w:after="0"/>
            </w:pPr>
            <w:r/>
            <w:r>
              <w:rPr>
                <w:rFonts w:ascii="Arial" w:hAnsi="Arial" w:eastAsia="Arial"/>
                <w:b/>
                <w:sz w:val="16"/>
              </w:rPr>
              <w:t>Operational note</w:t>
            </w:r>
          </w:p>
        </w:tc>
      </w:tr>
      <w:tr>
        <w:trPr>
          <w:cantSplit/>
        </w:trPr>
        <w:tc>
          <w:tcPr>
            <w:tcW w:type="dxa" w:w="2541"/>
            <w:vAlign w:val="center"/>
          </w:tcPr>
          <w:p>
            <w:pPr>
              <w:spacing w:after="0"/>
            </w:pPr>
            <w:r/>
            <w:r>
              <w:rPr>
                <w:rFonts w:ascii="Arial" w:hAnsi="Arial" w:eastAsia="Arial"/>
                <w:b w:val="0"/>
                <w:sz w:val="16"/>
              </w:rPr>
              <w:t>US acute cholecystitis</w:t>
            </w:r>
          </w:p>
        </w:tc>
        <w:tc>
          <w:tcPr>
            <w:tcW w:type="dxa" w:w="2541"/>
            <w:vAlign w:val="center"/>
          </w:tcPr>
          <w:p>
            <w:pPr>
              <w:spacing w:after="0"/>
            </w:pPr>
            <w:r/>
            <w:r>
              <w:rPr>
                <w:rFonts w:ascii="Arial" w:hAnsi="Arial" w:eastAsia="Arial"/>
                <w:b w:val="0"/>
                <w:sz w:val="16"/>
              </w:rPr>
              <w:t>dx_any_acute_cholecystitis; index cohort rule</w:t>
            </w:r>
          </w:p>
        </w:tc>
        <w:tc>
          <w:tcPr>
            <w:tcW w:type="dxa" w:w="2541"/>
            <w:vAlign w:val="center"/>
          </w:tcPr>
          <w:p>
            <w:pPr>
              <w:spacing w:after="0"/>
            </w:pPr>
            <w:r/>
            <w:r>
              <w:rPr>
                <w:rFonts w:ascii="Arial" w:hAnsi="Arial" w:eastAsia="Arial"/>
                <w:b w:val="0"/>
                <w:sz w:val="16"/>
              </w:rPr>
              <w:t>ICD-10-CM K8000/K8001/K8012/K8013/K8042/K8043/K8046/K8047/K8062/K8063/K8066/K8067 families</w:t>
            </w:r>
          </w:p>
        </w:tc>
        <w:tc>
          <w:tcPr>
            <w:tcW w:type="dxa" w:w="2541"/>
            <w:vAlign w:val="center"/>
          </w:tcPr>
          <w:p>
            <w:pPr>
              <w:spacing w:after="0"/>
            </w:pPr>
            <w:r/>
            <w:r>
              <w:rPr>
                <w:rFonts w:ascii="Arial" w:hAnsi="Arial" w:eastAsia="Arial"/>
                <w:b w:val="0"/>
                <w:sz w:val="16"/>
              </w:rPr>
              <w:t>Principal or related diagnosis map; urgent adult admission</w:t>
            </w:r>
          </w:p>
        </w:tc>
      </w:tr>
      <w:tr>
        <w:trPr>
          <w:cantSplit/>
        </w:trPr>
        <w:tc>
          <w:tcPr>
            <w:tcW w:type="dxa" w:w="2541"/>
            <w:vAlign w:val="center"/>
          </w:tcPr>
          <w:p>
            <w:pPr>
              <w:spacing w:after="0"/>
            </w:pPr>
            <w:r/>
            <w:r>
              <w:rPr>
                <w:rFonts w:ascii="Arial" w:hAnsi="Arial" w:eastAsia="Arial"/>
                <w:b w:val="0"/>
                <w:sz w:val="16"/>
              </w:rPr>
              <w:t>US choledocholithiasis</w:t>
            </w:r>
          </w:p>
        </w:tc>
        <w:tc>
          <w:tcPr>
            <w:tcW w:type="dxa" w:w="2541"/>
            <w:vAlign w:val="center"/>
          </w:tcPr>
          <w:p>
            <w:pPr>
              <w:spacing w:after="0"/>
            </w:pPr>
            <w:r/>
            <w:r>
              <w:rPr>
                <w:rFonts w:ascii="Arial" w:hAnsi="Arial" w:eastAsia="Arial"/>
                <w:b w:val="0"/>
                <w:sz w:val="16"/>
              </w:rPr>
              <w:t>dx_any_choledocholithiasis; index cohort rule</w:t>
            </w:r>
          </w:p>
        </w:tc>
        <w:tc>
          <w:tcPr>
            <w:tcW w:type="dxa" w:w="2541"/>
            <w:vAlign w:val="center"/>
          </w:tcPr>
          <w:p>
            <w:pPr>
              <w:spacing w:after="0"/>
            </w:pPr>
            <w:r/>
            <w:r>
              <w:rPr>
                <w:rFonts w:ascii="Arial" w:hAnsi="Arial" w:eastAsia="Arial"/>
                <w:b w:val="0"/>
                <w:sz w:val="16"/>
              </w:rPr>
              <w:t>ICD-10-CM K803/K804/K805 families and locked related-diagnosis map</w:t>
            </w:r>
          </w:p>
        </w:tc>
        <w:tc>
          <w:tcPr>
            <w:tcW w:type="dxa" w:w="2541"/>
            <w:vAlign w:val="center"/>
          </w:tcPr>
          <w:p>
            <w:pPr>
              <w:spacing w:after="0"/>
            </w:pPr>
            <w:r/>
            <w:r>
              <w:rPr>
                <w:rFonts w:ascii="Arial" w:hAnsi="Arial" w:eastAsia="Arial"/>
                <w:b w:val="0"/>
                <w:sz w:val="16"/>
              </w:rPr>
              <w:t>Separate cohort; treatment remains a duct-directed procedure proxy</w:t>
            </w:r>
          </w:p>
        </w:tc>
      </w:tr>
      <w:tr>
        <w:trPr>
          <w:cantSplit/>
        </w:trPr>
        <w:tc>
          <w:tcPr>
            <w:tcW w:type="dxa" w:w="2541"/>
            <w:vAlign w:val="center"/>
          </w:tcPr>
          <w:p>
            <w:pPr>
              <w:spacing w:after="0"/>
            </w:pPr>
            <w:r/>
            <w:r>
              <w:rPr>
                <w:rFonts w:ascii="Arial" w:hAnsi="Arial" w:eastAsia="Arial"/>
                <w:b w:val="0"/>
                <w:sz w:val="16"/>
              </w:rPr>
              <w:t>US acute pancreatitis subgroup</w:t>
            </w:r>
          </w:p>
        </w:tc>
        <w:tc>
          <w:tcPr>
            <w:tcW w:type="dxa" w:w="2541"/>
            <w:vAlign w:val="center"/>
          </w:tcPr>
          <w:p>
            <w:pPr>
              <w:spacing w:after="0"/>
            </w:pPr>
            <w:r/>
            <w:r>
              <w:rPr>
                <w:rFonts w:ascii="Arial" w:hAnsi="Arial" w:eastAsia="Arial"/>
                <w:b w:val="0"/>
                <w:sz w:val="16"/>
              </w:rPr>
              <w:t>dx_any_biliary_acute_pancreatitis</w:t>
            </w:r>
          </w:p>
        </w:tc>
        <w:tc>
          <w:tcPr>
            <w:tcW w:type="dxa" w:w="2541"/>
            <w:vAlign w:val="center"/>
          </w:tcPr>
          <w:p>
            <w:pPr>
              <w:spacing w:after="0"/>
            </w:pPr>
            <w:r/>
            <w:r>
              <w:rPr>
                <w:rFonts w:ascii="Arial" w:hAnsi="Arial" w:eastAsia="Arial"/>
                <w:b w:val="0"/>
                <w:sz w:val="16"/>
              </w:rPr>
              <w:t>ICD-10-CM K85.1 biliary acute pancreatitis phenotype in the locked map</w:t>
            </w:r>
          </w:p>
        </w:tc>
        <w:tc>
          <w:tcPr>
            <w:tcW w:type="dxa" w:w="2541"/>
            <w:vAlign w:val="center"/>
          </w:tcPr>
          <w:p>
            <w:pPr>
              <w:spacing w:after="0"/>
            </w:pPr>
            <w:r/>
            <w:r>
              <w:rPr>
                <w:rFonts w:ascii="Arial" w:hAnsi="Arial" w:eastAsia="Arial"/>
                <w:b w:val="0"/>
                <w:sz w:val="16"/>
              </w:rPr>
              <w:t>Coded phenotype; no clinical adjudication of etiology or severity</w:t>
            </w:r>
          </w:p>
        </w:tc>
      </w:tr>
      <w:tr>
        <w:trPr>
          <w:cantSplit/>
        </w:trPr>
        <w:tc>
          <w:tcPr>
            <w:tcW w:type="dxa" w:w="2541"/>
            <w:vAlign w:val="center"/>
          </w:tcPr>
          <w:p>
            <w:pPr>
              <w:spacing w:after="0"/>
            </w:pPr>
            <w:r/>
            <w:r>
              <w:rPr>
                <w:rFonts w:ascii="Arial" w:hAnsi="Arial" w:eastAsia="Arial"/>
                <w:b w:val="0"/>
                <w:sz w:val="16"/>
              </w:rPr>
              <w:t>US acute cholecystitis completion</w:t>
            </w:r>
          </w:p>
        </w:tc>
        <w:tc>
          <w:tcPr>
            <w:tcW w:type="dxa" w:w="2541"/>
            <w:vAlign w:val="center"/>
          </w:tcPr>
          <w:p>
            <w:pPr>
              <w:spacing w:after="0"/>
            </w:pPr>
            <w:r/>
            <w:r>
              <w:rPr>
                <w:rFonts w:ascii="Arial" w:hAnsi="Arial" w:eastAsia="Arial"/>
                <w:b w:val="0"/>
                <w:sz w:val="16"/>
              </w:rPr>
              <w:t>early_completion_day3</w:t>
            </w:r>
          </w:p>
        </w:tc>
        <w:tc>
          <w:tcPr>
            <w:tcW w:type="dxa" w:w="2541"/>
            <w:vAlign w:val="center"/>
          </w:tcPr>
          <w:p>
            <w:pPr>
              <w:spacing w:after="0"/>
            </w:pPr>
            <w:r/>
            <w:r>
              <w:rPr>
                <w:rFonts w:ascii="Arial" w:hAnsi="Arial" w:eastAsia="Arial"/>
                <w:b w:val="0"/>
                <w:sz w:val="16"/>
              </w:rPr>
              <w:t>Recorded cholecystectomy with known procedure day &lt;= day 3</w:t>
            </w:r>
          </w:p>
        </w:tc>
        <w:tc>
          <w:tcPr>
            <w:tcW w:type="dxa" w:w="2541"/>
            <w:vAlign w:val="center"/>
          </w:tcPr>
          <w:p>
            <w:pPr>
              <w:spacing w:after="0"/>
            </w:pPr>
            <w:r/>
            <w:r>
              <w:rPr>
                <w:rFonts w:ascii="Arial" w:hAnsi="Arial" w:eastAsia="Arial"/>
                <w:b w:val="0"/>
                <w:sz w:val="16"/>
              </w:rPr>
              <w:t>Percutaneous drainage alone is not completion</w:t>
            </w:r>
          </w:p>
        </w:tc>
      </w:tr>
      <w:tr>
        <w:trPr>
          <w:cantSplit/>
        </w:trPr>
        <w:tc>
          <w:tcPr>
            <w:tcW w:type="dxa" w:w="2541"/>
            <w:vAlign w:val="center"/>
          </w:tcPr>
          <w:p>
            <w:pPr>
              <w:spacing w:after="0"/>
            </w:pPr>
            <w:r/>
            <w:r>
              <w:rPr>
                <w:rFonts w:ascii="Arial" w:hAnsi="Arial" w:eastAsia="Arial"/>
                <w:b w:val="0"/>
                <w:sz w:val="16"/>
              </w:rPr>
              <w:t>US choledocholithiasis completion</w:t>
            </w:r>
          </w:p>
        </w:tc>
        <w:tc>
          <w:tcPr>
            <w:tcW w:type="dxa" w:w="2541"/>
            <w:vAlign w:val="center"/>
          </w:tcPr>
          <w:p>
            <w:pPr>
              <w:spacing w:after="0"/>
            </w:pPr>
            <w:r/>
            <w:r>
              <w:rPr>
                <w:rFonts w:ascii="Arial" w:hAnsi="Arial" w:eastAsia="Arial"/>
                <w:b w:val="0"/>
                <w:sz w:val="16"/>
              </w:rPr>
              <w:t>early_completion_day3</w:t>
            </w:r>
          </w:p>
        </w:tc>
        <w:tc>
          <w:tcPr>
            <w:tcW w:type="dxa" w:w="2541"/>
            <w:vAlign w:val="center"/>
          </w:tcPr>
          <w:p>
            <w:pPr>
              <w:spacing w:after="0"/>
            </w:pPr>
            <w:r/>
            <w:r>
              <w:rPr>
                <w:rFonts w:ascii="Arial" w:hAnsi="Arial" w:eastAsia="Arial"/>
                <w:b w:val="0"/>
                <w:sz w:val="16"/>
              </w:rPr>
              <w:t>Recorded therapeutic ERCP clearance proxy or surgical bile-duct clearance proxy</w:t>
            </w:r>
          </w:p>
        </w:tc>
        <w:tc>
          <w:tcPr>
            <w:tcW w:type="dxa" w:w="2541"/>
            <w:vAlign w:val="center"/>
          </w:tcPr>
          <w:p>
            <w:pPr>
              <w:spacing w:after="0"/>
            </w:pPr>
            <w:r/>
            <w:r>
              <w:rPr>
                <w:rFonts w:ascii="Arial" w:hAnsi="Arial" w:eastAsia="Arial"/>
                <w:b w:val="0"/>
                <w:sz w:val="16"/>
              </w:rPr>
              <w:t>Does not verify stone clearance; not equivalent to definitive clearance</w:t>
            </w:r>
          </w:p>
        </w:tc>
      </w:tr>
      <w:tr>
        <w:trPr>
          <w:cantSplit/>
        </w:trPr>
        <w:tc>
          <w:tcPr>
            <w:tcW w:type="dxa" w:w="2541"/>
            <w:vAlign w:val="center"/>
          </w:tcPr>
          <w:p>
            <w:pPr>
              <w:spacing w:after="0"/>
            </w:pPr>
            <w:r/>
            <w:r>
              <w:rPr>
                <w:rFonts w:ascii="Arial" w:hAnsi="Arial" w:eastAsia="Arial"/>
                <w:b w:val="0"/>
                <w:sz w:val="16"/>
              </w:rPr>
              <w:t>US outcome</w:t>
            </w:r>
          </w:p>
        </w:tc>
        <w:tc>
          <w:tcPr>
            <w:tcW w:type="dxa" w:w="2541"/>
            <w:vAlign w:val="center"/>
          </w:tcPr>
          <w:p>
            <w:pPr>
              <w:spacing w:after="0"/>
            </w:pPr>
            <w:r/>
            <w:r>
              <w:rPr>
                <w:rFonts w:ascii="Arial" w:hAnsi="Arial" w:eastAsia="Arial"/>
                <w:b w:val="0"/>
                <w:sz w:val="16"/>
              </w:rPr>
              <w:t>biliary_readmission_d3_93</w:t>
            </w:r>
          </w:p>
        </w:tc>
        <w:tc>
          <w:tcPr>
            <w:tcW w:type="dxa" w:w="2541"/>
            <w:vAlign w:val="center"/>
          </w:tcPr>
          <w:p>
            <w:pPr>
              <w:spacing w:after="0"/>
            </w:pPr>
            <w:r/>
            <w:r>
              <w:rPr>
                <w:rFonts w:ascii="Arial" w:hAnsi="Arial" w:eastAsia="Arial"/>
                <w:b w:val="0"/>
                <w:sz w:val="16"/>
              </w:rPr>
              <w:t>First observed related-diagnosis inpatient return after day 3 through day 93</w:t>
            </w:r>
          </w:p>
        </w:tc>
        <w:tc>
          <w:tcPr>
            <w:tcW w:type="dxa" w:w="2541"/>
            <w:vAlign w:val="center"/>
          </w:tcPr>
          <w:p>
            <w:pPr>
              <w:spacing w:after="0"/>
            </w:pPr>
            <w:r/>
            <w:r>
              <w:rPr>
                <w:rFonts w:ascii="Arial" w:hAnsi="Arial" w:eastAsia="Arial"/>
                <w:b w:val="0"/>
                <w:sz w:val="16"/>
              </w:rPr>
              <w:t>Includes planned and unplanned biliary-related returns; therefore reported as observed return, not recurrence</w:t>
            </w:r>
          </w:p>
        </w:tc>
      </w:tr>
      <w:tr>
        <w:trPr>
          <w:cantSplit/>
        </w:trPr>
        <w:tc>
          <w:tcPr>
            <w:tcW w:type="dxa" w:w="2541"/>
            <w:vAlign w:val="center"/>
          </w:tcPr>
          <w:p>
            <w:pPr>
              <w:spacing w:after="0"/>
            </w:pPr>
            <w:r/>
            <w:r>
              <w:rPr>
                <w:rFonts w:ascii="Arial" w:hAnsi="Arial" w:eastAsia="Arial"/>
                <w:b w:val="0"/>
                <w:sz w:val="16"/>
              </w:rPr>
              <w:t>Brazil pathway</w:t>
            </w:r>
          </w:p>
        </w:tc>
        <w:tc>
          <w:tcPr>
            <w:tcW w:type="dxa" w:w="2541"/>
            <w:vAlign w:val="center"/>
          </w:tcPr>
          <w:p>
            <w:pPr>
              <w:spacing w:after="0"/>
            </w:pPr>
            <w:r/>
            <w:r>
              <w:rPr>
                <w:rFonts w:ascii="Arial" w:hAnsi="Arial" w:eastAsia="Arial"/>
                <w:b w:val="0"/>
                <w:sz w:val="16"/>
              </w:rPr>
              <w:t>primary_completion / narrow_completion</w:t>
            </w:r>
          </w:p>
        </w:tc>
        <w:tc>
          <w:tcPr>
            <w:tcW w:type="dxa" w:w="2541"/>
            <w:vAlign w:val="center"/>
          </w:tcPr>
          <w:p>
            <w:pPr>
              <w:spacing w:after="0"/>
            </w:pPr>
            <w:r/>
            <w:r>
              <w:rPr>
                <w:rFonts w:ascii="Arial" w:hAnsi="Arial" w:eastAsia="Arial"/>
                <w:b w:val="0"/>
                <w:sz w:val="16"/>
              </w:rPr>
              <w:t>SIH-SUS CID-10 and SIGTAP procedure families linked to CNES</w:t>
            </w:r>
          </w:p>
        </w:tc>
        <w:tc>
          <w:tcPr>
            <w:tcW w:type="dxa" w:w="2541"/>
            <w:vAlign w:val="center"/>
          </w:tcPr>
          <w:p>
            <w:pPr>
              <w:spacing w:after="0"/>
            </w:pPr>
            <w:r/>
            <w:r>
              <w:rPr>
                <w:rFonts w:ascii="Arial" w:hAnsi="Arial" w:eastAsia="Arial"/>
                <w:b w:val="0"/>
                <w:sz w:val="16"/>
              </w:rPr>
              <w:t>Admission-level pathway proxy; no patient-level 90-day follow-up</w:t>
            </w:r>
          </w:p>
        </w:tc>
      </w:tr>
    </w:tbl>
    <w:p/>
    <w:p>
      <w:pPr>
        <w:pStyle w:val="Heading2"/>
      </w:pPr>
      <w:r>
        <w:t>Cohort harmonization</w:t>
      </w:r>
    </w:p>
    <w:p>
      <w:pPr>
        <w:spacing w:line="259" w:lineRule="auto"/>
      </w:pPr>
      <w:r>
        <w:t>A review before result integration found that an early hospital-extension analysis used a narrower eligibility definition than the broad day-3 cohort used for the primary analysis. The final extension used the broad day-3 risk set, exact counts, recorded completion definitions, and full linked-admission reconstruction. The harmonization was identified before result integration and was not selected according to result direction or magnitude. The Brazil pathway module was analyzed for the prespecified 2018-2022 window using the same admission-level procedure definitions.</w:t>
      </w:r>
    </w:p>
    <w:p>
      <w:pPr>
        <w:pStyle w:val="Heading1"/>
      </w:pPr>
      <w:r>
        <w:t>Supplementary figure and table notes</w:t>
      </w:r>
    </w:p>
    <w:p>
      <w:pPr>
        <w:spacing w:line="259" w:lineRule="auto"/>
      </w:pPr>
      <w:r>
        <w:t>All displayed intervals are bootstrap intervals unless explicitly identified as model-standardized confidence intervals. No patient-level records are included in the submission package.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2026-09-19T01:37:41Z</dcterms:created>
  <dcterms:modified xsi:type="dcterms:W3CDTF">2026-09-19T01:37:41Z</dcterms:modified>
  <cp:category/>
</cp:coreProperties>
</file>