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Multi-agent dispute resolution for the Ryde platform. Development report covering 18 September – 1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b/>
        </w:rPr>
        <w:t xml:space="preserve">•  Development period: </w:t>
      </w:r>
      <w:r>
        <w:t>18/9/2026 – 1/10/2026 (submission deadline 16/10/2026)</w:t>
      </w:r>
    </w:p>
    <w:p>
      <w:pPr>
        <w:pStyle w:val="ListParagraph"/>
      </w:pPr>
      <w:r>
        <w:rPr>
          <w:b/>
        </w:rPr>
        <w:t xml:space="preserve">•  Main technologies: </w:t>
      </w:r>
      <w:r>
        <w:t>Python 3.13, FastAPI, LangGraph, Pydantic; LLMs: Google Gemini 2.5 Flash (first week), Groq and Cerebras gpt-oss-120b (evaluation); Qdrant Cloud hybrid search (BAAI/bge-base-en-v1.5 dense + BM25, fastembed) with local ChromaDB for tests; SQLite for rulings and audit log; Pytest; CodeBuddy; Tencent ADP (policy Q&amp;A, auxiliary).</w:t>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 xml:space="preserve">Result: </w:t>
      </w:r>
      <w:r>
        <w:rPr>
          <w:i w:val="0"/>
        </w:rPr>
        <w:t>Replayed on the recorded rulings, the fixes give 25/27; a confirming run is next (Iteration 9).</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r>
              <w:rPr>
                <w:sz w:val="19"/>
              </w:rPr>
              <w:t>Confirming run pending</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START</w:t>
        <w:br/>
      </w:r>
      <w:r>
        <w:rPr>
          <w:rFonts w:ascii="Consolas" w:hAnsi="Consolas" w:eastAsia="Consolas"/>
          <w:sz w:val="18"/>
        </w:rPr>
        <w:t xml:space="preserve"> -&gt; Collector      load trip, payment, chat, GPS, app events, the trip's rules;</w:t>
        <w:br/>
      </w:r>
      <w:r>
        <w:rPr>
          <w:rFonts w:ascii="Consolas" w:hAnsi="Consolas" w:eastAsia="Consolas"/>
          <w:sz w:val="18"/>
        </w:rPr>
        <w:t xml:space="preserve">                   run 9 deterministic tools -&gt; facts / conflicts / gaps with sources</w:t>
        <w:br/>
      </w:r>
      <w:r>
        <w:rPr>
          <w:rFonts w:ascii="Consolas" w:hAnsi="Consolas" w:eastAsia="Consolas"/>
          <w:sz w:val="18"/>
        </w:rPr>
        <w:t xml:space="preserve"> -&gt; Classifier     P0 safety keywords first, then type and urgency</w:t>
        <w:br/>
      </w:r>
      <w:r>
        <w:rPr>
          <w:rFonts w:ascii="Consolas" w:hAnsi="Consolas" w:eastAsia="Consolas"/>
          <w:sz w:val="18"/>
        </w:rPr>
        <w:t xml:space="preserve">      [requires_human or node error] -&gt; Human review -&gt; END</w:t>
        <w:br/>
      </w:r>
      <w:r>
        <w:rPr>
          <w:rFonts w:ascii="Consolas" w:hAnsi="Consolas" w:eastAsia="Consolas"/>
          <w:sz w:val="18"/>
        </w:rPr>
        <w:t xml:space="preserve"> -&gt; Case Brief     no LLM: facts, conflicts, gaps, trip rules, event timeline,</w:t>
        <w:br/>
      </w:r>
      <w:r>
        <w:rPr>
          <w:rFonts w:ascii="Consolas" w:hAnsi="Consolas" w:eastAsia="Consolas"/>
          <w:sz w:val="18"/>
        </w:rPr>
        <w:t xml:space="preserve">                   base clauses = complaint search (tag-ranked) + type topics + data-triggered topics</w:t>
        <w:br/>
      </w:r>
      <w:r>
        <w:rPr>
          <w:rFonts w:ascii="Consolas" w:hAnsi="Consolas" w:eastAsia="Consolas"/>
          <w:sz w:val="18"/>
        </w:rPr>
        <w:t xml:space="preserve"> -&gt; Debate         Passenger and Driver openings, Policy compliance check;</w:t>
        <w:br/>
      </w:r>
      <w:r>
        <w:rPr>
          <w:rFonts w:ascii="Consolas" w:hAnsi="Consolas" w:eastAsia="Consolas"/>
          <w:sz w:val="18"/>
        </w:rPr>
        <w:t xml:space="preserve">                   advocates may request &lt;= 2 catalogue topics -&gt; shared clause pool;</w:t>
        <w:br/>
      </w:r>
      <w:r>
        <w:rPr>
          <w:rFonts w:ascii="Consolas" w:hAnsi="Consolas" w:eastAsia="Consolas"/>
          <w:sz w:val="18"/>
        </w:rPr>
        <w:t xml:space="preserve">                   rebuttal rounds (1 by default); stops at once if the daily quota is exhausted</w:t>
        <w:br/>
      </w:r>
      <w:r>
        <w:rPr>
          <w:rFonts w:ascii="Consolas" w:hAnsi="Consolas" w:eastAsia="Consolas"/>
          <w:sz w:val="18"/>
        </w:rPr>
        <w:t xml:space="preserve"> -&gt; Arbitrator     reads the brief first, then both sides, policy check and debate;</w:t>
        <w:br/>
      </w:r>
      <w:r>
        <w:rPr>
          <w:rFonts w:ascii="Consolas" w:hAnsi="Consolas" w:eastAsia="Consolas"/>
          <w:sz w:val="18"/>
        </w:rPr>
        <w:t xml:space="preserve">                   citations outside the retrieved clauses / trip rules are stripped;</w:t>
        <w:br/>
      </w:r>
      <w:r>
        <w:rPr>
          <w:rFonts w:ascii="Consolas" w:hAnsi="Consolas" w:eastAsia="Consolas"/>
          <w:sz w:val="18"/>
        </w:rPr>
        <w:t xml:space="preserve">                   label follows the refund</w:t>
        <w:br/>
      </w:r>
      <w:r>
        <w:rPr>
          <w:rFonts w:ascii="Consolas" w:hAnsi="Consolas" w:eastAsia="Consolas"/>
          <w:sz w:val="18"/>
        </w:rPr>
        <w:t xml:space="preserve"> -&gt; Fairness       deterministic checks, then an LLM review only if still ambiguous</w:t>
        <w:br/>
      </w:r>
      <w:r>
        <w:rPr>
          <w:rFonts w:ascii="Consolas" w:hAnsi="Consolas" w:eastAsia="Consolas"/>
          <w:sz w:val="18"/>
        </w:rPr>
        <w:t xml:space="preserve">      [human_review_needed, high-severity finding, or no assessment] -&gt; Human review -&gt; END</w:t>
        <w:br/>
      </w:r>
      <w:r>
        <w:rPr>
          <w:rFonts w:ascii="Consolas" w:hAnsi="Consolas" w:eastAsia="Consolas"/>
          <w:sz w:val="18"/>
        </w:rP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b/>
        </w:rPr>
        <w:t xml:space="preserve">•  Classifier gate: </w:t>
      </w:r>
      <w:r>
        <w:t>P0 safety or legal keywords, or an unclassifiable case → human review, the debate is skipped.</w:t>
      </w:r>
    </w:p>
    <w:p>
      <w:pPr>
        <w:pStyle w:val="ListParagraph"/>
      </w:pPr>
      <w:r>
        <w:rPr>
          <w:b/>
        </w:rPr>
        <w:t xml:space="preserve">•  Debate done: </w:t>
      </w:r>
      <w:r>
        <w:t>both openings and the policy check exist; a failed advocate counts as "side not considered".</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b/>
        </w:rPr>
        <w:t xml:space="preserve">•  Bounded: </w:t>
      </w:r>
      <w:r>
        <w:t>one rebuttal round by default,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Unit and integration tests: 325 passing (Pytest), covering every agent, the workflow routes, the Collector tools, retrieval ranking, the Case Brief, the guards and the evaluation scoring. The cases below are real end-to-end runs from the 1/10 evaluation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Safety incident (SI-001): escalated by the Classifier before any debate.</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2"/>
      </w:pPr>
      <w:r>
        <w:t>10. Human Escalation Design</w:t>
      </w:r>
    </w:p>
    <w:p>
      <w:pPr/>
      <w:r>
        <w:rPr>
          <w:i w:val="0"/>
        </w:rPr>
        <w:t>A case goes to a person when any of these holds:</w:t>
      </w:r>
    </w:p>
    <w:p>
      <w:pPr>
        <w:pStyle w:val="ListParagraph"/>
      </w:pPr>
      <w:r>
        <w:t>•  P0 safety or legal signals (accident, injury, assault, police, lawsuit) — before any debate;</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r>
        <w:rPr>
          <w:i/>
        </w:rPr>
        <w:t>Further CodeBuddy sessions from the agent and debugging work still need their screenshots attached to this section.</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
              <w:rPr>
                <w:sz w:val="19"/>
              </w:rPr>
              <w:t>Classifier</w:t>
            </w:r>
          </w:p>
        </w:tc>
        <w:tc>
          <w:tcPr>
            <w:tcW w:type="dxa" w:w="4513"/>
          </w:tcPr>
          <w:p>
            <w:r/>
            <w:r>
              <w:rPr>
                <w:sz w:val="19"/>
              </w:rPr>
              <w:t>Dispute type and urgency; P0 safety keywords escalate before any LLM step.</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
              <w:rPr>
                <w:sz w:val="19"/>
              </w:rPr>
              <w:t>Debate engine</w:t>
            </w:r>
          </w:p>
        </w:tc>
        <w:tc>
          <w:tcPr>
            <w:tcW w:type="dxa" w:w="4513"/>
          </w:tcPr>
          <w:p>
            <w:r/>
            <w:r>
              <w:rPr>
                <w:sz w:val="19"/>
              </w:rPr>
              <w:t>Rebuttal rounds;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
              <w:rPr>
                <w:sz w:val="19"/>
              </w:rPr>
              <w:t>Fairness agent</w:t>
            </w:r>
          </w:p>
        </w:tc>
        <w:tc>
          <w:tcPr>
            <w:tcW w:type="dxa" w:w="4513"/>
          </w:tcPr>
          <w:p>
            <w:r/>
            <w:r>
              <w:rPr>
                <w:sz w:val="19"/>
              </w:rPr>
              <w:t>Independent audit: deterministic checks plus an LLM review;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Confirming run (1/10 evening, 27 cases: 14 dev + 13 held-out, Cerebras gpt-oss-120b, one run each, final code):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
              <w:rPr>
                <w:sz w:val="19"/>
              </w:rPr>
              <w:t>Verdict accuracy</w:t>
            </w:r>
          </w:p>
        </w:tc>
        <w:tc>
          <w:tcPr>
            <w:tcW w:type="dxa" w:w="3009"/>
          </w:tcPr>
          <w:p>
            <w:r/>
            <w:r>
              <w:rPr>
                <w:sz w:val="19"/>
              </w:rPr>
              <w:t>≥ 85%</w:t>
            </w:r>
          </w:p>
        </w:tc>
        <w:tc>
          <w:tcPr>
            <w:tcW w:type="dxa" w:w="3009"/>
          </w:tcPr>
          <w:p>
            <w:r>
              <w:t>93% (25/27; dev 100%, held-out 85%)</w:t>
            </w:r>
            <w:r>
              <w:rPr>
                <w:sz w:val="19"/>
              </w:rPr>
            </w:r>
          </w:p>
        </w:tc>
      </w:tr>
      <w:tr>
        <w:tc>
          <w:tcPr>
            <w:tcW w:type="dxa" w:w="3009"/>
          </w:tcPr>
          <w:p>
            <w:r/>
            <w:r>
              <w:rPr>
                <w:sz w:val="19"/>
              </w:rPr>
              <w:t>Refund accuracy</w:t>
            </w:r>
          </w:p>
        </w:tc>
        <w:tc>
          <w:tcPr>
            <w:tcW w:type="dxa" w:w="3009"/>
          </w:tcPr>
          <w:p>
            <w:r/>
            <w:r>
              <w:rPr>
                <w:sz w:val="19"/>
              </w:rPr>
              <w:t>≥ 85%</w:t>
            </w:r>
          </w:p>
        </w:tc>
        <w:tc>
          <w:tcPr>
            <w:tcW w:type="dxa" w:w="3009"/>
          </w:tcPr>
          <w:p>
            <w:r>
              <w:t>91% (20/22)</w:t>
            </w:r>
            <w:r>
              <w:rPr>
                <w:sz w:val="19"/>
              </w:rPr>
            </w:r>
          </w:p>
        </w:tc>
      </w:tr>
      <w:tr>
        <w:tc>
          <w:tcPr>
            <w:tcW w:type="dxa" w:w="3009"/>
          </w:tcPr>
          <w:p>
            <w:r/>
            <w:r>
              <w:rPr>
                <w:sz w:val="19"/>
              </w:rPr>
              <w:t>Classification accuracy</w:t>
            </w:r>
          </w:p>
        </w:tc>
        <w:tc>
          <w:tcPr>
            <w:tcW w:type="dxa" w:w="3009"/>
          </w:tcPr>
          <w:p>
            <w:r/>
            <w:r>
              <w:rPr>
                <w:sz w:val="19"/>
              </w:rPr>
              <w:t>≥ 90%</w:t>
            </w:r>
          </w:p>
        </w:tc>
        <w:tc>
          <w:tcPr>
            <w:tcW w:type="dxa" w:w="3009"/>
          </w:tcPr>
          <w:p>
            <w:r/>
            <w:r>
              <w:rPr>
                <w:sz w:val="19"/>
              </w:rPr>
              <w:t>100%</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
              <w:rPr>
                <w:sz w:val="19"/>
              </w:rPr>
              <w:t>Missing-data escalation</w:t>
            </w:r>
          </w:p>
        </w:tc>
        <w:tc>
          <w:tcPr>
            <w:tcW w:type="dxa" w:w="3009"/>
          </w:tcPr>
          <w:p>
            <w:r/>
            <w:r>
              <w:rPr>
                <w:sz w:val="19"/>
              </w:rPr>
              <w:t>100%</w:t>
            </w:r>
          </w:p>
        </w:tc>
        <w:tc>
          <w:tcPr>
            <w:tcW w:type="dxa" w:w="3009"/>
          </w:tcPr>
          <w:p>
            <w:r/>
            <w:r>
              <w:rPr>
                <w:sz w:val="19"/>
              </w:rPr>
              <w:t>100%</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
              <w:rPr>
                <w:sz w:val="19"/>
              </w:rPr>
              <w:t>Retrieval Hit@3</w:t>
            </w:r>
          </w:p>
        </w:tc>
        <w:tc>
          <w:tcPr>
            <w:tcW w:type="dxa" w:w="3009"/>
          </w:tcPr>
          <w:p>
            <w:r/>
            <w:r>
              <w:rPr>
                <w:sz w:val="19"/>
              </w:rPr>
              <w:t>≥ 90%</w:t>
            </w:r>
          </w:p>
        </w:tc>
        <w:tc>
          <w:tcPr>
            <w:tcW w:type="dxa" w:w="3009"/>
          </w:tcPr>
          <w:p>
            <w:r/>
            <w:r>
              <w:rPr>
                <w:sz w:val="19"/>
              </w:rPr>
              <w:t>100%</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
              <w:rPr>
                <w:sz w:val="19"/>
              </w:rPr>
              <w:t>Time per case</w:t>
            </w:r>
          </w:p>
        </w:tc>
        <w:tc>
          <w:tcPr>
            <w:tcW w:type="dxa" w:w="3009"/>
          </w:tcPr>
          <w:p>
            <w:r/>
            <w:r>
              <w:rPr>
                <w:sz w:val="19"/>
              </w:rPr>
              <w:t>—</w:t>
            </w:r>
          </w:p>
        </w:tc>
        <w:tc>
          <w:tcPr>
            <w:tcW w:type="dxa" w:w="3009"/>
          </w:tcPr>
          <w:p>
            <w:r>
              <w:t>median 91 s (10 s compute; the rest is free-tier pacing)</w:t>
            </w:r>
            <w:r>
              <w:rPr>
                <w:sz w:val="19"/>
              </w:rPr>
            </w:r>
          </w:p>
        </w:tc>
      </w:tr>
      <w:tr>
        <w:tc>
          <w:tcPr>
            <w:tcW w:type="dxa" w:w="3009"/>
          </w:tcPr>
          <w:p>
            <w:r/>
            <w:r>
              <w:rPr>
                <w:sz w:val="19"/>
              </w:rPr>
              <w:t>Cost per case</w:t>
            </w:r>
          </w:p>
        </w:tc>
        <w:tc>
          <w:tcPr>
            <w:tcW w:type="dxa" w:w="3009"/>
          </w:tcPr>
          <w:p>
            <w:r/>
            <w:r>
              <w:rPr>
                <w:sz w:val="19"/>
              </w:rPr>
              <w:t>—</w:t>
            </w:r>
          </w:p>
        </w:tc>
        <w:tc>
          <w:tcPr>
            <w:tcW w:type="dxa" w:w="3009"/>
          </w:tcPr>
          <w:p>
            <w:r>
              <w:t>about US$0.011 (~25k tokens)</w:t>
            </w:r>
            <w:r>
              <w:rPr>
                <w:sz w:val="19"/>
              </w:rPr>
            </w:r>
          </w:p>
        </w:tc>
      </w:tr>
    </w:tbl>
    <w:p/>
    <w:p>
      <w:pPr/>
      <w:r>
        <w:rPr>
          <w:i w:val="0"/>
        </w:rPr>
        <w:t>The earlier 1/10 run with the Case Brief scored 63% because of the integration gap in Iteration 9. Replaying its rulings through the fixes projected 25/27, and the confirming run scored exactly 25/27. The two misses (NS-002-B1 and NS-002-C1) are Judge reasoning errors on no-show fees; the deterministic fee-basis check sends both to a person instead of executing them. Paraphrase and injection checks all passed; one of three counterfactual checks failed (NS-002-C1). A stability run on 2/10 repeated the eight cases that had flipped between earlier runs three times each: 24/24 verdicts and refunds correct, consistency 1.0.</w:t>
      </w:r>
    </w:p>
    <w:p>
      <w:pPr/>
      <w:r>
        <w:rPr>
          <w:i w:val="0"/>
        </w:rPr>
        <w:t>Six new held-out cases were then written that the code had never been tuned on (two-ask filings, a GPS gap on a metered fare, a capped damage claim, a valid cleaning fee, a "coming in 2 min" message, a promo already returned). Baseline: 3/6 verdicts correct, but all six refunds were right. Two misses are labels on two-ask filings (upheld instead of partially_upheld, one caused by our own label rule) and one is a fare dispute with a GPS gap that should have gone to a person; our GPS-gap check only covered no-show, cancellation and route disputes. The answer keys are being checked by a person before these are fixed.</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Heading2"/>
      </w:pPr>
      <w:r>
        <w:t>16. Future Improvements</w:t>
      </w:r>
    </w:p>
    <w:p>
      <w:pPr>
        <w:pStyle w:val="ListParagraph"/>
      </w:pPr>
      <w:r>
        <w:t>•  A single-call baseline to show what the multi-agent design buys; fix the Judge’s no-show fee reasoning (NS-002-B1/C1) rather than only catching it; handle two-ask filings in the label rule and extend the GPS-gap check to metered fares.</w:t>
      </w:r>
    </w:p>
    <w:p>
      <w:pPr>
        <w:pStyle w:val="ListParagraph"/>
      </w:pPr>
      <w:r>
        <w:t>•  Try lower reasoning effort for the advocates (switch already in place) if accuracy holds.</w:t>
      </w:r>
    </w:p>
    <w:p>
      <w:pPr>
        <w:pStyle w:val="ListParagraph"/>
      </w:pPr>
      <w:r>
        <w:t>•  Deploy on Tencent Lighthouse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Heading2"/>
      </w:pPr>
      <w:r>
        <w:t>17. Final Reflection</w:t>
      </w:r>
    </w:p>
    <w:p>
      <w:pPr/>
      <w:r>
        <w:rPr>
          <w:i w:val="0"/>
        </w:rPr>
        <w:t>The biggest change over these two weeks was in how we worked, not in what we built. In the first week we added agents and judged them by eye; in the second we measured every change, kept what improved the numbers and dropped what did not — including ideas we liked.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