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数据中心运维手册-IDC-BJ-01</w:t>
      </w:r>
    </w:p>
    <w:p>
      <w:r>
        <w:t>一、机房概况</w:t>
      </w:r>
    </w:p>
    <w:p>
      <w:r>
        <w:t>本机房编号 IDC-BJ-01，位于北京亦庄经济技术开发区科创五街 18 号，总机柜数 320 个，设计 PUE 1.35，等级为 T3+。机房主管：王海。</w:t>
      </w:r>
    </w:p>
    <w:p>
      <w:r>
        <w:t>二、供配电系统</w:t>
      </w:r>
    </w:p>
    <w:p>
      <w:r>
        <w:t>采用双路市电输入，配备康明斯 C1100 柴油发电机作为后备电源，UPS 采用 APC Symmetra PX 80kW，后备时间不少于 30 分钟。</w:t>
      </w:r>
    </w:p>
    <w:p>
      <w:r>
        <w:t>三、制冷系统</w:t>
      </w:r>
    </w:p>
    <w:p>
      <w:r>
        <w:t>采用海洛斯（Hiross）ASD 系列精密空调，N+1 冗余，机房温度维持在 22±2℃，相对湿度 45%~55%。</w:t>
      </w:r>
    </w:p>
    <w:p>
      <w:r>
        <w:t>四、网络架构</w:t>
      </w:r>
    </w:p>
    <w:p>
      <w:r>
        <w:t>核心交换机为华为 CloudEngine CE12808，IP 核心网段为 10.10.0.0/16，出口带宽 20Gbps，BGP 多线接入。</w:t>
      </w:r>
    </w:p>
    <w:p>
      <w:r>
        <w:t>五、门禁与安防</w:t>
      </w:r>
    </w:p>
    <w:p>
      <w:r>
        <w:t>门禁系统采用 ZKTeco ProID20 指纹+刷卡双重认证，全区域 7×24 视频监控，录像保存不少于 90 天。</w:t>
      </w:r>
    </w:p>
    <w:p>
      <w:r>
        <w:t>六、值班与应急</w:t>
      </w:r>
    </w:p>
    <w:p>
      <w:r>
        <w:t>运维值班电话 010-8888-0001，发生重大故障应在 15 分钟内上报主管王海，并启动 IDC-BJ-01 应急预案。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