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</w:t>
      </w:r>
    </w:p>
    <w:p>
      <w:r>
        <w:t>第一章 总则</w:t>
      </w:r>
    </w:p>
    <w:p>
      <w:r>
        <w:t>本手册适用于公司全体正式员工及试用期员工，旨在明确员工的基本行为规范、权利义务与职业发展通道，帮助员工尽快融入企业文化。</w:t>
      </w:r>
    </w:p>
    <w:p>
      <w:r>
        <w:t>第二章 行为规范</w:t>
      </w:r>
    </w:p>
    <w:p>
      <w:r>
        <w:t>1. 员工应遵守国家法律法规及公司各项规章制度，诚实守信，爱岗敬业。</w:t>
      </w:r>
    </w:p>
    <w:p>
      <w:r>
        <w:t>2. 工作时间内应保持办公区域整洁，着装得体，不得从事与工作无关的活动。</w:t>
      </w:r>
    </w:p>
    <w:p>
      <w:r>
        <w:t>3. 员工之间应相互尊重、团结协作，禁止任何形式的歧视与骚扰。</w:t>
      </w:r>
    </w:p>
    <w:p>
      <w:r>
        <w:t>第三章 工作时间</w:t>
      </w:r>
    </w:p>
    <w:p>
      <w:r>
        <w:t>公司实行标准工时制，每周工作五天，每天工作八小时。上班时间为上午 9:00 至下午 18:00，午休时间为 12:00 至 13:30。</w:t>
      </w:r>
    </w:p>
    <w:p>
      <w:r>
        <w:t>第四章 职业发展</w:t>
      </w:r>
    </w:p>
    <w:p>
      <w:r>
        <w:t>公司为员工提供管理与专业双通道晋升路径，每年组织两次晋升评审，并提供内部培训、外部课程报销等学习支持。</w:t>
      </w:r>
    </w:p>
    <w:p>
      <w:r>
        <w:t>第五章 离职管理</w:t>
      </w:r>
    </w:p>
    <w:p>
      <w:r>
        <w:t>员工提出离职应提前 30 天以书面形式通知直属上级与人力资源部，并按规定办理工作交接与离职手续。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