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差旅报销管理办法</w:t>
      </w:r>
    </w:p>
    <w:p>
      <w:r>
        <w:t>第一条 适用范围</w:t>
      </w:r>
    </w:p>
    <w:p>
      <w:r>
        <w:t>本办法适用于公司全体因公出差的员工，明确差旅费用的标准、审批与报销流程。</w:t>
      </w:r>
    </w:p>
    <w:p>
      <w:r>
        <w:t>第二条 出差申请</w:t>
      </w:r>
    </w:p>
    <w:p>
      <w:r>
        <w:t>员工出差前须在 OA 系统提交出差申请，注明出差地点、事由与预计天数，经部门负责人及分管领导审批后方可成行。</w:t>
      </w:r>
    </w:p>
    <w:p>
      <w:r>
        <w:t>第三条 交通标准</w:t>
      </w:r>
    </w:p>
    <w:p>
      <w:r>
        <w:t>普通员工出差可乘坐高铁二等座或经济舱机票；总监及以上级别可乘坐高铁一等座。市内交通凭票据据实报销。</w:t>
      </w:r>
    </w:p>
    <w:p>
      <w:r>
        <w:t>第四条 住宿标准</w:t>
      </w:r>
    </w:p>
    <w:p>
      <w:r>
        <w:t>一线城市住宿标准为每晚不超过 500 元，二线城市不超过 400 元，其他城市不超过 300 元，超标部分由个人承担。</w:t>
      </w:r>
    </w:p>
    <w:p>
      <w:r>
        <w:t>第五条 餐饮补贴</w:t>
      </w:r>
    </w:p>
    <w:p>
      <w:r>
        <w:t>出差期间发放餐饮补贴每人每天 100 元，无需提供发票，按实际出差天数核算。</w:t>
      </w:r>
    </w:p>
    <w:p>
      <w:r>
        <w:t>第六条 报销流程</w:t>
      </w:r>
    </w:p>
    <w:p>
      <w:r>
        <w:t>员工应在出差结束后 15 个工作日内提交报销单及相关票据，经审核无误后于次月随工资发放。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