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考勤与休假管理制度</w:t>
      </w:r>
    </w:p>
    <w:p>
      <w:r>
        <w:t>一、考勤管理</w:t>
      </w:r>
    </w:p>
    <w:p>
      <w:r>
        <w:t>公司采用人脸识别与移动端打卡相结合的考勤方式。员工应于每个工作日上班、下班各打卡一次。每月迟到、早退累计超过三次的，扣除当月全勤奖。</w:t>
      </w:r>
    </w:p>
    <w:p>
      <w:r>
        <w:t>二、加班管理</w:t>
      </w:r>
    </w:p>
    <w:p>
      <w:r>
        <w:t>因工作需要加班的，须事先提交加班申请并经部门负责人审批。工作日加班按 1.5 倍计算加班费，休息日加班按 2 倍计算，法定节假日加班按 3 倍计算。</w:t>
      </w:r>
    </w:p>
    <w:p>
      <w:r>
        <w:t>三、年休假</w:t>
      </w:r>
    </w:p>
    <w:p>
      <w:r>
        <w:t>员工连续工作满 1 年的，享受带薪年休假。工作满 1 年不满 10 年的，年休假 5 天；满 10 年不满 20 年的，年休假 10 天；满 20 年的，年休假 15 天。</w:t>
      </w:r>
    </w:p>
    <w:p>
      <w:r>
        <w:t>四、病假与事假</w:t>
      </w:r>
    </w:p>
    <w:p>
      <w:r>
        <w:t>病假需提供二级以上医院的诊断证明，事假应提前一天申请。病假工资按本人基本工资的 70% 发放，事假期间不计发薪资。</w:t>
      </w:r>
    </w:p>
    <w:p>
      <w:r>
        <w:t>五、婚假与产假</w:t>
      </w:r>
    </w:p>
    <w:p>
      <w:r>
        <w:t>员工依法享受婚假、产假、陪产假等法定假期，具体天数按国家及地方规定执行。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