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DBA7" w14:textId="77777777" w:rsidR="00F26140" w:rsidRPr="0025499E" w:rsidRDefault="00F26140" w:rsidP="00F261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499E">
        <w:rPr>
          <w:rFonts w:ascii="Times New Roman" w:hAnsi="Times New Roman" w:cs="Times New Roman"/>
          <w:b/>
          <w:bCs/>
          <w:sz w:val="28"/>
          <w:szCs w:val="28"/>
        </w:rPr>
        <w:t>Time Period:</w:t>
      </w:r>
    </w:p>
    <w:p w14:paraId="5C886BFC" w14:textId="77777777" w:rsidR="00F26140" w:rsidRPr="0025499E" w:rsidRDefault="00F26140" w:rsidP="00F26140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5499E">
        <w:rPr>
          <w:rFonts w:ascii="Times New Roman" w:hAnsi="Times New Roman" w:cs="Times New Roman"/>
        </w:rPr>
        <w:t>The Bear Market of 2007-2009 (January 1, 2007, to March 31, 2009)</w:t>
      </w:r>
    </w:p>
    <w:p w14:paraId="78A385F9" w14:textId="77777777" w:rsidR="00F26140" w:rsidRPr="0025499E" w:rsidRDefault="00F26140" w:rsidP="00F26140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5499E">
        <w:rPr>
          <w:rFonts w:ascii="Times New Roman" w:hAnsi="Times New Roman" w:cs="Times New Roman"/>
        </w:rPr>
        <w:t>The Bull Market of 2009-2020 (March 31, 2009, to January 31, 2020)</w:t>
      </w:r>
    </w:p>
    <w:p w14:paraId="3457A316" w14:textId="77777777" w:rsidR="00F26140" w:rsidRPr="0073559C" w:rsidRDefault="00F26140" w:rsidP="00F26140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5499E">
        <w:rPr>
          <w:rFonts w:ascii="Times New Roman" w:hAnsi="Times New Roman" w:cs="Times New Roman"/>
        </w:rPr>
        <w:t>The Covid-19 Crisis Period (January 31, 2020, to March 31, 2020)</w:t>
      </w:r>
    </w:p>
    <w:p w14:paraId="1BBDCF73" w14:textId="04B11DEC" w:rsidR="00F26140" w:rsidRPr="002C4045" w:rsidRDefault="00F26140" w:rsidP="00F261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4045">
        <w:rPr>
          <w:rFonts w:ascii="Times New Roman" w:hAnsi="Times New Roman" w:cs="Times New Roman"/>
          <w:b/>
          <w:bCs/>
          <w:sz w:val="28"/>
          <w:szCs w:val="28"/>
        </w:rPr>
        <w:t>U.S. equities</w:t>
      </w:r>
      <w:r w:rsidRPr="002C4045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Market</w:t>
      </w:r>
      <w:r w:rsidR="002C4045" w:rsidRPr="002C4045">
        <w:rPr>
          <w:rFonts w:ascii="Times New Roman" w:hAnsi="Times New Roman" w:cs="Times New Roman"/>
          <w:b/>
          <w:bCs/>
          <w:sz w:val="28"/>
          <w:szCs w:val="28"/>
        </w:rPr>
        <w:t xml:space="preserve"> and hedging instruments</w:t>
      </w:r>
      <w:r w:rsidRPr="002C40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0796FF" w14:textId="3DDE626D" w:rsidR="002B10A5" w:rsidRPr="002B10A5" w:rsidRDefault="002B10A5" w:rsidP="00BC6AB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B10A5">
        <w:rPr>
          <w:rFonts w:ascii="Times New Roman" w:hAnsi="Times New Roman" w:cs="Times New Roman"/>
        </w:rPr>
        <w:t>S&amp;P 500 (GSPC)</w:t>
      </w:r>
      <w:r>
        <w:rPr>
          <w:rFonts w:ascii="Times New Roman" w:hAnsi="Times New Roman" w:cs="Times New Roman"/>
        </w:rPr>
        <w:t xml:space="preserve">, </w:t>
      </w:r>
      <w:r w:rsidRPr="00572225">
        <w:rPr>
          <w:rFonts w:ascii="Times New Roman" w:hAnsi="Times New Roman" w:cs="Times New Roman"/>
        </w:rPr>
        <w:t xml:space="preserve">NASDAQ </w:t>
      </w:r>
      <w:r>
        <w:rPr>
          <w:rFonts w:ascii="Times New Roman" w:hAnsi="Times New Roman" w:cs="Times New Roman"/>
        </w:rPr>
        <w:t>(</w:t>
      </w:r>
      <w:r w:rsidRPr="002B10A5">
        <w:rPr>
          <w:rFonts w:ascii="Times New Roman" w:hAnsi="Times New Roman" w:cs="Times New Roman"/>
        </w:rPr>
        <w:t>IXIC</w:t>
      </w:r>
      <w:r>
        <w:rPr>
          <w:rFonts w:ascii="Times New Roman" w:hAnsi="Times New Roman" w:cs="Times New Roman"/>
        </w:rPr>
        <w:t>), Gold (GLD), VIX</w:t>
      </w:r>
    </w:p>
    <w:p w14:paraId="130544FE" w14:textId="0A90C39D" w:rsidR="00910E5A" w:rsidRPr="0025499E" w:rsidRDefault="00C23AE0" w:rsidP="007355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499E">
        <w:rPr>
          <w:rFonts w:ascii="Times New Roman" w:hAnsi="Times New Roman" w:cs="Times New Roman"/>
          <w:b/>
          <w:bCs/>
          <w:sz w:val="28"/>
          <w:szCs w:val="28"/>
        </w:rPr>
        <w:t>Performance of Each Assets:</w:t>
      </w:r>
    </w:p>
    <w:p w14:paraId="0EC1AE79" w14:textId="51026499" w:rsidR="001946BA" w:rsidRPr="00814EA9" w:rsidRDefault="00C23AE0" w:rsidP="00E12CC8">
      <w:pPr>
        <w:rPr>
          <w:rFonts w:ascii="Times New Roman" w:hAnsi="Times New Roman" w:cs="Times New Roman"/>
          <w:b/>
          <w:bCs/>
        </w:rPr>
      </w:pPr>
      <w:r w:rsidRPr="00814EA9">
        <w:rPr>
          <w:rFonts w:ascii="Times New Roman" w:hAnsi="Times New Roman" w:cs="Times New Roman"/>
          <w:b/>
          <w:bCs/>
        </w:rPr>
        <w:t>Entire Period:</w:t>
      </w:r>
      <w:r w:rsidR="00814EA9" w:rsidRPr="00814EA9">
        <w:rPr>
          <w:rFonts w:ascii="Times New Roman" w:hAnsi="Times New Roman" w:cs="Times New Roman"/>
          <w:b/>
          <w:bCs/>
        </w:rPr>
        <w:t xml:space="preserve"> (January 1, 2007, to March 31, 2020)</w:t>
      </w:r>
    </w:p>
    <w:p w14:paraId="56CADA15" w14:textId="2709C50A" w:rsidR="009049FD" w:rsidRPr="0025499E" w:rsidRDefault="005B3A99" w:rsidP="00910E5A">
      <w:pPr>
        <w:jc w:val="both"/>
        <w:rPr>
          <w:rFonts w:ascii="Times New Roman" w:hAnsi="Times New Roman" w:cs="Times New Roman"/>
          <w:b/>
          <w:bCs/>
        </w:rPr>
      </w:pPr>
      <w:r w:rsidRPr="0025499E">
        <w:rPr>
          <w:rFonts w:ascii="Times New Roman" w:hAnsi="Times New Roman" w:cs="Times New Roman"/>
          <w:noProof/>
        </w:rPr>
        <w:drawing>
          <wp:inline distT="0" distB="0" distL="0" distR="0" wp14:anchorId="728CCF9F" wp14:editId="70B9A316">
            <wp:extent cx="5179325" cy="2795439"/>
            <wp:effectExtent l="0" t="0" r="0" b="0"/>
            <wp:docPr id="795844994" name="图片 8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44994" name="图片 8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507" cy="280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11A6" w14:textId="01E5EA5C" w:rsidR="00E14AD7" w:rsidRDefault="00572225" w:rsidP="00910E5A">
      <w:pPr>
        <w:jc w:val="both"/>
        <w:rPr>
          <w:rFonts w:ascii="Times New Roman" w:hAnsi="Times New Roman" w:cs="Times New Roman"/>
        </w:rPr>
      </w:pPr>
      <w:r w:rsidRPr="00572225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</w:t>
      </w:r>
      <w:r w:rsidRPr="00572225">
        <w:rPr>
          <w:rFonts w:ascii="Times New Roman" w:hAnsi="Times New Roman" w:cs="Times New Roman"/>
        </w:rPr>
        <w:t xml:space="preserve"> graph illustrates a consistent upward trend in the NASDAQ and S&amp;P 500 over time. In contrast, the value of Gold remained relatively stable throughout the observed period. Notably, the NASDAQ outperformed both the S&amp;P 500 and Gold, emerging as the best performer, while Gold stands out as the least performing asset among the three throughout the entire reviewed timeframe.</w:t>
      </w:r>
    </w:p>
    <w:p w14:paraId="61F5F9DB" w14:textId="77777777" w:rsidR="000C4808" w:rsidRPr="0025499E" w:rsidRDefault="000C4808" w:rsidP="00910E5A">
      <w:pPr>
        <w:jc w:val="both"/>
        <w:rPr>
          <w:rFonts w:ascii="Times New Roman" w:hAnsi="Times New Roman" w:cs="Times New Roman"/>
          <w:b/>
          <w:bCs/>
        </w:rPr>
      </w:pPr>
    </w:p>
    <w:p w14:paraId="6C88093D" w14:textId="6B30C60C" w:rsidR="001946BA" w:rsidRPr="00A55F5A" w:rsidRDefault="00C23AE0" w:rsidP="001946BA">
      <w:pPr>
        <w:rPr>
          <w:rFonts w:ascii="Times New Roman" w:hAnsi="Times New Roman" w:cs="Times New Roman"/>
          <w:b/>
          <w:bCs/>
        </w:rPr>
      </w:pPr>
      <w:r w:rsidRPr="00A55F5A">
        <w:rPr>
          <w:rFonts w:ascii="Times New Roman" w:hAnsi="Times New Roman" w:cs="Times New Roman"/>
          <w:b/>
          <w:bCs/>
        </w:rPr>
        <w:t xml:space="preserve">Bear </w:t>
      </w:r>
      <w:r w:rsidR="00114B95" w:rsidRPr="00A55F5A">
        <w:rPr>
          <w:rFonts w:ascii="Times New Roman" w:hAnsi="Times New Roman" w:cs="Times New Roman"/>
          <w:b/>
          <w:bCs/>
        </w:rPr>
        <w:t>Market:</w:t>
      </w:r>
      <w:r w:rsidR="00A55F5A" w:rsidRPr="00A55F5A">
        <w:rPr>
          <w:rFonts w:ascii="Times New Roman" w:hAnsi="Times New Roman" w:cs="Times New Roman"/>
          <w:b/>
          <w:bCs/>
        </w:rPr>
        <w:t xml:space="preserve"> (January 1, 2007, to March 31, 2009)</w:t>
      </w:r>
    </w:p>
    <w:p w14:paraId="227885E9" w14:textId="64CF497F" w:rsidR="009049FD" w:rsidRPr="0025499E" w:rsidRDefault="001946BA" w:rsidP="00C23AE0">
      <w:pPr>
        <w:rPr>
          <w:rFonts w:ascii="Times New Roman" w:hAnsi="Times New Roman" w:cs="Times New Roman"/>
          <w:b/>
          <w:bCs/>
        </w:rPr>
      </w:pPr>
      <w:r w:rsidRPr="002549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04D32D" wp14:editId="4C113BF3">
            <wp:extent cx="5274310" cy="2846705"/>
            <wp:effectExtent l="0" t="0" r="0" b="0"/>
            <wp:docPr id="1833715790" name="图片 9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5790" name="图片 9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8E2B" w14:textId="7C9653E2" w:rsidR="00910E5A" w:rsidRDefault="0073559C" w:rsidP="00C23AE0">
      <w:pPr>
        <w:rPr>
          <w:rFonts w:ascii="Times New Roman" w:hAnsi="Times New Roman" w:cs="Times New Roman"/>
        </w:rPr>
      </w:pPr>
      <w:r w:rsidRPr="0073559C">
        <w:rPr>
          <w:rFonts w:ascii="Times New Roman" w:hAnsi="Times New Roman" w:cs="Times New Roman"/>
        </w:rPr>
        <w:t xml:space="preserve">As depicted in </w:t>
      </w:r>
      <w:r>
        <w:rPr>
          <w:rFonts w:ascii="Times New Roman" w:hAnsi="Times New Roman" w:cs="Times New Roman"/>
        </w:rPr>
        <w:t>the figure</w:t>
      </w:r>
      <w:r w:rsidRPr="0073559C">
        <w:rPr>
          <w:rFonts w:ascii="Times New Roman" w:hAnsi="Times New Roman" w:cs="Times New Roman"/>
        </w:rPr>
        <w:t>, both the S&amp;P 500 and NASDAQ underwent substantial downturns. In contrast, G</w:t>
      </w:r>
      <w:r w:rsidR="00574783">
        <w:rPr>
          <w:rFonts w:ascii="Times New Roman" w:hAnsi="Times New Roman" w:cs="Times New Roman"/>
        </w:rPr>
        <w:t>old</w:t>
      </w:r>
      <w:r w:rsidRPr="0073559C">
        <w:rPr>
          <w:rFonts w:ascii="Times New Roman" w:hAnsi="Times New Roman" w:cs="Times New Roman"/>
        </w:rPr>
        <w:t xml:space="preserve"> demonstrated its effectiveness as a hedge against the U.S. market downturn. This resilience could be </w:t>
      </w:r>
      <w:r w:rsidR="004D56D1">
        <w:rPr>
          <w:rFonts w:ascii="Times New Roman" w:hAnsi="Times New Roman" w:cs="Times New Roman"/>
        </w:rPr>
        <w:t xml:space="preserve">explained by </w:t>
      </w:r>
      <w:r w:rsidRPr="0073559C">
        <w:rPr>
          <w:rFonts w:ascii="Times New Roman" w:hAnsi="Times New Roman" w:cs="Times New Roman"/>
        </w:rPr>
        <w:t xml:space="preserve">the commonly held perception of gold as a safe-haven asset during economic recessions. Consequently, during the Bear Market, </w:t>
      </w:r>
      <w:r w:rsidR="00F94667" w:rsidRPr="0073559C">
        <w:rPr>
          <w:rFonts w:ascii="Times New Roman" w:hAnsi="Times New Roman" w:cs="Times New Roman"/>
        </w:rPr>
        <w:t>G</w:t>
      </w:r>
      <w:r w:rsidR="00F94667">
        <w:rPr>
          <w:rFonts w:ascii="Times New Roman" w:hAnsi="Times New Roman" w:cs="Times New Roman"/>
        </w:rPr>
        <w:t>old</w:t>
      </w:r>
      <w:r w:rsidR="00F94667" w:rsidRPr="0073559C">
        <w:rPr>
          <w:rFonts w:ascii="Times New Roman" w:hAnsi="Times New Roman" w:cs="Times New Roman"/>
        </w:rPr>
        <w:t xml:space="preserve"> </w:t>
      </w:r>
      <w:r w:rsidRPr="0073559C">
        <w:rPr>
          <w:rFonts w:ascii="Times New Roman" w:hAnsi="Times New Roman" w:cs="Times New Roman"/>
        </w:rPr>
        <w:t>emerged as the top-performing asset.</w:t>
      </w:r>
    </w:p>
    <w:p w14:paraId="46F94B6C" w14:textId="77777777" w:rsidR="009049FD" w:rsidRPr="0025499E" w:rsidRDefault="009049FD" w:rsidP="00C23AE0">
      <w:pPr>
        <w:rPr>
          <w:rFonts w:ascii="Times New Roman" w:hAnsi="Times New Roman" w:cs="Times New Roman"/>
          <w:b/>
          <w:bCs/>
        </w:rPr>
      </w:pPr>
    </w:p>
    <w:p w14:paraId="79C13C3B" w14:textId="12EAACB5" w:rsidR="00DE661B" w:rsidRPr="00A55F5A" w:rsidRDefault="00C23AE0" w:rsidP="00DE661B">
      <w:pPr>
        <w:rPr>
          <w:rFonts w:ascii="Times New Roman" w:hAnsi="Times New Roman" w:cs="Times New Roman"/>
          <w:b/>
          <w:bCs/>
        </w:rPr>
      </w:pPr>
      <w:r w:rsidRPr="00A55F5A">
        <w:rPr>
          <w:rFonts w:ascii="Times New Roman" w:hAnsi="Times New Roman" w:cs="Times New Roman"/>
          <w:b/>
          <w:bCs/>
        </w:rPr>
        <w:t xml:space="preserve">Bull </w:t>
      </w:r>
      <w:r w:rsidR="00114B95" w:rsidRPr="00A55F5A">
        <w:rPr>
          <w:rFonts w:ascii="Times New Roman" w:hAnsi="Times New Roman" w:cs="Times New Roman"/>
          <w:b/>
          <w:bCs/>
        </w:rPr>
        <w:t>Market:</w:t>
      </w:r>
      <w:r w:rsidR="00A55F5A" w:rsidRPr="00A55F5A">
        <w:rPr>
          <w:rFonts w:ascii="Times New Roman" w:hAnsi="Times New Roman" w:cs="Times New Roman"/>
          <w:b/>
          <w:bCs/>
        </w:rPr>
        <w:t xml:space="preserve"> (March 31, 2009, to January 31, 2020)</w:t>
      </w:r>
    </w:p>
    <w:p w14:paraId="071DED00" w14:textId="7F43701D" w:rsidR="009049FD" w:rsidRPr="0025499E" w:rsidRDefault="00DE661B" w:rsidP="00C23AE0">
      <w:pPr>
        <w:rPr>
          <w:rFonts w:ascii="Times New Roman" w:hAnsi="Times New Roman" w:cs="Times New Roman"/>
          <w:b/>
          <w:bCs/>
        </w:rPr>
      </w:pPr>
      <w:r w:rsidRPr="0025499E">
        <w:rPr>
          <w:rFonts w:ascii="Times New Roman" w:hAnsi="Times New Roman" w:cs="Times New Roman"/>
          <w:noProof/>
        </w:rPr>
        <w:drawing>
          <wp:inline distT="0" distB="0" distL="0" distR="0" wp14:anchorId="531F5D28" wp14:editId="313468D8">
            <wp:extent cx="5274310" cy="2846705"/>
            <wp:effectExtent l="0" t="0" r="0" b="0"/>
            <wp:docPr id="476532218" name="图片 10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32218" name="图片 10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4799" w14:textId="1BE9468A" w:rsidR="00D67967" w:rsidRDefault="002E1731" w:rsidP="00C2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67967" w:rsidRPr="00D67967">
        <w:rPr>
          <w:rFonts w:ascii="Times New Roman" w:hAnsi="Times New Roman" w:cs="Times New Roman"/>
        </w:rPr>
        <w:t>uring the Bull Market</w:t>
      </w:r>
      <w:r>
        <w:rPr>
          <w:rFonts w:ascii="Times New Roman" w:hAnsi="Times New Roman" w:cs="Times New Roman"/>
        </w:rPr>
        <w:t>, t</w:t>
      </w:r>
      <w:r w:rsidR="00D67967" w:rsidRPr="00D67967">
        <w:rPr>
          <w:rFonts w:ascii="Times New Roman" w:hAnsi="Times New Roman" w:cs="Times New Roman"/>
        </w:rPr>
        <w:t xml:space="preserve">he S&amp;P 500 and NASDAQ </w:t>
      </w:r>
      <w:r>
        <w:rPr>
          <w:rFonts w:ascii="Times New Roman" w:hAnsi="Times New Roman" w:cs="Times New Roman"/>
        </w:rPr>
        <w:t>shows a</w:t>
      </w:r>
      <w:r w:rsidR="00D67967" w:rsidRPr="00D67967">
        <w:rPr>
          <w:rFonts w:ascii="Times New Roman" w:hAnsi="Times New Roman" w:cs="Times New Roman"/>
        </w:rPr>
        <w:t xml:space="preserve"> remarkable growth. In contrast, G</w:t>
      </w:r>
      <w:r w:rsidR="004271CF">
        <w:rPr>
          <w:rFonts w:ascii="Times New Roman" w:hAnsi="Times New Roman" w:cs="Times New Roman"/>
        </w:rPr>
        <w:t>old</w:t>
      </w:r>
      <w:r w:rsidR="00D67967" w:rsidRPr="00D67967">
        <w:rPr>
          <w:rFonts w:ascii="Times New Roman" w:hAnsi="Times New Roman" w:cs="Times New Roman"/>
        </w:rPr>
        <w:t xml:space="preserve">'s value remained relatively stable, indicating a lack of correlation with the U.S. equity market during this period. This stability suggests that </w:t>
      </w:r>
      <w:r w:rsidR="004271CF" w:rsidRPr="00D67967">
        <w:rPr>
          <w:rFonts w:ascii="Times New Roman" w:hAnsi="Times New Roman" w:cs="Times New Roman"/>
        </w:rPr>
        <w:t>G</w:t>
      </w:r>
      <w:r w:rsidR="004271CF">
        <w:rPr>
          <w:rFonts w:ascii="Times New Roman" w:hAnsi="Times New Roman" w:cs="Times New Roman"/>
        </w:rPr>
        <w:t>old</w:t>
      </w:r>
      <w:r w:rsidR="004271CF" w:rsidRPr="00D67967">
        <w:rPr>
          <w:rFonts w:ascii="Times New Roman" w:hAnsi="Times New Roman" w:cs="Times New Roman"/>
        </w:rPr>
        <w:t xml:space="preserve">'s </w:t>
      </w:r>
      <w:r w:rsidR="00D67967" w:rsidRPr="00D67967">
        <w:rPr>
          <w:rFonts w:ascii="Times New Roman" w:hAnsi="Times New Roman" w:cs="Times New Roman"/>
        </w:rPr>
        <w:t xml:space="preserve">performance is </w:t>
      </w:r>
      <w:r w:rsidR="00F81763">
        <w:rPr>
          <w:rFonts w:ascii="Times New Roman" w:hAnsi="Times New Roman" w:cs="Times New Roman"/>
        </w:rPr>
        <w:t>not correlated with</w:t>
      </w:r>
      <w:r w:rsidR="00D67967" w:rsidRPr="00D67967">
        <w:rPr>
          <w:rFonts w:ascii="Times New Roman" w:hAnsi="Times New Roman" w:cs="Times New Roman"/>
        </w:rPr>
        <w:t xml:space="preserve"> the fluctuations in the U.S. equity market, especially during </w:t>
      </w:r>
      <w:r w:rsidR="00A431A4">
        <w:rPr>
          <w:rFonts w:ascii="Times New Roman" w:hAnsi="Times New Roman" w:cs="Times New Roman"/>
        </w:rPr>
        <w:t>bull market period</w:t>
      </w:r>
      <w:r w:rsidR="00D67967" w:rsidRPr="00D67967">
        <w:rPr>
          <w:rFonts w:ascii="Times New Roman" w:hAnsi="Times New Roman" w:cs="Times New Roman"/>
        </w:rPr>
        <w:t>.</w:t>
      </w:r>
    </w:p>
    <w:p w14:paraId="48DB6FD3" w14:textId="77777777" w:rsidR="009049FD" w:rsidRPr="00A431A4" w:rsidRDefault="009049FD" w:rsidP="00C23AE0">
      <w:pPr>
        <w:rPr>
          <w:rFonts w:ascii="Times New Roman" w:hAnsi="Times New Roman" w:cs="Times New Roman"/>
        </w:rPr>
      </w:pPr>
    </w:p>
    <w:p w14:paraId="6C0DD545" w14:textId="28136673" w:rsidR="00C23AE0" w:rsidRPr="00A55F5A" w:rsidRDefault="00C23AE0" w:rsidP="00FF5B99">
      <w:pPr>
        <w:rPr>
          <w:rFonts w:ascii="Times New Roman" w:hAnsi="Times New Roman" w:cs="Times New Roman"/>
          <w:b/>
          <w:bCs/>
        </w:rPr>
      </w:pPr>
      <w:r w:rsidRPr="00A55F5A">
        <w:rPr>
          <w:rFonts w:ascii="Times New Roman" w:hAnsi="Times New Roman" w:cs="Times New Roman"/>
          <w:b/>
          <w:bCs/>
        </w:rPr>
        <w:t>COVID-19</w:t>
      </w:r>
      <w:r w:rsidR="00FF7B80" w:rsidRPr="00A55F5A">
        <w:rPr>
          <w:rFonts w:ascii="Times New Roman" w:hAnsi="Times New Roman" w:cs="Times New Roman"/>
          <w:b/>
          <w:bCs/>
        </w:rPr>
        <w:t xml:space="preserve"> </w:t>
      </w:r>
      <w:r w:rsidR="00114B95" w:rsidRPr="00A55F5A">
        <w:rPr>
          <w:rFonts w:ascii="Times New Roman" w:hAnsi="Times New Roman" w:cs="Times New Roman"/>
          <w:b/>
          <w:bCs/>
        </w:rPr>
        <w:t>Crisis:</w:t>
      </w:r>
      <w:r w:rsidR="00A55F5A" w:rsidRPr="00A55F5A">
        <w:rPr>
          <w:rFonts w:ascii="Times New Roman" w:hAnsi="Times New Roman" w:cs="Times New Roman"/>
          <w:b/>
          <w:bCs/>
        </w:rPr>
        <w:t xml:space="preserve"> (January 31, 2020, to March 31, 2020)</w:t>
      </w:r>
    </w:p>
    <w:p w14:paraId="51A9A2CB" w14:textId="5F640A3A" w:rsidR="009049FD" w:rsidRPr="0025499E" w:rsidRDefault="00FF5B99" w:rsidP="00FF5B99">
      <w:pPr>
        <w:rPr>
          <w:rFonts w:ascii="Times New Roman" w:hAnsi="Times New Roman" w:cs="Times New Roman"/>
          <w:b/>
          <w:bCs/>
        </w:rPr>
      </w:pPr>
      <w:r w:rsidRPr="002549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585380" wp14:editId="7A073779">
            <wp:extent cx="5274310" cy="2846705"/>
            <wp:effectExtent l="0" t="0" r="0" b="0"/>
            <wp:docPr id="1681222702" name="图片 1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2702" name="图片 1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5BEF" w14:textId="3F1D3AC2" w:rsidR="00D47111" w:rsidRDefault="00286BF3" w:rsidP="00C2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time goes to </w:t>
      </w:r>
      <w:r w:rsidRPr="00286BF3">
        <w:rPr>
          <w:rFonts w:ascii="Times New Roman" w:hAnsi="Times New Roman" w:cs="Times New Roman"/>
        </w:rPr>
        <w:t xml:space="preserve">the Covid-19 period, the stock market underwent a swift decline. Both the S&amp;P 500 and NASDAQ experienced </w:t>
      </w:r>
      <w:r w:rsidR="001E181A">
        <w:rPr>
          <w:rFonts w:ascii="Times New Roman" w:hAnsi="Times New Roman" w:cs="Times New Roman"/>
        </w:rPr>
        <w:t>great</w:t>
      </w:r>
      <w:r w:rsidRPr="00286BF3">
        <w:rPr>
          <w:rFonts w:ascii="Times New Roman" w:hAnsi="Times New Roman" w:cs="Times New Roman"/>
        </w:rPr>
        <w:t xml:space="preserve"> losses. </w:t>
      </w:r>
      <w:r w:rsidR="00076435">
        <w:rPr>
          <w:rFonts w:ascii="Times New Roman" w:hAnsi="Times New Roman" w:cs="Times New Roman"/>
        </w:rPr>
        <w:t>However</w:t>
      </w:r>
      <w:r w:rsidRPr="00286BF3">
        <w:rPr>
          <w:rFonts w:ascii="Times New Roman" w:hAnsi="Times New Roman" w:cs="Times New Roman"/>
        </w:rPr>
        <w:t xml:space="preserve">, </w:t>
      </w:r>
      <w:r w:rsidR="00D56DF5">
        <w:rPr>
          <w:rFonts w:ascii="Times New Roman" w:hAnsi="Times New Roman" w:cs="Times New Roman"/>
        </w:rPr>
        <w:t xml:space="preserve">Gold </w:t>
      </w:r>
      <w:proofErr w:type="gramStart"/>
      <w:r w:rsidR="00D56DF5">
        <w:rPr>
          <w:rFonts w:ascii="Times New Roman" w:hAnsi="Times New Roman" w:cs="Times New Roman"/>
        </w:rPr>
        <w:t>still</w:t>
      </w:r>
      <w:r w:rsidRPr="00286BF3">
        <w:rPr>
          <w:rFonts w:ascii="Times New Roman" w:hAnsi="Times New Roman" w:cs="Times New Roman"/>
        </w:rPr>
        <w:t xml:space="preserve"> </w:t>
      </w:r>
      <w:r w:rsidR="00D56DF5">
        <w:rPr>
          <w:rFonts w:ascii="Times New Roman" w:hAnsi="Times New Roman" w:cs="Times New Roman"/>
        </w:rPr>
        <w:t>remained</w:t>
      </w:r>
      <w:proofErr w:type="gramEnd"/>
      <w:r w:rsidRPr="00286BF3">
        <w:rPr>
          <w:rFonts w:ascii="Times New Roman" w:hAnsi="Times New Roman" w:cs="Times New Roman"/>
        </w:rPr>
        <w:t xml:space="preserve"> unscathed by the crisis, sustaining a stable performance throughout. This resilience </w:t>
      </w:r>
      <w:r w:rsidR="00D56DF5">
        <w:rPr>
          <w:rFonts w:ascii="Times New Roman" w:hAnsi="Times New Roman" w:cs="Times New Roman"/>
        </w:rPr>
        <w:t xml:space="preserve">helps to </w:t>
      </w:r>
      <w:r w:rsidRPr="00286BF3">
        <w:rPr>
          <w:rFonts w:ascii="Times New Roman" w:hAnsi="Times New Roman" w:cs="Times New Roman"/>
        </w:rPr>
        <w:t>impl</w:t>
      </w:r>
      <w:r w:rsidR="00D56DF5">
        <w:rPr>
          <w:rFonts w:ascii="Times New Roman" w:hAnsi="Times New Roman" w:cs="Times New Roman"/>
        </w:rPr>
        <w:t>y</w:t>
      </w:r>
      <w:r w:rsidRPr="00286BF3">
        <w:rPr>
          <w:rFonts w:ascii="Times New Roman" w:hAnsi="Times New Roman" w:cs="Times New Roman"/>
        </w:rPr>
        <w:t xml:space="preserve"> that </w:t>
      </w:r>
      <w:r w:rsidR="00D56DF5">
        <w:rPr>
          <w:rFonts w:ascii="Times New Roman" w:hAnsi="Times New Roman" w:cs="Times New Roman"/>
        </w:rPr>
        <w:t xml:space="preserve">Gold’s </w:t>
      </w:r>
      <w:r w:rsidRPr="00286BF3">
        <w:rPr>
          <w:rFonts w:ascii="Times New Roman" w:hAnsi="Times New Roman" w:cs="Times New Roman"/>
        </w:rPr>
        <w:t xml:space="preserve">value was unaffected by the economic </w:t>
      </w:r>
      <w:r w:rsidR="006F55D2">
        <w:rPr>
          <w:rFonts w:ascii="Times New Roman" w:hAnsi="Times New Roman" w:cs="Times New Roman"/>
        </w:rPr>
        <w:t>crisis</w:t>
      </w:r>
      <w:r w:rsidRPr="00286BF3">
        <w:rPr>
          <w:rFonts w:ascii="Times New Roman" w:hAnsi="Times New Roman" w:cs="Times New Roman"/>
        </w:rPr>
        <w:t>, further emphasizing its potential role as a safe-haven asset during periods of market instability.</w:t>
      </w:r>
    </w:p>
    <w:p w14:paraId="19B099D2" w14:textId="77777777" w:rsidR="009049FD" w:rsidRPr="0025499E" w:rsidRDefault="009049FD" w:rsidP="00C23AE0">
      <w:pPr>
        <w:rPr>
          <w:rFonts w:ascii="Times New Roman" w:hAnsi="Times New Roman" w:cs="Times New Roman"/>
        </w:rPr>
      </w:pPr>
    </w:p>
    <w:p w14:paraId="714B3DE9" w14:textId="2237F485" w:rsidR="009049FD" w:rsidRPr="0025499E" w:rsidRDefault="00C23AE0" w:rsidP="00904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499E">
        <w:rPr>
          <w:rFonts w:ascii="Times New Roman" w:hAnsi="Times New Roman" w:cs="Times New Roman"/>
          <w:b/>
          <w:bCs/>
          <w:sz w:val="28"/>
          <w:szCs w:val="28"/>
        </w:rPr>
        <w:t>Correlation Analysis:</w:t>
      </w:r>
    </w:p>
    <w:p w14:paraId="28E968A0" w14:textId="72A6D320" w:rsidR="00C23AE0" w:rsidRPr="0025499E" w:rsidRDefault="001C371A" w:rsidP="0014205C">
      <w:pPr>
        <w:rPr>
          <w:rFonts w:ascii="Times New Roman" w:hAnsi="Times New Roman" w:cs="Times New Roman"/>
        </w:rPr>
      </w:pPr>
      <w:r w:rsidRPr="002549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655C13" wp14:editId="07EB3AF9">
            <wp:extent cx="5261610" cy="1371600"/>
            <wp:effectExtent l="0" t="0" r="0" b="0"/>
            <wp:docPr id="1803963488" name="图片 4" descr="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63488" name="图片 4" descr="应用程序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96" cy="13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99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5499E">
        <w:rPr>
          <w:rFonts w:ascii="Times New Roman" w:hAnsi="Times New Roman" w:cs="Times New Roman"/>
          <w:noProof/>
        </w:rPr>
        <w:drawing>
          <wp:inline distT="0" distB="0" distL="0" distR="0" wp14:anchorId="5058C473" wp14:editId="6BDCD1AC">
            <wp:extent cx="5261610" cy="1371600"/>
            <wp:effectExtent l="0" t="0" r="0" b="0"/>
            <wp:docPr id="522956409" name="图片 5" descr="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56409" name="图片 5" descr="应用程序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67" cy="137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99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5499E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02F0DA25" wp14:editId="62B03CAD">
            <wp:extent cx="5261610" cy="1371600"/>
            <wp:effectExtent l="0" t="0" r="0" b="0"/>
            <wp:docPr id="1706275128" name="图片 6" descr="应用程序, 表格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75128" name="图片 6" descr="应用程序, 表格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63" cy="137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9081" w14:textId="77777777" w:rsidR="00C23AE0" w:rsidRPr="0025499E" w:rsidRDefault="00C23AE0" w:rsidP="00C23AE0">
      <w:pPr>
        <w:jc w:val="center"/>
        <w:rPr>
          <w:rFonts w:ascii="Times New Roman" w:hAnsi="Times New Roman" w:cs="Times New Roman"/>
        </w:rPr>
      </w:pPr>
    </w:p>
    <w:p w14:paraId="0CB7555F" w14:textId="77777777" w:rsidR="00FA0743" w:rsidRPr="0025499E" w:rsidRDefault="00FA0743" w:rsidP="00C23AE0">
      <w:pPr>
        <w:jc w:val="both"/>
        <w:rPr>
          <w:rFonts w:ascii="Times New Roman" w:hAnsi="Times New Roman" w:cs="Times New Roman"/>
        </w:rPr>
      </w:pPr>
      <w:r w:rsidRPr="0025499E">
        <w:rPr>
          <w:rFonts w:ascii="Times New Roman" w:hAnsi="Times New Roman" w:cs="Times New Roman"/>
        </w:rPr>
        <w:t xml:space="preserve">The S&amp;P 500 (GSPC) and NASDAQ (IXIC) consistently show a strong positive correlation, indicating a tendency to move together. </w:t>
      </w:r>
    </w:p>
    <w:p w14:paraId="3589DBAD" w14:textId="77777777" w:rsidR="00FA0743" w:rsidRPr="0025499E" w:rsidRDefault="00FA0743" w:rsidP="00C23AE0">
      <w:pPr>
        <w:jc w:val="both"/>
        <w:rPr>
          <w:rFonts w:ascii="Times New Roman" w:hAnsi="Times New Roman" w:cs="Times New Roman"/>
        </w:rPr>
      </w:pPr>
    </w:p>
    <w:p w14:paraId="443F1389" w14:textId="7052DA33" w:rsidR="00C23AE0" w:rsidRPr="0025499E" w:rsidRDefault="00FA0743" w:rsidP="00C23AE0">
      <w:pPr>
        <w:jc w:val="both"/>
        <w:rPr>
          <w:rFonts w:ascii="Times New Roman" w:hAnsi="Times New Roman" w:cs="Times New Roman"/>
        </w:rPr>
      </w:pPr>
      <w:r w:rsidRPr="0025499E">
        <w:rPr>
          <w:rFonts w:ascii="Times New Roman" w:hAnsi="Times New Roman" w:cs="Times New Roman"/>
        </w:rPr>
        <w:t>Gold (GLD) exhibits a notably low correlation with both the S&amp;P 500 and NASDAQ, suggesting its movements are largely independent of these U.S. equity markets.</w:t>
      </w:r>
    </w:p>
    <w:p w14:paraId="4CEC89F3" w14:textId="77777777" w:rsidR="00FA0743" w:rsidRPr="0025499E" w:rsidRDefault="00FA0743" w:rsidP="00C23AE0">
      <w:pPr>
        <w:jc w:val="both"/>
        <w:rPr>
          <w:rFonts w:ascii="Times New Roman" w:hAnsi="Times New Roman" w:cs="Times New Roman"/>
        </w:rPr>
      </w:pPr>
    </w:p>
    <w:p w14:paraId="1CCB8848" w14:textId="52A30450" w:rsidR="00910E5A" w:rsidRPr="0025499E" w:rsidRDefault="004A2F52" w:rsidP="00C23AE0">
      <w:pPr>
        <w:jc w:val="both"/>
        <w:rPr>
          <w:rFonts w:ascii="Times New Roman" w:hAnsi="Times New Roman" w:cs="Times New Roman"/>
        </w:rPr>
      </w:pPr>
      <w:r w:rsidRPr="0025499E">
        <w:rPr>
          <w:rFonts w:ascii="Times New Roman" w:hAnsi="Times New Roman" w:cs="Times New Roman"/>
        </w:rPr>
        <w:t>Conversely, VIX demonstrates a strong negative correlation with the market. This suggests that VIX typically move</w:t>
      </w:r>
      <w:r w:rsidR="00E14AD7" w:rsidRPr="0025499E">
        <w:rPr>
          <w:rFonts w:ascii="Times New Roman" w:hAnsi="Times New Roman" w:cs="Times New Roman"/>
        </w:rPr>
        <w:t>s</w:t>
      </w:r>
      <w:r w:rsidRPr="0025499E">
        <w:rPr>
          <w:rFonts w:ascii="Times New Roman" w:hAnsi="Times New Roman" w:cs="Times New Roman"/>
        </w:rPr>
        <w:t xml:space="preserve"> in the opposite direction to the S&amp;P 500 and NASDAQ, proposing a potential strategy for mitigating risks associated with market fluctuations. </w:t>
      </w:r>
    </w:p>
    <w:p w14:paraId="5D0A9925" w14:textId="77777777" w:rsidR="00E14AD7" w:rsidRPr="0025499E" w:rsidRDefault="00E14AD7" w:rsidP="00C23AE0">
      <w:pPr>
        <w:jc w:val="both"/>
        <w:rPr>
          <w:rFonts w:ascii="Times New Roman" w:hAnsi="Times New Roman" w:cs="Times New Roman"/>
        </w:rPr>
      </w:pPr>
    </w:p>
    <w:p w14:paraId="36FC6070" w14:textId="77777777" w:rsidR="00E14AD7" w:rsidRPr="0025499E" w:rsidRDefault="00E14AD7" w:rsidP="00C23AE0">
      <w:pPr>
        <w:jc w:val="both"/>
        <w:rPr>
          <w:rFonts w:ascii="Times New Roman" w:hAnsi="Times New Roman" w:cs="Times New Roman"/>
        </w:rPr>
      </w:pPr>
    </w:p>
    <w:p w14:paraId="5F9EE7C1" w14:textId="77777777" w:rsidR="00910E5A" w:rsidRPr="0025499E" w:rsidRDefault="00910E5A" w:rsidP="00C23AE0">
      <w:pPr>
        <w:jc w:val="both"/>
        <w:rPr>
          <w:rFonts w:ascii="Times New Roman" w:hAnsi="Times New Roman" w:cs="Times New Roman"/>
        </w:rPr>
      </w:pPr>
    </w:p>
    <w:p w14:paraId="392CBFFD" w14:textId="77777777" w:rsidR="00C23AE0" w:rsidRPr="0025499E" w:rsidRDefault="00C23AE0" w:rsidP="00C23A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499E">
        <w:rPr>
          <w:rFonts w:ascii="Times New Roman" w:hAnsi="Times New Roman" w:cs="Times New Roman"/>
          <w:b/>
          <w:bCs/>
          <w:sz w:val="28"/>
          <w:szCs w:val="28"/>
        </w:rPr>
        <w:t>Beta Analysis:</w:t>
      </w:r>
    </w:p>
    <w:p w14:paraId="04CE1BBD" w14:textId="117CC386" w:rsidR="00C23AE0" w:rsidRPr="0025499E" w:rsidRDefault="00A837F4" w:rsidP="00C23AE0">
      <w:pPr>
        <w:jc w:val="both"/>
        <w:rPr>
          <w:rFonts w:ascii="Times New Roman" w:hAnsi="Times New Roman" w:cs="Times New Roman"/>
        </w:rPr>
      </w:pPr>
      <w:r w:rsidRPr="0025499E">
        <w:rPr>
          <w:rFonts w:ascii="Times New Roman" w:hAnsi="Times New Roman" w:cs="Times New Roman"/>
          <w:noProof/>
        </w:rPr>
        <w:drawing>
          <wp:inline distT="0" distB="0" distL="0" distR="0" wp14:anchorId="3BB2AA3C" wp14:editId="7BBAAF73">
            <wp:extent cx="5217092" cy="798394"/>
            <wp:effectExtent l="0" t="0" r="3175" b="1905"/>
            <wp:docPr id="1225614332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14332" name="图片 7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13" cy="80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D86E" w14:textId="77777777" w:rsidR="00C23AE0" w:rsidRPr="0025499E" w:rsidRDefault="00C23AE0" w:rsidP="00C23AE0">
      <w:pPr>
        <w:jc w:val="both"/>
        <w:rPr>
          <w:rFonts w:ascii="Times New Roman" w:hAnsi="Times New Roman" w:cs="Times New Roman"/>
        </w:rPr>
      </w:pPr>
    </w:p>
    <w:p w14:paraId="0792B25C" w14:textId="19B5B0D7" w:rsidR="004916F1" w:rsidRDefault="004916F1" w:rsidP="00C23A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the table, the value of </w:t>
      </w:r>
      <w:r w:rsidRPr="004916F1">
        <w:rPr>
          <w:rFonts w:ascii="Times New Roman" w:hAnsi="Times New Roman" w:cs="Times New Roman"/>
        </w:rPr>
        <w:t>Beta serves as a metric offering insights into the extent of an asset's linear relationship with the S&amp;P 500.</w:t>
      </w:r>
    </w:p>
    <w:p w14:paraId="42759422" w14:textId="77777777" w:rsidR="00A15D38" w:rsidRDefault="00BE012C" w:rsidP="00C23A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data in the table above reveals that while Gold maintains a value close to zero, suggesting a lack of correlation with the S&amp;P 500, VIX shows a strong negative correlation with the S&amp;P 500 during all time periods. </w:t>
      </w:r>
    </w:p>
    <w:p w14:paraId="1D669B3B" w14:textId="0404AD36" w:rsidR="005205BA" w:rsidRDefault="00BE012C" w:rsidP="00C23A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data suggest that while gold is a stable hedge for </w:t>
      </w:r>
      <w:r w:rsidRPr="004916F1">
        <w:rPr>
          <w:rFonts w:ascii="Times New Roman" w:hAnsi="Times New Roman" w:cs="Times New Roman"/>
        </w:rPr>
        <w:t>U.S. equity market</w:t>
      </w:r>
      <w:r>
        <w:rPr>
          <w:rFonts w:ascii="Times New Roman" w:hAnsi="Times New Roman" w:cs="Times New Roman"/>
        </w:rPr>
        <w:t>, VIX works more eff</w:t>
      </w:r>
      <w:r w:rsidR="00755406">
        <w:rPr>
          <w:rFonts w:ascii="Times New Roman" w:hAnsi="Times New Roman" w:cs="Times New Roman"/>
        </w:rPr>
        <w:t>ective</w:t>
      </w:r>
      <w:r>
        <w:rPr>
          <w:rFonts w:ascii="Times New Roman" w:hAnsi="Times New Roman" w:cs="Times New Roman"/>
        </w:rPr>
        <w:t xml:space="preserve"> when encountering a volatility for the equity market. </w:t>
      </w:r>
    </w:p>
    <w:p w14:paraId="174595A1" w14:textId="77777777" w:rsidR="00645125" w:rsidRDefault="00645125">
      <w:pPr>
        <w:rPr>
          <w:rFonts w:ascii="Times New Roman" w:hAnsi="Times New Roman" w:cs="Times New Roman"/>
        </w:rPr>
      </w:pPr>
    </w:p>
    <w:p w14:paraId="539ACF34" w14:textId="77777777" w:rsidR="00B10915" w:rsidRPr="00B10915" w:rsidRDefault="00B10915" w:rsidP="00B1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915">
        <w:rPr>
          <w:rFonts w:ascii="Times New Roman" w:hAnsi="Times New Roman" w:cs="Times New Roman"/>
          <w:b/>
          <w:bCs/>
          <w:sz w:val="28"/>
          <w:szCs w:val="28"/>
        </w:rPr>
        <w:t>Build Portfolios</w:t>
      </w:r>
    </w:p>
    <w:p w14:paraId="54B50D63" w14:textId="301F620D" w:rsidR="00CF3531" w:rsidRDefault="00CF3531" w:rsidP="00CF35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CF3531">
        <w:rPr>
          <w:rFonts w:ascii="Times New Roman" w:hAnsi="Times New Roman" w:cs="Times New Roman"/>
        </w:rPr>
        <w:t xml:space="preserve">ur investment strategy is validated through the construction of two portfolios, each </w:t>
      </w:r>
      <w:r w:rsidR="00CF27D5" w:rsidRPr="00CF3531">
        <w:rPr>
          <w:rFonts w:ascii="Times New Roman" w:hAnsi="Times New Roman" w:cs="Times New Roman"/>
        </w:rPr>
        <w:t>specifie</w:t>
      </w:r>
      <w:r w:rsidR="00CF27D5">
        <w:rPr>
          <w:rFonts w:ascii="Times New Roman" w:hAnsi="Times New Roman" w:cs="Times New Roman"/>
        </w:rPr>
        <w:t>d</w:t>
      </w:r>
      <w:r w:rsidRPr="00CF3531">
        <w:rPr>
          <w:rFonts w:ascii="Times New Roman" w:hAnsi="Times New Roman" w:cs="Times New Roman"/>
        </w:rPr>
        <w:t xml:space="preserve"> volatility regimes—low and high. In the low volatility regime, characterized by a realized standard deviation below the predicted volatility plus 2%, Strategy 1 allocates 100% of the portfolio to S&amp;P 500 shares. Conversely, in the high volatility regime, defined by a realized standard deviation exceeding the predicted volatility by more than 2%, the allocation adjusts to 75% in S&amp;P 500 shares and 25% in VIX for Strategy 1.</w:t>
      </w:r>
    </w:p>
    <w:p w14:paraId="1E913398" w14:textId="77777777" w:rsidR="002853B6" w:rsidRPr="00CF3531" w:rsidRDefault="002853B6" w:rsidP="00CF3531">
      <w:pPr>
        <w:jc w:val="both"/>
        <w:rPr>
          <w:rFonts w:ascii="Times New Roman" w:hAnsi="Times New Roman" w:cs="Times New Roman"/>
        </w:rPr>
      </w:pPr>
    </w:p>
    <w:p w14:paraId="40CF6834" w14:textId="03873968" w:rsidR="00CF3531" w:rsidRDefault="00CF3531" w:rsidP="00CF3531">
      <w:pPr>
        <w:jc w:val="both"/>
        <w:rPr>
          <w:rFonts w:ascii="Times New Roman" w:hAnsi="Times New Roman" w:cs="Times New Roman"/>
        </w:rPr>
      </w:pPr>
      <w:r w:rsidRPr="00CF3531">
        <w:rPr>
          <w:rFonts w:ascii="Times New Roman" w:hAnsi="Times New Roman" w:cs="Times New Roman"/>
        </w:rPr>
        <w:t xml:space="preserve">Contrastingly, Strategy 2 maintains a 100% allocation to S&amp;P 500 shares during low volatility periods. </w:t>
      </w:r>
      <w:r w:rsidR="00430387">
        <w:rPr>
          <w:rFonts w:ascii="Times New Roman" w:hAnsi="Times New Roman" w:cs="Times New Roman"/>
        </w:rPr>
        <w:t>However, i</w:t>
      </w:r>
      <w:r w:rsidRPr="00CF3531">
        <w:rPr>
          <w:rFonts w:ascii="Times New Roman" w:hAnsi="Times New Roman" w:cs="Times New Roman"/>
        </w:rPr>
        <w:t>n times of high volatility, it adjusts holdings to a 50% allocation in S&amp;P 500 shares and a 50% allocation in GLD.</w:t>
      </w:r>
    </w:p>
    <w:p w14:paraId="7EA5EF1A" w14:textId="77777777" w:rsidR="002853B6" w:rsidRPr="00CF3531" w:rsidRDefault="002853B6" w:rsidP="00CF3531">
      <w:pPr>
        <w:jc w:val="both"/>
        <w:rPr>
          <w:rFonts w:ascii="Times New Roman" w:hAnsi="Times New Roman" w:cs="Times New Roman"/>
        </w:rPr>
      </w:pPr>
    </w:p>
    <w:p w14:paraId="6FDD798A" w14:textId="294BE1E7" w:rsidR="00CF3531" w:rsidRDefault="00CF3531" w:rsidP="00CF3531">
      <w:pPr>
        <w:jc w:val="both"/>
        <w:rPr>
          <w:rFonts w:ascii="Times New Roman" w:hAnsi="Times New Roman" w:cs="Times New Roman"/>
        </w:rPr>
      </w:pPr>
      <w:r w:rsidRPr="00CF3531">
        <w:rPr>
          <w:rFonts w:ascii="Times New Roman" w:hAnsi="Times New Roman" w:cs="Times New Roman"/>
        </w:rPr>
        <w:t>The comparison of the performance of these two strategies against the S&amp;P 500 is visually represented in the subsequent graph. This visual analysis serves as a comprehensive illustration of the effectiveness of our investment st</w:t>
      </w:r>
      <w:r w:rsidR="00B54EA1">
        <w:rPr>
          <w:rFonts w:ascii="Times New Roman" w:hAnsi="Times New Roman" w:cs="Times New Roman"/>
        </w:rPr>
        <w:t>r</w:t>
      </w:r>
      <w:r w:rsidRPr="00CF3531">
        <w:rPr>
          <w:rFonts w:ascii="Times New Roman" w:hAnsi="Times New Roman" w:cs="Times New Roman"/>
        </w:rPr>
        <w:t>ategy under varying volatility conditions. The graph enables a clear understanding of how our portfolio allocations respond to and perform in different market environments, providing valuable insights into the adaptability and performance of our strategies.</w:t>
      </w:r>
    </w:p>
    <w:p w14:paraId="594E1851" w14:textId="77777777" w:rsidR="00CF3531" w:rsidRDefault="00CF3531" w:rsidP="00CF3531">
      <w:pPr>
        <w:jc w:val="both"/>
        <w:rPr>
          <w:rFonts w:ascii="Times New Roman" w:hAnsi="Times New Roman" w:cs="Times New Roman"/>
        </w:rPr>
      </w:pPr>
    </w:p>
    <w:p w14:paraId="41727E6B" w14:textId="7E854802" w:rsidR="00B10915" w:rsidRPr="00B10915" w:rsidRDefault="00314DC0" w:rsidP="00B1091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B52001" wp14:editId="4E3DCEC2">
            <wp:extent cx="5274310" cy="2847340"/>
            <wp:effectExtent l="0" t="0" r="0" b="0"/>
            <wp:docPr id="181494040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40401" name="图片 1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9AB9" w14:textId="40C4EE59" w:rsidR="00B10915" w:rsidRPr="00B10915" w:rsidRDefault="004035E6" w:rsidP="00B10915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9BB78A" wp14:editId="030EFF42">
            <wp:extent cx="5274310" cy="871220"/>
            <wp:effectExtent l="0" t="0" r="2540" b="5080"/>
            <wp:docPr id="1156869388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69388" name="图片 1" descr="图片包含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D288" w14:textId="77777777" w:rsidR="00F04022" w:rsidRDefault="00F04022" w:rsidP="00B10915">
      <w:pPr>
        <w:jc w:val="both"/>
        <w:rPr>
          <w:rFonts w:ascii="Times New Roman" w:hAnsi="Times New Roman" w:cs="Times New Roman"/>
        </w:rPr>
      </w:pPr>
    </w:p>
    <w:p w14:paraId="74BD8512" w14:textId="05F4E220" w:rsidR="00F04022" w:rsidRDefault="00F04022" w:rsidP="00B109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annualized reverts for the S&amp;P 500 (GSPC) were 9.04%. However, out designed portfolios (portfolio1 and portfolio2) </w:t>
      </w:r>
      <w:r w:rsidR="00805B5D">
        <w:rPr>
          <w:rFonts w:ascii="Times New Roman" w:hAnsi="Times New Roman" w:cs="Times New Roman"/>
        </w:rPr>
        <w:t>outperformed</w:t>
      </w:r>
      <w:r>
        <w:rPr>
          <w:rFonts w:ascii="Times New Roman" w:hAnsi="Times New Roman" w:cs="Times New Roman"/>
        </w:rPr>
        <w:t xml:space="preserve"> these indices, bringing annualized reverts of 14.9% and 10.1% respectively. </w:t>
      </w:r>
    </w:p>
    <w:p w14:paraId="427792C1" w14:textId="77777777" w:rsidR="00F04022" w:rsidRDefault="00F04022" w:rsidP="00B10915">
      <w:pPr>
        <w:jc w:val="both"/>
        <w:rPr>
          <w:rFonts w:ascii="Times New Roman" w:hAnsi="Times New Roman" w:cs="Times New Roman"/>
        </w:rPr>
      </w:pPr>
    </w:p>
    <w:p w14:paraId="10EB9974" w14:textId="5B9D6CC1" w:rsidR="00F04022" w:rsidRDefault="00F04022" w:rsidP="00B109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egarding volatility, a key degree of risk, the S&amp;P 500 exhibited annualized volatilities of 17.75%. In contrast, portfolio1 exhibited higher volatility at 34.55%, denoting that portfolio1 is riskier. Portfolio2, on the other hand, exhibited lower volatility at 15.9%, representing a safer </w:t>
      </w:r>
      <w:r w:rsidR="00805B5D">
        <w:rPr>
          <w:rFonts w:ascii="Times New Roman" w:hAnsi="Times New Roman" w:cs="Times New Roman"/>
        </w:rPr>
        <w:t>choice.</w:t>
      </w:r>
    </w:p>
    <w:p w14:paraId="4F0E8C08" w14:textId="77777777" w:rsidR="00F04022" w:rsidRDefault="00F04022" w:rsidP="00B10915">
      <w:pPr>
        <w:jc w:val="both"/>
        <w:rPr>
          <w:rFonts w:ascii="Times New Roman" w:hAnsi="Times New Roman" w:cs="Times New Roman"/>
        </w:rPr>
      </w:pPr>
    </w:p>
    <w:p w14:paraId="7259821C" w14:textId="2A618771" w:rsidR="00805B5D" w:rsidRPr="00B10915" w:rsidRDefault="00F04022" w:rsidP="00805B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Sharpe Ratio measure risk-adjusted returns and underscore e fine efficiency of portfolios. </w:t>
      </w:r>
      <w:r w:rsidR="00805B5D" w:rsidRPr="00B10915">
        <w:rPr>
          <w:rFonts w:ascii="Times New Roman" w:hAnsi="Times New Roman" w:cs="Times New Roman"/>
        </w:rPr>
        <w:t>The S&amp;P 500 had annualized Sharpe ratios of 0.</w:t>
      </w:r>
      <w:r w:rsidR="00805B5D">
        <w:rPr>
          <w:rFonts w:ascii="Times New Roman" w:hAnsi="Times New Roman" w:cs="Times New Roman"/>
        </w:rPr>
        <w:t>51</w:t>
      </w:r>
      <w:r w:rsidR="00805B5D" w:rsidRPr="00B10915">
        <w:rPr>
          <w:rFonts w:ascii="Times New Roman" w:hAnsi="Times New Roman" w:cs="Times New Roman"/>
        </w:rPr>
        <w:t xml:space="preserve">, while portfolio1 boasted significantly </w:t>
      </w:r>
      <w:r w:rsidR="00805B5D">
        <w:rPr>
          <w:rFonts w:ascii="Times New Roman" w:hAnsi="Times New Roman" w:cs="Times New Roman"/>
        </w:rPr>
        <w:t>lower</w:t>
      </w:r>
      <w:r w:rsidR="00805B5D" w:rsidRPr="00B10915">
        <w:rPr>
          <w:rFonts w:ascii="Times New Roman" w:hAnsi="Times New Roman" w:cs="Times New Roman"/>
        </w:rPr>
        <w:t xml:space="preserve"> Sharpe ratios of 0.</w:t>
      </w:r>
      <w:r w:rsidR="00805B5D">
        <w:rPr>
          <w:rFonts w:ascii="Times New Roman" w:hAnsi="Times New Roman" w:cs="Times New Roman"/>
        </w:rPr>
        <w:t>43</w:t>
      </w:r>
      <w:r w:rsidR="00805B5D" w:rsidRPr="00B10915">
        <w:rPr>
          <w:rFonts w:ascii="Times New Roman" w:hAnsi="Times New Roman" w:cs="Times New Roman"/>
        </w:rPr>
        <w:t xml:space="preserve"> and</w:t>
      </w:r>
      <w:r w:rsidR="00805B5D">
        <w:rPr>
          <w:rFonts w:ascii="Times New Roman" w:hAnsi="Times New Roman" w:cs="Times New Roman"/>
        </w:rPr>
        <w:t xml:space="preserve"> </w:t>
      </w:r>
      <w:r w:rsidR="00805B5D" w:rsidRPr="00B10915">
        <w:rPr>
          <w:rFonts w:ascii="Times New Roman" w:hAnsi="Times New Roman" w:cs="Times New Roman"/>
        </w:rPr>
        <w:t>portfolio2 boasted significantly higher Sharpe ratios of 0.</w:t>
      </w:r>
      <w:r w:rsidR="00805B5D">
        <w:rPr>
          <w:rFonts w:ascii="Times New Roman" w:hAnsi="Times New Roman" w:cs="Times New Roman"/>
        </w:rPr>
        <w:t>63</w:t>
      </w:r>
      <w:r w:rsidR="00805B5D" w:rsidRPr="00B10915">
        <w:rPr>
          <w:rFonts w:ascii="Times New Roman" w:hAnsi="Times New Roman" w:cs="Times New Roman"/>
        </w:rPr>
        <w:t>.</w:t>
      </w:r>
    </w:p>
    <w:p w14:paraId="65B57A41" w14:textId="77777777" w:rsidR="00F04022" w:rsidRDefault="00F04022" w:rsidP="00F04022">
      <w:pPr>
        <w:jc w:val="both"/>
        <w:rPr>
          <w:rFonts w:ascii="Times New Roman" w:hAnsi="Times New Roman" w:cs="Times New Roman"/>
        </w:rPr>
      </w:pPr>
    </w:p>
    <w:p w14:paraId="0636A6E0" w14:textId="77777777" w:rsidR="00F04022" w:rsidRDefault="00F04022" w:rsidP="00F04022">
      <w:pPr>
        <w:jc w:val="both"/>
        <w:rPr>
          <w:rFonts w:ascii="Times New Roman" w:hAnsi="Times New Roman" w:cs="Times New Roman"/>
        </w:rPr>
      </w:pPr>
      <w:r w:rsidRPr="00B10915">
        <w:rPr>
          <w:rFonts w:ascii="Times New Roman" w:hAnsi="Times New Roman" w:cs="Times New Roman"/>
        </w:rPr>
        <w:t xml:space="preserve">Given these results, we choose portfolio1 </w:t>
      </w:r>
      <w:r>
        <w:rPr>
          <w:rFonts w:ascii="Times New Roman" w:hAnsi="Times New Roman" w:cs="Times New Roman"/>
        </w:rPr>
        <w:t xml:space="preserve">in bull market </w:t>
      </w:r>
      <w:r w:rsidRPr="00B10915">
        <w:rPr>
          <w:rFonts w:ascii="Times New Roman" w:hAnsi="Times New Roman" w:cs="Times New Roman"/>
        </w:rPr>
        <w:t>and portfolio2</w:t>
      </w:r>
      <w:r>
        <w:rPr>
          <w:rFonts w:ascii="Times New Roman" w:hAnsi="Times New Roman" w:cs="Times New Roman"/>
        </w:rPr>
        <w:t xml:space="preserve"> in bear market</w:t>
      </w:r>
      <w:r w:rsidRPr="00B1091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</w:t>
      </w:r>
      <w:r w:rsidRPr="00B10915">
        <w:rPr>
          <w:rFonts w:ascii="Times New Roman" w:hAnsi="Times New Roman" w:cs="Times New Roman"/>
        </w:rPr>
        <w:t>ortfolio</w:t>
      </w:r>
      <w:r>
        <w:rPr>
          <w:rFonts w:ascii="Times New Roman" w:hAnsi="Times New Roman" w:cs="Times New Roman"/>
        </w:rPr>
        <w:t>1</w:t>
      </w:r>
      <w:r w:rsidRPr="00B10915">
        <w:rPr>
          <w:rFonts w:ascii="Times New Roman" w:hAnsi="Times New Roman" w:cs="Times New Roman"/>
        </w:rPr>
        <w:t xml:space="preserve"> provided higher returns than the S&amp;P 500, but they did so with </w:t>
      </w:r>
      <w:r>
        <w:rPr>
          <w:rFonts w:ascii="Times New Roman" w:hAnsi="Times New Roman" w:cs="Times New Roman"/>
        </w:rPr>
        <w:t>more</w:t>
      </w:r>
      <w:r w:rsidRPr="00B10915">
        <w:rPr>
          <w:rFonts w:ascii="Times New Roman" w:hAnsi="Times New Roman" w:cs="Times New Roman"/>
        </w:rPr>
        <w:t xml:space="preserve"> volatility, indicating a </w:t>
      </w:r>
      <w:r>
        <w:rPr>
          <w:rFonts w:ascii="Times New Roman" w:hAnsi="Times New Roman" w:cs="Times New Roman"/>
        </w:rPr>
        <w:t>less</w:t>
      </w:r>
      <w:r w:rsidRPr="00B10915">
        <w:rPr>
          <w:rFonts w:ascii="Times New Roman" w:hAnsi="Times New Roman" w:cs="Times New Roman"/>
        </w:rPr>
        <w:t xml:space="preserve"> efficient and safer performance. </w:t>
      </w:r>
      <w:r>
        <w:rPr>
          <w:rFonts w:ascii="Times New Roman" w:hAnsi="Times New Roman" w:cs="Times New Roman"/>
        </w:rPr>
        <w:t>On the other hand, p</w:t>
      </w:r>
      <w:r w:rsidRPr="00B10915">
        <w:rPr>
          <w:rFonts w:ascii="Times New Roman" w:hAnsi="Times New Roman" w:cs="Times New Roman"/>
        </w:rPr>
        <w:t>ortfolio</w:t>
      </w:r>
      <w:r>
        <w:rPr>
          <w:rFonts w:ascii="Times New Roman" w:hAnsi="Times New Roman" w:cs="Times New Roman"/>
        </w:rPr>
        <w:t>2</w:t>
      </w:r>
      <w:r w:rsidRPr="00B10915">
        <w:rPr>
          <w:rFonts w:ascii="Times New Roman" w:hAnsi="Times New Roman" w:cs="Times New Roman"/>
        </w:rPr>
        <w:t xml:space="preserve"> provided </w:t>
      </w:r>
      <w:r>
        <w:rPr>
          <w:rFonts w:ascii="Times New Roman" w:hAnsi="Times New Roman" w:cs="Times New Roman"/>
        </w:rPr>
        <w:t>lower</w:t>
      </w:r>
      <w:r w:rsidRPr="00B10915">
        <w:rPr>
          <w:rFonts w:ascii="Times New Roman" w:hAnsi="Times New Roman" w:cs="Times New Roman"/>
        </w:rPr>
        <w:t xml:space="preserve"> returns than the S&amp;P 500, but they did so with </w:t>
      </w:r>
      <w:r>
        <w:rPr>
          <w:rFonts w:ascii="Times New Roman" w:hAnsi="Times New Roman" w:cs="Times New Roman"/>
        </w:rPr>
        <w:t>less</w:t>
      </w:r>
      <w:r w:rsidRPr="00B10915">
        <w:rPr>
          <w:rFonts w:ascii="Times New Roman" w:hAnsi="Times New Roman" w:cs="Times New Roman"/>
        </w:rPr>
        <w:t xml:space="preserve"> volatility, indicating a </w:t>
      </w:r>
      <w:r>
        <w:rPr>
          <w:rFonts w:ascii="Times New Roman" w:hAnsi="Times New Roman" w:cs="Times New Roman"/>
        </w:rPr>
        <w:t>more</w:t>
      </w:r>
      <w:r w:rsidRPr="00B10915">
        <w:rPr>
          <w:rFonts w:ascii="Times New Roman" w:hAnsi="Times New Roman" w:cs="Times New Roman"/>
        </w:rPr>
        <w:t xml:space="preserve"> efficient and safer performance.</w:t>
      </w:r>
      <w:r>
        <w:rPr>
          <w:rFonts w:ascii="Times New Roman" w:hAnsi="Times New Roman" w:cs="Times New Roman"/>
        </w:rPr>
        <w:t xml:space="preserve"> </w:t>
      </w:r>
      <w:r w:rsidRPr="00B10915">
        <w:rPr>
          <w:rFonts w:ascii="Times New Roman" w:hAnsi="Times New Roman" w:cs="Times New Roman"/>
        </w:rPr>
        <w:t xml:space="preserve">This demonstrates </w:t>
      </w:r>
      <w:r>
        <w:rPr>
          <w:rFonts w:ascii="Times New Roman" w:hAnsi="Times New Roman" w:cs="Times New Roman"/>
        </w:rPr>
        <w:t>that</w:t>
      </w:r>
      <w:r w:rsidRPr="00B10915">
        <w:rPr>
          <w:rFonts w:ascii="Times New Roman" w:hAnsi="Times New Roman" w:cs="Times New Roman"/>
        </w:rPr>
        <w:t xml:space="preserve"> our strategy in optimizing returns </w:t>
      </w:r>
      <w:r>
        <w:rPr>
          <w:rFonts w:ascii="Times New Roman" w:hAnsi="Times New Roman" w:cs="Times New Roman"/>
        </w:rPr>
        <w:t xml:space="preserve">should shift between two portfolios </w:t>
      </w:r>
      <w:r w:rsidRPr="00B10915">
        <w:rPr>
          <w:rFonts w:ascii="Times New Roman" w:hAnsi="Times New Roman" w:cs="Times New Roman"/>
        </w:rPr>
        <w:t xml:space="preserve">while </w:t>
      </w:r>
      <w:r>
        <w:rPr>
          <w:rFonts w:ascii="Times New Roman" w:hAnsi="Times New Roman" w:cs="Times New Roman"/>
        </w:rPr>
        <w:t>we</w:t>
      </w:r>
      <w:r w:rsidRPr="00B109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experience a</w:t>
      </w:r>
      <w:r w:rsidRPr="00B10915">
        <w:rPr>
          <w:rFonts w:ascii="Times New Roman" w:hAnsi="Times New Roman" w:cs="Times New Roman"/>
        </w:rPr>
        <w:t xml:space="preserve"> period of </w:t>
      </w:r>
      <w:r>
        <w:rPr>
          <w:rFonts w:ascii="Times New Roman" w:hAnsi="Times New Roman" w:cs="Times New Roman"/>
        </w:rPr>
        <w:t>changing marke</w:t>
      </w:r>
      <w:r w:rsidRPr="00B10915">
        <w:rPr>
          <w:rFonts w:ascii="Times New Roman" w:hAnsi="Times New Roman" w:cs="Times New Roman"/>
        </w:rPr>
        <w:t>t volatility.</w:t>
      </w:r>
    </w:p>
    <w:p w14:paraId="2EDD98AB" w14:textId="77777777" w:rsidR="00F04022" w:rsidRPr="00F04022" w:rsidRDefault="00F04022" w:rsidP="00F04022">
      <w:pPr>
        <w:jc w:val="both"/>
        <w:rPr>
          <w:rFonts w:ascii="Times New Roman" w:hAnsi="Times New Roman" w:cs="Times New Roman"/>
        </w:rPr>
      </w:pPr>
    </w:p>
    <w:sectPr w:rsidR="00F04022" w:rsidRPr="00F0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26DF" w14:textId="77777777" w:rsidR="00E46EFA" w:rsidRDefault="00E46EFA" w:rsidP="00C23AE0">
      <w:r>
        <w:separator/>
      </w:r>
    </w:p>
  </w:endnote>
  <w:endnote w:type="continuationSeparator" w:id="0">
    <w:p w14:paraId="6ADC4435" w14:textId="77777777" w:rsidR="00E46EFA" w:rsidRDefault="00E46EFA" w:rsidP="00C2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5715" w14:textId="77777777" w:rsidR="00E46EFA" w:rsidRDefault="00E46EFA" w:rsidP="00C23AE0">
      <w:r>
        <w:separator/>
      </w:r>
    </w:p>
  </w:footnote>
  <w:footnote w:type="continuationSeparator" w:id="0">
    <w:p w14:paraId="3869A670" w14:textId="77777777" w:rsidR="00E46EFA" w:rsidRDefault="00E46EFA" w:rsidP="00C23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2B30"/>
    <w:multiLevelType w:val="hybridMultilevel"/>
    <w:tmpl w:val="122A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14"/>
    <w:rsid w:val="00076435"/>
    <w:rsid w:val="000821C4"/>
    <w:rsid w:val="000871C6"/>
    <w:rsid w:val="000C4808"/>
    <w:rsid w:val="001133BF"/>
    <w:rsid w:val="00114B95"/>
    <w:rsid w:val="0014205C"/>
    <w:rsid w:val="00181AAA"/>
    <w:rsid w:val="001946BA"/>
    <w:rsid w:val="001C371A"/>
    <w:rsid w:val="001E181A"/>
    <w:rsid w:val="00200E26"/>
    <w:rsid w:val="00246727"/>
    <w:rsid w:val="0025499E"/>
    <w:rsid w:val="002853B6"/>
    <w:rsid w:val="00286BF3"/>
    <w:rsid w:val="002A1411"/>
    <w:rsid w:val="002B10A5"/>
    <w:rsid w:val="002C4045"/>
    <w:rsid w:val="002E1731"/>
    <w:rsid w:val="002F2EFA"/>
    <w:rsid w:val="00314DC0"/>
    <w:rsid w:val="00367453"/>
    <w:rsid w:val="0038265C"/>
    <w:rsid w:val="003B17F5"/>
    <w:rsid w:val="003F0F9B"/>
    <w:rsid w:val="004035E6"/>
    <w:rsid w:val="00415431"/>
    <w:rsid w:val="00423696"/>
    <w:rsid w:val="004271CF"/>
    <w:rsid w:val="00430387"/>
    <w:rsid w:val="004916F1"/>
    <w:rsid w:val="004A2F52"/>
    <w:rsid w:val="004D56D1"/>
    <w:rsid w:val="00510C0C"/>
    <w:rsid w:val="00517AF0"/>
    <w:rsid w:val="005205BA"/>
    <w:rsid w:val="0056600D"/>
    <w:rsid w:val="00572225"/>
    <w:rsid w:val="00574783"/>
    <w:rsid w:val="005B3A99"/>
    <w:rsid w:val="00602F33"/>
    <w:rsid w:val="00605094"/>
    <w:rsid w:val="006171D7"/>
    <w:rsid w:val="00645125"/>
    <w:rsid w:val="006503DF"/>
    <w:rsid w:val="00654BCA"/>
    <w:rsid w:val="006803C7"/>
    <w:rsid w:val="00696CE0"/>
    <w:rsid w:val="006A6648"/>
    <w:rsid w:val="006D7237"/>
    <w:rsid w:val="006E4F3B"/>
    <w:rsid w:val="006F55D2"/>
    <w:rsid w:val="00727421"/>
    <w:rsid w:val="0073559C"/>
    <w:rsid w:val="00755406"/>
    <w:rsid w:val="00762C80"/>
    <w:rsid w:val="007A060C"/>
    <w:rsid w:val="007A549F"/>
    <w:rsid w:val="007F677E"/>
    <w:rsid w:val="00805B5D"/>
    <w:rsid w:val="00814EA9"/>
    <w:rsid w:val="00841081"/>
    <w:rsid w:val="00893E14"/>
    <w:rsid w:val="008C1768"/>
    <w:rsid w:val="009025E3"/>
    <w:rsid w:val="009049FD"/>
    <w:rsid w:val="00910E5A"/>
    <w:rsid w:val="00932AE0"/>
    <w:rsid w:val="009C0F0C"/>
    <w:rsid w:val="009D4482"/>
    <w:rsid w:val="00A15D38"/>
    <w:rsid w:val="00A431A4"/>
    <w:rsid w:val="00A55F5A"/>
    <w:rsid w:val="00A70B35"/>
    <w:rsid w:val="00A837F4"/>
    <w:rsid w:val="00AF2B23"/>
    <w:rsid w:val="00B10915"/>
    <w:rsid w:val="00B10F05"/>
    <w:rsid w:val="00B54EA1"/>
    <w:rsid w:val="00B66BF5"/>
    <w:rsid w:val="00BD3BE7"/>
    <w:rsid w:val="00BE012C"/>
    <w:rsid w:val="00BF327C"/>
    <w:rsid w:val="00C03D8C"/>
    <w:rsid w:val="00C23AE0"/>
    <w:rsid w:val="00C868AB"/>
    <w:rsid w:val="00CD18BB"/>
    <w:rsid w:val="00CF27D5"/>
    <w:rsid w:val="00CF3531"/>
    <w:rsid w:val="00D47111"/>
    <w:rsid w:val="00D56DF5"/>
    <w:rsid w:val="00D67967"/>
    <w:rsid w:val="00D81962"/>
    <w:rsid w:val="00D928F6"/>
    <w:rsid w:val="00D96F35"/>
    <w:rsid w:val="00DB7E0A"/>
    <w:rsid w:val="00DC6D8A"/>
    <w:rsid w:val="00DE4940"/>
    <w:rsid w:val="00DE661B"/>
    <w:rsid w:val="00E12CC8"/>
    <w:rsid w:val="00E14AD7"/>
    <w:rsid w:val="00E2104A"/>
    <w:rsid w:val="00E46EFA"/>
    <w:rsid w:val="00F04022"/>
    <w:rsid w:val="00F10F36"/>
    <w:rsid w:val="00F12592"/>
    <w:rsid w:val="00F26140"/>
    <w:rsid w:val="00F67A39"/>
    <w:rsid w:val="00F81763"/>
    <w:rsid w:val="00F94667"/>
    <w:rsid w:val="00FA0743"/>
    <w:rsid w:val="00FD3F60"/>
    <w:rsid w:val="00FF54ED"/>
    <w:rsid w:val="00FF5B99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53D51"/>
  <w15:chartTrackingRefBased/>
  <w15:docId w15:val="{E29C8A23-0602-4CAC-9467-D8CA310C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5D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A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A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AE0"/>
    <w:rPr>
      <w:sz w:val="18"/>
      <w:szCs w:val="18"/>
    </w:rPr>
  </w:style>
  <w:style w:type="paragraph" w:styleId="a7">
    <w:name w:val="List Paragraph"/>
    <w:basedOn w:val="a"/>
    <w:uiPriority w:val="34"/>
    <w:qFormat/>
    <w:rsid w:val="00C23AE0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23AE0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F3531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Arthur</dc:creator>
  <cp:keywords/>
  <dc:description/>
  <cp:lastModifiedBy>Chen Arthur</cp:lastModifiedBy>
  <cp:revision>110</cp:revision>
  <dcterms:created xsi:type="dcterms:W3CDTF">2023-10-13T21:49:00Z</dcterms:created>
  <dcterms:modified xsi:type="dcterms:W3CDTF">2023-10-29T22:36:00Z</dcterms:modified>
</cp:coreProperties>
</file>