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Profile</w:t>
      </w:r>
    </w:p>
    <w:p>
      <w:r>
        <w:t>FICTIONAL TRAINING MATERIAL | Verify all facts and applicable law</w:t>
      </w:r>
    </w:p>
    <w:p>
      <w:r>
        <w:t>01 | Company Master Profile (Fictional)</w:t>
      </w:r>
    </w:p>
    <w:p>
      <w:r>
        <w:t>Company identity</w:t>
      </w:r>
    </w:p>
    <w:p>
      <w:r>
        <w:t>ABC Private Limited. Fictional training entity; no actual CIN or DIN is asserted.</w:t>
      </w:r>
    </w:p>
    <w:p>
      <w:r>
        <w:t>CIN: [TO BE FILLED - FICTIONAL TRAINING IDENTIFIER]</w:t>
      </w:r>
    </w:p>
    <w:p>
      <w:r>
        <w:t>Registered office: [TO BE FILLED]</w:t>
      </w:r>
    </w:p>
    <w:p>
      <w:r>
        <w:t>Company classification: Indian private limited company, unlisted (base exercise).</w:t>
      </w:r>
    </w:p>
    <w:p>
      <w:r>
        <w:t>Financial year: [TO BE FILLED]</w:t>
      </w:r>
    </w:p>
    <w:p>
      <w:r>
        <w:t>Authorised capital: [TO BE FILLED]</w:t>
      </w:r>
    </w:p>
    <w:p>
      <w:r>
        <w:t>Paid-up capital: [TO BE FILLED]</w:t>
      </w:r>
    </w:p>
    <w:p>
      <w:r>
        <w:t>Shareholding and beneficial ownership: [TO BE FILLED]</w:t>
      </w:r>
    </w:p>
    <w:p>
      <w:r>
        <w:t>Governance details</w:t>
      </w:r>
    </w:p>
    <w:p>
      <w:r>
        <w:t>Articles of Association: fictional assumption, subject to participant upload.</w:t>
      </w:r>
    </w:p>
    <w:p>
      <w:r>
        <w:t>Board size: [TO BE FILLED]</w:t>
      </w:r>
    </w:p>
    <w:p>
      <w:r>
        <w:t>Company Secretary: [TO BE FILLED]</w:t>
      </w:r>
    </w:p>
    <w:p>
      <w:r>
        <w:t>Previous Board meeting: [TO BE FILLED]</w:t>
      </w:r>
    </w:p>
    <w:p>
      <w:r>
        <w:t>Statutory registers and committee details: [TO BE FILLED]</w:t>
      </w:r>
    </w:p>
    <w:p>
      <w:r>
        <w:t>Participant exercise</w:t>
      </w:r>
    </w:p>
    <w:p>
      <w:r>
        <w:t>Fill blanks, then request a company profile summary. The assistant must not infer real MCA identifiers.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