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Listed Entity Extension</w:t>
      </w:r>
    </w:p>
    <w:p>
      <w:r>
        <w:t>FICTIONAL TRAINING MATERIAL | Verify all facts and applicable law</w:t>
      </w:r>
    </w:p>
    <w:p>
      <w:r>
        <w:t>08 | Listed Entity Extension</w:t>
      </w:r>
    </w:p>
    <w:p>
      <w:r>
        <w:t>Classification intake</w:t>
      </w:r>
    </w:p>
    <w:p>
      <w:r>
        <w:t>Listed equity or listed debt [ ]; exchange(s) [ ]; segment [ ]; material subsidiary [ ]; Board committees [ ]; unpublished price sensitive information considerations [ ].</w:t>
      </w:r>
    </w:p>
    <w:p>
      <w:r>
        <w:t>Conditional pre-meeting checks</w:t>
      </w:r>
    </w:p>
    <w:p>
      <w:r>
        <w:t>Regulation 29 advance intimation: verify whether agenda item triggers it and current timeline.</w:t>
      </w:r>
    </w:p>
    <w:p>
      <w:r>
        <w:t>Trading window and insider-trading controls: verify applicability.</w:t>
      </w:r>
    </w:p>
    <w:p>
      <w:r>
        <w:t>Committee and governance approvals: verify as relevant.</w:t>
      </w:r>
    </w:p>
    <w:p>
      <w:r>
        <w:t>Conditional post-meeting checks</w:t>
      </w:r>
    </w:p>
    <w:p>
      <w:r>
        <w:t>Regulation 30 and Schedule III disclosure assessment; event-specific time limits and prescribed details.</w:t>
      </w:r>
    </w:p>
    <w:p>
      <w:r>
        <w:t>Regulation 33 financial results if relevant.</w:t>
      </w:r>
    </w:p>
    <w:p>
      <w:r>
        <w:t>Regulation 46 website updates if relevant.</w:t>
      </w:r>
    </w:p>
    <w:p>
      <w:r>
        <w:t>Exchange portal filing evidence and acknowledgement.</w:t>
      </w:r>
    </w:p>
    <w:p>
      <w:r>
        <w:t>MCA filing is separate; do not mark SEBI as direct recipient where exchange submission is prescribed.</w:t>
      </w:r>
    </w:p>
    <w:p>
      <w:r>
        <w:t>Listed liquidation</w:t>
      </w:r>
    </w:p>
    <w:p>
      <w:r>
        <w:t>Assess material event disclosure, exchange communications, suspension/delisting and continuing obligations; verify route and current law with qualified counsel.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