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Winding Up and Listed Company Checklist</w:t>
      </w:r>
    </w:p>
    <w:p>
      <w:r>
        <w:t>FICTIONAL TRAINING MATERIAL | Verify all facts and applicable law</w:t>
      </w:r>
    </w:p>
    <w:p>
      <w:r>
        <w:t>14 | Winding Up and Post-Meeting Compliance Checklist</w:t>
      </w:r>
    </w:p>
    <w:p>
      <w:r>
        <w:t>Mandatory route decision</w:t>
      </w:r>
    </w:p>
    <w:p>
      <w:r>
        <w:t>Meaning of winding up [meeting closure / corporate winding up].</w:t>
      </w:r>
    </w:p>
    <w:p>
      <w:r>
        <w:t>Company class [ ]; listed instrument [ ]; solvent [ ]; default [ ]; creditors [ ]; pending proceedings [ ].</w:t>
      </w:r>
    </w:p>
    <w:p>
      <w:r>
        <w:t>Assess IBC section 59 voluntary liquidation, Tribunal winding up under Companies Act, or other applicable process. Do not automatically select a route.</w:t>
      </w:r>
    </w:p>
    <w:p>
      <w:r>
        <w:t>Conditional approvals and actions</w:t>
      </w:r>
    </w:p>
    <w:p>
      <w:r>
        <w:t>Board consideration and declarations, if required [ ]; shareholders approval, if required [ ]; creditors approval, if required [ ]; liquidator appointment [ ]; statutory intimation/filing [ ]; public announcement [ ]; claims [ ]; reports and distributions [ ]; dissolution order [ ]. For every row, verify legal basis, prescribed form, deadline and responsible party.</w:t>
      </w:r>
    </w:p>
    <w:p>
      <w:r>
        <w:t>Listed entity overlay</w:t>
      </w:r>
    </w:p>
    <w:p>
      <w:r>
        <w:t>Reg 29 intimation applicability [ ]; Reg 30 Schedule III disclosure [ ]; exchange(s) [ ]; exchange portal [ ]; website disclosure [ ]; materiality analysis [ ]; suspension/delisting considerations [ ]; trading restrictions [ ]; proof of submission [ ].</w:t>
      </w:r>
    </w:p>
    <w:p>
      <w:r>
        <w:t>Post-Board-meeting tracker</w:t>
      </w:r>
    </w:p>
    <w:p>
      <w:r>
        <w:t>Decision actually passed [ ]; authority [ ]; filing with MCA [ ]; filing with exchange [ ]; IBBI/NCLT action [ ]; due date verified [ ]; owner [ ]; receipt/evidence [ ]; status [ ].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