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2"/></w:pPr><w:r><w:rPr/><w:t xml:space="preserve">MEMORANDUM</w:t></w:r></w:p><w:p><w:pPr/><w:r><w:rPr/><w:t xml:space="preserve"> 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FOR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THE REGIONAL EXECUTIVE DIRECTOR</w:t></w:r></w:p><w:p><w:pPr><w:jc w:val="both"/><w:spacing w:after="0"/></w:pPr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THRU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THE OIC, ARD FOR MANAGEMENT SERVICES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DIVISION</w:t></w:r></w:p><w:p><w:pPr><w:jc w:val="both"/><w:spacing w:after="0"/></w:pPr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FROM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THE CHIEF, RICT UNIT</w:t></w:r></w:p><w:p><w:pPr><w:jc w:val="both"/><w:spacing w:after="0"/></w:pPr><w:r><w:rPr/><w:t xml:space="preserve"> </w:t></w:r></w:p><w:p><w:pPr><w:spacing w:after="0"/></w:pPr><w:r><w:rPr><w:rFonts w:ascii="'Times New Roman'" w:hAnsi="'Times New Roman'" w:eastAsia="'Times New Roman'" w:cs="'Times New Roman'"/><w:sz w:val="24"/><w:szCs w:val="24"/><w:b w:val="1"/><w:bCs w:val="1"/></w:rPr><w:t xml:space="preserve">SUBJECT</w:t></w:r><w:r><w:rPr><w:rFonts w:ascii="'Times New Roman'" w:hAnsi="'Times New Roman'" w:eastAsia="'Times New Roman'" w:cs="'Times New Roman'"/><w:sz w:val="24"/><w:szCs w:val="24"/></w:rPr><w:t xml:space="preserve"> </w:t></w:r><w:r><w:rPr><w:rFonts w:ascii="'Times New Roman'" w:hAnsi="'Times New Roman'" w:eastAsia="'Times New Roman'" w:cs="'Times New Roman'"/><w:sz w:val="24"/><w:szCs w:val="24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4th</w:t></w:r><w:r><w:rPr><w:rFonts w:ascii="'Times New Roman'" w:hAnsi="'Times New Roman'" w:eastAsia="'Times New Roman'" w:cs="'Times New Roman'"/><w:sz w:val="24"/><w:szCs w:val="24"/><w:b w:val="1"/><w:bCs w:val="1"/></w:rPr><w:t xml:space="preserve"> QUARTER REPORT ON THE TECHNICAL ASSISTANCE </w:t></w:r></w:p><w:p><w:pPr><w:spacing w:after="0"/></w:pPr><w:r><w:rPr><w:rFonts w:ascii="'Times New Roman'" w:hAnsi="'Times New Roman'" w:eastAsia="'Times New Roman'" w:cs="'Times New Roman'"/><w:sz w:val="24"/><w:szCs w:val="24"/><w:b w:val="1"/><w:bCs w:val="1"/></w:rPr><w:t xml:space="preserve">PROVIDED TO THE FIELD OFFICES</w:t></w:r><w:r><w:rPr><w:rFonts w:ascii="'Times New Roman'" w:hAnsi="'Times New Roman'" w:eastAsia="'Times New Roman'" w:cs="'Times New Roman'"/><w:sz w:val="26"/><w:szCs w:val="26"/><w:b w:val="1"/><w:bCs w:val="1"/></w:rPr><w:t xml:space="preserve"> </w:t></w:r></w:p><w:p><w:pPr><w:spacing w:after="0"/></w:pPr><w:r><w:rPr><w:rFonts w:ascii="'Times New Roman'" w:hAnsi="'Times New Roman'" w:eastAsia="'Times New Roman'" w:cs="'Times New Roman'"/><w:sz w:val="26"/><w:szCs w:val="26"/><w:b w:val="1"/><w:bCs w:val="1"/></w:rPr><w:t xml:space="preserve"> 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DATE</w:t></w:r><w:r><w:rPr><w:rFonts w:ascii="'Times New Roman'" w:hAnsi="'Times New Roman'" w:eastAsia="'Times New Roman'" w:cs="'Times New Roman'"/><w:sz w:val="24"/><w:szCs w:val="24"/><w:b w:val="1"/><w:bCs w:val="1"/></w:rPr><w:t xml:space="preserve">:</w:t></w:r></w:p><w:p><w:pPr/><w:r><w:rPr/><w:t xml:space="preserve"> </w:t></w:r></w:p><w:p><w:pPr><w:jc w:val="both"/><w:spacing w:after="0"/></w:pPr><w:r><w:rPr/><w:t xml:space="preserve">-1269963500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Please be informed that one of the core functions of the Regional Information and Communication Technology Unit (RICTU) is to provide timely, efficient, and continuous ICT-related technical assistance to the Field Offices to ensure uninterrupted system operations across the region.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Presented hereunder is the </w:t></w:r><w:r><w:rPr><w:rFonts w:ascii="'Times New Roman'" w:hAnsi="'Times New Roman'" w:eastAsia="'Times New Roman'" w:cs="'Times New Roman'"/><w:lang w:val="en-PH"/><w:sz w:val="24"/><w:szCs w:val="24"/><w:b w:val="1"/><w:bCs w:val="1"/></w:rPr><w:t xml:space="preserve">consolidated summary of technical assistance provided during the 4th Quarter of CY 2025 (October–December 2025)</w:t></w:r><w:r><w:rPr><w:rFonts w:ascii="'Times New Roman'" w:hAnsi="'Times New Roman'" w:eastAsia="'Times New Roman'" w:cs="'Times New Roman'"/><w:lang w:val="en-PH"/><w:sz w:val="24"/><w:szCs w:val="24"/></w:rPr><w:t xml:space="preserve">. The information is based on the accomplished Service Request Forms (SRFs) submitted by the concerned Field Offices, which serve as documentary evidence of the services rendered.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b w:val="1"/><w:bCs w:val="1"/></w:rPr><w:t xml:space="preserve">Table 1: Summary of Technical Assistance Provided</w:t></w:r></w:p><w:p><w:pPr/><w:r><w:rPr/><w:t xml:space="preserve"> </w:t></w:r></w:p><w:tbl><w:tblGrid><w:gridCol/><w:gridCol/><w:gridCol/><w:gridCol/><w:gridCol/><w:gridCol/><w:gridCol/></w:tblGrid><w:tblPr><w:tblW w:w="0" w:type="auto"/><w:tblLayout w:type="autofit"/></w:tblP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NAME OF CLIENT & OFFICE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DATE & TIME OF REQUEST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TYPE OF ASSISTANCE PROVIDED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DATE OF ACTION COMPLETED & ACKNOWLEDGED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TOTAL TIME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MONTHLY AVE. RATING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FEEDBACK RATING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Jobert</w:t></w:r><w:r><w:rPr><w:rFonts w:ascii="'Times New Roman'" w:hAnsi="'Times New Roman'" w:eastAsia="'Times New Roman'" w:cs="'Times New Roman'"/><w:lang w:val="en-PH"/><w:sz w:val="20"/><w:szCs w:val="20"/></w:rPr><w:t xml:space="preserve"> C. Awa, PENRO ADN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1, 2025 – 10:15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O-LDPMS 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1, 2025 – 10:35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20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Junex</w:t></w:r><w:r><w:rPr><w:rFonts w:ascii="'Times New Roman'" w:hAnsi="'Times New Roman'" w:eastAsia="'Times New Roman'" w:cs="'Times New Roman'"/><w:lang w:val="en-PH"/><w:sz w:val="20"/><w:szCs w:val="20"/></w:rPr><w:t xml:space="preserve"> D. </w:t></w:r><w:r><w:rPr><w:rFonts w:ascii="'Times New Roman'" w:hAnsi="'Times New Roman'" w:eastAsia="'Times New Roman'" w:cs="'Times New Roman'"/><w:lang w:val="en-PH"/><w:sz w:val="20"/><w:szCs w:val="20"/></w:rPr><w:t xml:space="preserve">Bandoy</w:t></w:r><w:r><w:rPr><w:rFonts w:ascii="'Times New Roman'" w:hAnsi="'Times New Roman'" w:eastAsia="'Times New Roman'" w:cs="'Times New Roman'"/><w:lang w:val="en-PH"/><w:sz w:val="20"/><w:szCs w:val="20"/></w:rPr><w:t xml:space="preserve">, CENRO </w:t></w:r><w:r><w:rPr><w:rFonts w:ascii="'Times New Roman'" w:hAnsi="'Times New Roman'" w:eastAsia="'Times New Roman'" w:cs="'Times New Roman'"/><w:lang w:val="en-PH"/><w:sz w:val="20"/><w:szCs w:val="20"/></w:rPr><w:t xml:space="preserve">Bislig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3, 2025 – 2:40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3, 2025 – 2:55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15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Arthur S. </w:t></w:r><w:r><w:rPr><w:rFonts w:ascii="'Times New Roman'" w:hAnsi="'Times New Roman'" w:eastAsia="'Times New Roman'" w:cs="'Times New Roman'"/><w:lang w:val="en-PH"/><w:sz w:val="20"/><w:szCs w:val="20"/></w:rPr><w:t xml:space="preserve">Juanite</w:t></w:r><w:r><w:rPr><w:rFonts w:ascii="'Times New Roman'" w:hAnsi="'Times New Roman'" w:eastAsia="'Times New Roman'" w:cs="'Times New Roman'"/><w:lang w:val="en-PH"/><w:sz w:val="20"/><w:szCs w:val="20"/></w:rPr><w:t xml:space="preserve">, PAMO-SIPLAS PENRO SDN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9, 2025 – 4:01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9, 2025 – 4:17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16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Joel E. </w:t></w:r><w:r><w:rPr><w:rFonts w:ascii="'Times New Roman'" w:hAnsi="'Times New Roman'" w:eastAsia="'Times New Roman'" w:cs="'Times New Roman'"/><w:lang w:val="en-PH"/><w:sz w:val="20"/><w:szCs w:val="20"/></w:rPr><w:t xml:space="preserve">Carbonilla</w:t></w:r><w:r><w:rPr><w:rFonts w:ascii="'Times New Roman'" w:hAnsi="'Times New Roman'" w:eastAsia="'Times New Roman'" w:cs="'Times New Roman'"/><w:lang w:val="en-PH"/><w:sz w:val="20"/><w:szCs w:val="20"/></w:rPr><w:t xml:space="preserve">, PENRO SDN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16, 2025 – 3:20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16, 2025 – 5:10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 </w:t></w:r><w:r><w:rPr><w:rFonts w:ascii="'Times New Roman'" w:hAnsi="'Times New Roman'" w:eastAsia="'Times New Roman'" w:cs="'Times New Roman'"/><w:lang w:val="en-PH"/><w:sz w:val="20"/><w:szCs w:val="20"/></w:rPr><w:t xml:space="preserve">hr</w:t></w:r><w:r><w:rPr><w:rFonts w:ascii="'Times New Roman'" w:hAnsi="'Times New Roman'" w:eastAsia="'Times New Roman'" w:cs="'Times New Roman'"/><w:lang w:val="en-PH"/><w:sz w:val="20"/><w:szCs w:val="20"/></w:rPr><w:t xml:space="preserve"> 50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Marc </w:t></w:r><w:r><w:rPr><w:rFonts w:ascii="'Times New Roman'" w:hAnsi="'Times New Roman'" w:eastAsia="'Times New Roman'" w:cs="'Times New Roman'"/><w:lang w:val="en-PH"/><w:sz w:val="20"/><w:szCs w:val="20"/></w:rPr><w:t xml:space="preserve">Kaven</w:t></w:r><w:r><w:rPr><w:rFonts w:ascii="'Times New Roman'" w:hAnsi="'Times New Roman'" w:eastAsia="'Times New Roman'" w:cs="'Times New Roman'"/><w:lang w:val="en-PH"/><w:sz w:val="20"/><w:szCs w:val="20"/></w:rPr><w:t xml:space="preserve"> D. </w:t></w:r><w:r><w:rPr><w:rFonts w:ascii="'Times New Roman'" w:hAnsi="'Times New Roman'" w:eastAsia="'Times New Roman'" w:cs="'Times New Roman'"/><w:lang w:val="en-PH"/><w:sz w:val="20"/><w:szCs w:val="20"/></w:rPr><w:t xml:space="preserve">Castañares</w:t></w:r><w:r><w:rPr><w:rFonts w:ascii="'Times New Roman'" w:hAnsi="'Times New Roman'" w:eastAsia="'Times New Roman'" w:cs="'Times New Roman'"/><w:lang w:val="en-PH"/><w:sz w:val="20"/><w:szCs w:val="20"/></w:rPr><w:t xml:space="preserve">, </w:t></w:r><w:r><w:rPr><w:rFonts w:ascii="'Times New Roman'" w:hAnsi="'Times New Roman'" w:eastAsia="'Times New Roman'" w:cs="'Times New Roman'"/><w:lang w:val="en-PH"/><w:sz w:val="20"/><w:szCs w:val="20"/></w:rPr><w:t xml:space="preserve">PAMO-SIPLAS PENRO SDN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20, 2025 – 10:21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20, 2025 – 10:25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4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Jay </w:t></w:r><w:r><w:rPr><w:rFonts w:ascii="'Times New Roman'" w:hAnsi="'Times New Roman'" w:eastAsia="'Times New Roman'" w:cs="'Times New Roman'"/><w:lang w:val="en-PH"/><w:sz w:val="20"/><w:szCs w:val="20"/></w:rPr><w:t xml:space="preserve">Ar</w:t></w:r><w:r><w:rPr><w:rFonts w:ascii="'Times New Roman'" w:hAnsi="'Times New Roman'" w:eastAsia="'Times New Roman'" w:cs="'Times New Roman'"/><w:lang w:val="en-PH"/><w:sz w:val="20"/><w:szCs w:val="20"/></w:rPr><w:t xml:space="preserve"> M. Montaner, PENRO ADS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2:00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OTOS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2:20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20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Jason </w:t></w:r><w:r><w:rPr><w:rFonts w:ascii="'Times New Roman'" w:hAnsi="'Times New Roman'" w:eastAsia="'Times New Roman'" w:cs="'Times New Roman'"/><w:lang w:val="en-PH"/><w:sz w:val="20"/><w:szCs w:val="20"/></w:rPr><w:t xml:space="preserve">Bunod</w:t></w:r><w:r><w:rPr><w:rFonts w:ascii="'Times New Roman'" w:hAnsi="'Times New Roman'" w:eastAsia="'Times New Roman'" w:cs="'Times New Roman'"/><w:lang w:val="en-PH"/><w:sz w:val="20"/><w:szCs w:val="20"/></w:rPr><w:t xml:space="preserve">, CENRO </w:t></w:r><w:r><w:rPr><w:rFonts w:ascii="'Times New Roman'" w:hAnsi="'Times New Roman'" w:eastAsia="'Times New Roman'" w:cs="'Times New Roman'"/><w:lang w:val="en-PH"/><w:sz w:val="20"/><w:szCs w:val="20"/></w:rPr><w:t xml:space="preserve">Bunawan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3:37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OTOS Account Adjustment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4:20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43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Aisen</w:t></w:r><w:r><w:rPr><w:rFonts w:ascii="'Times New Roman'" w:hAnsi="'Times New Roman'" w:eastAsia="'Times New Roman'" w:cs="'Times New Roman'"/><w:lang w:val="en-PH"/><w:sz w:val="20"/><w:szCs w:val="20"/></w:rPr><w:t xml:space="preserve"> Paler, CENRO </w:t></w:r><w:r><w:rPr><w:rFonts w:ascii="'Times New Roman'" w:hAnsi="'Times New Roman'" w:eastAsia="'Times New Roman'" w:cs="'Times New Roman'"/><w:lang w:val="en-PH"/><w:sz w:val="20"/><w:szCs w:val="20"/></w:rPr><w:t xml:space="preserve">Tubay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25, 2025 – 9:12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OTOS Employee Profile Update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25, 2025 – 9:40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28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Hantel</w:t></w:r><w:r><w:rPr><w:rFonts w:ascii="'Times New Roman'" w:hAnsi="'Times New Roman'" w:eastAsia="'Times New Roman'" w:cs="'Times New Roman'"/><w:lang w:val="en-PH"/><w:sz w:val="20"/><w:szCs w:val="20"/></w:rPr><w:t xml:space="preserve"> R. Nicolas</w:t></w:r><w:r><w:rPr><w:rFonts w:ascii="'Times New Roman'" w:hAnsi="'Times New Roman'" w:eastAsia="'Times New Roman'" w:cs="'Times New Roman'"/><w:lang w:val="en-PH"/><w:sz w:val="20"/><w:szCs w:val="20"/></w:rPr><w:t xml:space="preserve">, CENRO </w:t></w:r><w:r><w:rPr><w:rFonts w:ascii="'Times New Roman'" w:hAnsi="'Times New Roman'" w:eastAsia="'Times New Roman'" w:cs="'Times New Roman'"/><w:lang w:val="en-PH"/><w:sz w:val="20"/><w:szCs w:val="20"/></w:rPr><w:t xml:space="preserve">Tubay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Dec 19, 2025 – 9:20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Account-Related Technical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December 19, 2025 / 10:30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1hr 30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/w:tbl><w:p><w:pPr/><w:r><w:rPr/><w:t xml:space="preserve"> 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Legend: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Feedback Rating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5-Excellent 4-Very Satisfactory 3-Satisfactory 2-Below Satisfactory 1-Poor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For the 4th Quarter of CY 2025 (October–December), a total of nine (9) ICT-related technical assistance requests were received and successfully addressed by the RICT Unit. The assistance covered system and account support, OTOS and O-LDPMS account management, employee profile updates, and related ICT concerns.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All requests were completed within the same day they were received, resulting in a </w:t></w:r><w:r><w:rPr><w:rFonts w:ascii="'Times New Roman'" w:hAnsi="'Times New Roman'" w:eastAsia="'Times New Roman'" w:cs="'Times New Roman'"/><w:lang w:val="en-PH"/><w:sz w:val="24"/><w:szCs w:val="24"/><w:b w:val="1"/><w:bCs w:val="1"/></w:rPr><w:t xml:space="preserve">100% completion rate</w:t></w:r><w:r><w:rPr><w:rFonts w:ascii="'Times New Roman'" w:hAnsi="'Times New Roman'" w:eastAsia="'Times New Roman'" w:cs="'Times New Roman'"/><w:lang w:val="en-PH"/><w:sz w:val="24"/><w:szCs w:val="24"/></w:rPr><w:t xml:space="preserve">. Feedback from all clients reflected an </w:t></w:r><w:r><w:rPr><w:rFonts w:ascii="'Times New Roman'" w:hAnsi="'Times New Roman'" w:eastAsia="'Times New Roman'" w:cs="'Times New Roman'"/><w:lang w:val="en-PH"/><w:sz w:val="24"/><w:szCs w:val="24"/><w:b w:val="1"/><w:bCs w:val="1"/></w:rPr><w:t xml:space="preserve">“Excellent” (5)</w:t></w:r><w:r><w:rPr><w:rFonts w:ascii="'Times New Roman'" w:hAnsi="'Times New Roman'" w:eastAsia="'Times New Roman'" w:cs="'Times New Roman'"/><w:lang w:val="en-PH"/><w:sz w:val="24"/><w:szCs w:val="24"/></w:rPr><w:t xml:space="preserve"> rating, highlighting the RICT Unit’s commitment to prompt, efficient, and quality ICT service delivery.</w:t></w:r></w:p><w:p><w:pPr/><w:r><w:rPr/><w:t xml:space="preserve"> </w:t></w:r></w:p><w:p><w:pPr><w:jc w:val="both"/></w:pPr><w:r><w:rPr><w:rFonts w:ascii="'Times New Roman'" w:hAnsi="'Times New Roman'" w:eastAsia="'Times New Roman'" w:cs="'Times New Roman'"/><w:sz w:val="24"/><w:szCs w:val="24"/></w:rPr><w:t xml:space="preserve">For information and record.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MARIETTA L. CHUA</w:t></w:r></w:p><w:p><w:pPr><w:jc w:val="both"/><w:spacing w:after="0"/></w:pPr><w:r><w:rPr><w:rFonts w:ascii="'Times New Roman'" w:hAnsi="'Times New Roman'" w:eastAsia="'Times New Roman'" w:cs="'Times New Roman'"/><w:sz w:val="24"/><w:szCs w:val="24"/></w:rPr><w:t xml:space="preserve"> </w:t></w:r></w:p><w:p><w:pPr><w:jc w:val="both"/><w:spacing w:after="0"/></w:pPr><w:r><w:rPr><w:rFonts w:ascii="'Times New Roman'" w:hAnsi="'Times New Roman'" w:eastAsia="'Times New Roman'" w:cs="'Times New Roman'"/><w:sz w:val="24"/><w:szCs w:val="24"/></w:rPr><w:t xml:space="preserve">Noted by: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><w:spacing w:after="0"/></w:pPr><w:r><w:rPr><w:rFonts w:ascii="'Times New Roman'" w:hAnsi="'Times New Roman'" w:eastAsia="'Times New Roman'" w:cs="'Times New Roman'"/><w:sz w:val="24"/><w:szCs w:val="24"/><w:b w:val="1"/><w:bCs w:val="1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FOR. MARY KATHLEEN P. PO</w:t></w:r><w:r><w:rPr><w:rFonts w:ascii="'Times New Roman'" w:hAnsi="'Times New Roman'" w:eastAsia="'Times New Roman'" w:cs="'Times New Roman'"/><w:sz w:val="24"/><w:szCs w:val="24"/><w:b w:val="1"/><w:bCs w:val="1"/></w:rPr><w:t xml:space="preserve">ATTY. CLAUDIO A. NISTAL JR.</w:t></w:r></w:p><w:p><w:pPr><w:jc w:val="both"/><w:spacing w:after="0"/></w:pPr><w:r><w:rPr><w:rFonts w:ascii="'Times New Roman'" w:hAnsi="'Times New Roman'" w:eastAsia="'Times New Roman'" w:cs="'Times New Roman'"/><w:sz w:val="24"/><w:szCs w:val="24"/></w:rPr><w:t xml:space="preserve">Chief, Planning and Management Division</w:t></w:r><w:r><w:rPr><w:rFonts w:ascii="'Times New Roman'" w:hAnsi="'Times New Roman'" w:eastAsia="'Times New Roman'" w:cs="'Times New Roman'"/><w:sz w:val="24"/><w:szCs w:val="24"/></w:rPr><w:t xml:space="preserve"> OIC, ARD for Management Services</w:t></w:r></w:p><w:p><w:pPr/><w:r><w:rPr/><w:t xml:space="preserve"> 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2026-01-07T02:53:00+01:00</dcterms:created>
  <dcterms:modified xsi:type="dcterms:W3CDTF">2026-01-07T02:53:00+01:00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