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outline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after="240" w:befor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As a cybersecurity professional, I bring a unique blend of strengths that set me apart. Confidence in decision-making is a cornerstone of my approach, allowing me to navigate complex security challenges with certainty. Proactivity is ingrained in my work ethic, fostering an environment where innovative ideas thrive. My ability to express feelings and communicate effectively makes collaboration seamless, ensuring a cohesive and secure cybersecurity strategy.</w:t>
      </w:r>
    </w:p>
    <w:p w:rsidR="00000000" w:rsidDel="00000000" w:rsidP="00000000" w:rsidRDefault="00000000" w:rsidRPr="00000000" w14:paraId="00000004">
      <w:pPr>
        <w:spacing w:after="240" w:befor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realm of cybersecurity, my observant and curious nature serves as a powerful asset. This innate curiosity fuels my passion for staying ahead of emerging threats and technologies, driving a continuous pursuit of knowledge and improvement. This, in turn, positions me as an agile and adaptable professional in the ever-evolving landscape of cybersecurity.</w:t>
      </w:r>
    </w:p>
    <w:p w:rsidR="00000000" w:rsidDel="00000000" w:rsidP="00000000" w:rsidRDefault="00000000" w:rsidRPr="00000000" w14:paraId="00000005">
      <w:pPr>
        <w:spacing w:after="240" w:befor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field of cybersecurity captivates me for its dynamic nature and the critical role it plays in safeguarding information. My professional statement is crafted with the audience in mind—cybersecurity recruiters, organizations, and government entities seeking a dedicated and forward-thinking professional.</w:t>
      </w:r>
    </w:p>
    <w:p w:rsidR="00000000" w:rsidDel="00000000" w:rsidP="00000000" w:rsidRDefault="00000000" w:rsidRPr="00000000" w14:paraId="00000006">
      <w:pPr>
        <w:spacing w:after="240" w:befor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My strengths align strategically with the security goals of organizations. Confidence and decisiveness contribute to swift and effective incident response, while proactivity ensures a proactive defense against potential threats. The ability to communicate openly and express feelings facilitates collaborative efforts within cross-functional teams, fostering a culture of shared responsibility for cybersecurity.</w:t>
      </w:r>
    </w:p>
    <w:p w:rsidR="00000000" w:rsidDel="00000000" w:rsidP="00000000" w:rsidRDefault="00000000" w:rsidRPr="00000000" w14:paraId="00000007">
      <w:pPr>
        <w:spacing w:after="240" w:befor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essence, my professional journey in cybersecurity is fueled by a genuine interest in protecting digital assets and a commitment to contributing meaningfully to the security objectives of organizations. As I navigate this field, my strengths and values converge to create a professional identity that is both resilient and innovative, ready to address the cybersecurity challenges of today and anticipate those of tomorrow.</w:t>
      </w:r>
    </w:p>
    <w:p w:rsidR="00000000" w:rsidDel="00000000" w:rsidP="00000000" w:rsidRDefault="00000000" w:rsidRPr="00000000" w14:paraId="00000008">
      <w:pPr>
        <w:spacing w:after="240" w:lineRule="auto"/>
        <w:ind w:left="0" w:firstLine="0"/>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