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Las características que diferentes autores especifican como representativas de las TIC, recogidas por</w:t>
      </w:r>
      <w:r w:rsidR="00841C82">
        <w:rPr>
          <w:rFonts w:ascii="Arial" w:hAnsi="Arial" w:cs="Arial"/>
          <w:sz w:val="20"/>
          <w:szCs w:val="20"/>
        </w:rPr>
        <w:t xml:space="preserve"> </w:t>
      </w:r>
      <w:r>
        <w:rPr>
          <w:rFonts w:ascii="Arial" w:hAnsi="Arial" w:cs="Arial"/>
          <w:sz w:val="20"/>
          <w:szCs w:val="20"/>
        </w:rPr>
        <w:t>Cabero (1998), son:</w:t>
      </w:r>
    </w:p>
    <w:p w:rsidR="003C0499" w:rsidRDefault="003C0499" w:rsidP="003C0499">
      <w:pPr>
        <w:autoSpaceDE w:val="0"/>
        <w:autoSpaceDN w:val="0"/>
        <w:adjustRightInd w:val="0"/>
        <w:spacing w:after="0" w:line="240" w:lineRule="auto"/>
        <w:jc w:val="both"/>
        <w:rPr>
          <w:rFonts w:ascii="Arial,Bold" w:hAnsi="Arial,Bold" w:cs="Arial,Bold"/>
          <w:b/>
          <w:bCs/>
          <w:sz w:val="20"/>
          <w:szCs w:val="20"/>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Inmaterialidad</w:t>
      </w:r>
      <w:r>
        <w:rPr>
          <w:rFonts w:ascii="Arial" w:hAnsi="Arial" w:cs="Arial"/>
          <w:sz w:val="20"/>
          <w:szCs w:val="20"/>
        </w:rPr>
        <w:t>. En líneas generales podemos decir que las TIC realizan la creación (aunque en algunos casos sin referentes reales, como pueden ser las simulaciones), el proceso y la comunicación de la información. Esta información es básicamente inmaterial y puede ser llevada de forma transparente e instantánea a lugares lejanos.</w:t>
      </w:r>
    </w:p>
    <w:p w:rsidR="003C0499" w:rsidRDefault="003C0499" w:rsidP="003C0499">
      <w:pPr>
        <w:autoSpaceDE w:val="0"/>
        <w:autoSpaceDN w:val="0"/>
        <w:adjustRightInd w:val="0"/>
        <w:spacing w:after="0" w:line="240" w:lineRule="auto"/>
        <w:jc w:val="both"/>
        <w:rPr>
          <w:rFonts w:ascii="Arial" w:hAnsi="Arial" w:cs="Arial"/>
          <w:sz w:val="20"/>
          <w:szCs w:val="20"/>
        </w:rPr>
      </w:pPr>
    </w:p>
    <w:p w:rsidR="003C0499" w:rsidRDefault="003C0499" w:rsidP="003C0499">
      <w:pPr>
        <w:autoSpaceDE w:val="0"/>
        <w:autoSpaceDN w:val="0"/>
        <w:adjustRightInd w:val="0"/>
        <w:spacing w:after="0" w:line="240" w:lineRule="auto"/>
        <w:jc w:val="both"/>
        <w:rPr>
          <w:rFonts w:ascii="Arial,Bold" w:hAnsi="Arial,Bold" w:cs="Arial,Bold"/>
          <w:b/>
          <w:bCs/>
          <w:sz w:val="20"/>
          <w:szCs w:val="20"/>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Interactividad</w:t>
      </w:r>
      <w:r>
        <w:rPr>
          <w:rFonts w:ascii="Arial" w:hAnsi="Arial" w:cs="Arial"/>
          <w:sz w:val="20"/>
          <w:szCs w:val="20"/>
        </w:rPr>
        <w:t>. La interactividad es posiblemente la característica más importante de las TIC para su aplicación en el campo educativo. Mediante las TIC se consigue un intercambio de información entre el usuario y el ordenador. Esta característica permite adaptar los recursos utilizados a las necesidades y características de los sujetos, en función de la interacción concreta del sujeto con el ordenador.</w:t>
      </w:r>
    </w:p>
    <w:p w:rsidR="003C0499" w:rsidRDefault="003C0499" w:rsidP="003C0499">
      <w:pPr>
        <w:autoSpaceDE w:val="0"/>
        <w:autoSpaceDN w:val="0"/>
        <w:adjustRightInd w:val="0"/>
        <w:spacing w:after="0" w:line="240" w:lineRule="auto"/>
        <w:jc w:val="both"/>
        <w:rPr>
          <w:rFonts w:ascii="Arial,Bold" w:hAnsi="Arial,Bold" w:cs="Arial,Bold"/>
          <w:b/>
          <w:bCs/>
          <w:sz w:val="20"/>
          <w:szCs w:val="20"/>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Interconexión</w:t>
      </w:r>
      <w:r>
        <w:rPr>
          <w:rFonts w:ascii="Arial" w:hAnsi="Arial" w:cs="Arial"/>
          <w:sz w:val="20"/>
          <w:szCs w:val="20"/>
        </w:rPr>
        <w:t>. La interconexión hace referencia a la creación de nuevas posibilidades tecnológicas a partir de la conexión entre dos tecnologías. Por ejemplo, la telemática es la interconexión entre la informática y las tecnologías de comunicación, propiciando con ello, nuevos recursos como el correo electrónico, los IRC, etc.</w:t>
      </w:r>
    </w:p>
    <w:p w:rsidR="003C0499" w:rsidRDefault="003C0499" w:rsidP="003C0499">
      <w:pPr>
        <w:autoSpaceDE w:val="0"/>
        <w:autoSpaceDN w:val="0"/>
        <w:adjustRightInd w:val="0"/>
        <w:spacing w:after="0" w:line="240" w:lineRule="auto"/>
        <w:jc w:val="both"/>
        <w:rPr>
          <w:rFonts w:ascii="Arial,Bold" w:hAnsi="Arial,Bold" w:cs="Arial,Bold"/>
          <w:b/>
          <w:bCs/>
          <w:sz w:val="20"/>
          <w:szCs w:val="20"/>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Instantaneidad</w:t>
      </w:r>
      <w:r>
        <w:rPr>
          <w:rFonts w:ascii="Arial" w:hAnsi="Arial" w:cs="Arial"/>
          <w:sz w:val="20"/>
          <w:szCs w:val="20"/>
        </w:rPr>
        <w:t>. Las redes de comunicación y su integración con la informática, han posibilitado el uso de servicios que permiten la comunicación y transmisión de la información, entre lugares alejados físicamente, de una forma rápida.</w:t>
      </w:r>
    </w:p>
    <w:p w:rsidR="003C0499" w:rsidRDefault="003C0499" w:rsidP="003C0499">
      <w:pPr>
        <w:autoSpaceDE w:val="0"/>
        <w:autoSpaceDN w:val="0"/>
        <w:adjustRightInd w:val="0"/>
        <w:spacing w:after="0" w:line="240" w:lineRule="auto"/>
        <w:jc w:val="both"/>
        <w:rPr>
          <w:rFonts w:ascii="Wingdings-Regular" w:hAnsi="Wingdings-Regular" w:cs="Wingdings-Regular"/>
          <w:sz w:val="24"/>
          <w:szCs w:val="24"/>
        </w:rPr>
      </w:pPr>
      <w:r>
        <w:rPr>
          <w:rFonts w:ascii="Wingdings-Regular" w:hAnsi="Wingdings-Regular" w:cs="Wingdings-Regular"/>
          <w:sz w:val="24"/>
          <w:szCs w:val="24"/>
        </w:rPr>
        <w:t xml:space="preserve"> </w:t>
      </w: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Elevados parámetros de calidad de imagen y sonido</w:t>
      </w:r>
      <w:r>
        <w:rPr>
          <w:rFonts w:ascii="Arial" w:hAnsi="Arial" w:cs="Arial"/>
          <w:sz w:val="20"/>
          <w:szCs w:val="20"/>
        </w:rPr>
        <w:t>. El proceso y transmisión de la información abarca todo tipo de información: textual, imagen y sonido, por lo que los avances han ido encaminados a conseguir transmisiones multimedia de gran calidad, lo cual ha sido facilitado por el proceso de digitalización.</w:t>
      </w:r>
    </w:p>
    <w:p w:rsidR="003C0499" w:rsidRDefault="003C0499" w:rsidP="003C0499">
      <w:pPr>
        <w:autoSpaceDE w:val="0"/>
        <w:autoSpaceDN w:val="0"/>
        <w:adjustRightInd w:val="0"/>
        <w:spacing w:after="0" w:line="240" w:lineRule="auto"/>
        <w:jc w:val="both"/>
        <w:rPr>
          <w:rFonts w:ascii="Arial" w:hAnsi="Arial" w:cs="Arial"/>
          <w:sz w:val="24"/>
          <w:szCs w:val="24"/>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Digitalización</w:t>
      </w:r>
      <w:r>
        <w:rPr>
          <w:rFonts w:ascii="Arial" w:hAnsi="Arial" w:cs="Arial"/>
          <w:sz w:val="20"/>
          <w:szCs w:val="20"/>
        </w:rPr>
        <w:t>. Su objetivo es que la información de distinto tipo (sonidos, texto, imágenes,</w:t>
      </w:r>
    </w:p>
    <w:p w:rsidR="003C0499" w:rsidRDefault="003C0499" w:rsidP="003C0499">
      <w:pPr>
        <w:autoSpaceDE w:val="0"/>
        <w:autoSpaceDN w:val="0"/>
        <w:adjustRightInd w:val="0"/>
        <w:spacing w:after="0" w:line="240" w:lineRule="auto"/>
        <w:jc w:val="both"/>
        <w:rPr>
          <w:rFonts w:ascii="Arial" w:hAnsi="Arial" w:cs="Arial"/>
          <w:sz w:val="20"/>
          <w:szCs w:val="20"/>
        </w:rPr>
      </w:pPr>
      <w:proofErr w:type="gramStart"/>
      <w:r>
        <w:rPr>
          <w:rFonts w:ascii="Arial" w:hAnsi="Arial" w:cs="Arial"/>
          <w:sz w:val="20"/>
          <w:szCs w:val="20"/>
        </w:rPr>
        <w:t>animaciones</w:t>
      </w:r>
      <w:proofErr w:type="gramEnd"/>
      <w:r>
        <w:rPr>
          <w:rFonts w:ascii="Arial" w:hAnsi="Arial" w:cs="Arial"/>
          <w:sz w:val="20"/>
          <w:szCs w:val="20"/>
        </w:rPr>
        <w:t xml:space="preserve">, etc.) </w:t>
      </w:r>
      <w:proofErr w:type="gramStart"/>
      <w:r>
        <w:rPr>
          <w:rFonts w:ascii="Arial" w:hAnsi="Arial" w:cs="Arial"/>
          <w:sz w:val="20"/>
          <w:szCs w:val="20"/>
        </w:rPr>
        <w:t>pueda</w:t>
      </w:r>
      <w:proofErr w:type="gramEnd"/>
      <w:r>
        <w:rPr>
          <w:rFonts w:ascii="Arial" w:hAnsi="Arial" w:cs="Arial"/>
          <w:sz w:val="20"/>
          <w:szCs w:val="20"/>
        </w:rPr>
        <w:t xml:space="preserve"> ser transmitida por los mismos medios al estar representada en un formato único universal. En algunos casos, por ejemplo los sonidos, la transmisión tradicional se hace de forma analógica y para que puedan comunicarse de forma consistente por medio de las redes telemáticas es necesario su transcripción a una codificación digital, que en este caso realiza bien un soporte de hardware como el MODEM o un soporte de software para la digitalización.</w:t>
      </w:r>
    </w:p>
    <w:p w:rsidR="003C0499" w:rsidRDefault="003C0499" w:rsidP="003C0499">
      <w:pPr>
        <w:autoSpaceDE w:val="0"/>
        <w:autoSpaceDN w:val="0"/>
        <w:adjustRightInd w:val="0"/>
        <w:spacing w:after="0" w:line="240" w:lineRule="auto"/>
        <w:jc w:val="both"/>
        <w:rPr>
          <w:rFonts w:ascii="Arial" w:hAnsi="Arial" w:cs="Arial"/>
          <w:sz w:val="24"/>
          <w:szCs w:val="24"/>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Mayor Influencia sobre los procesos que sobre los productos</w:t>
      </w:r>
      <w:r>
        <w:rPr>
          <w:rFonts w:ascii="Arial" w:hAnsi="Arial" w:cs="Arial"/>
          <w:sz w:val="20"/>
          <w:szCs w:val="20"/>
        </w:rPr>
        <w:t>. Es posible que el uso de diferentes aplicaciones de la TIC presente una influencia sobre los procesos mentales que realizan los usuarios para la adquisición de conocimientos, más que sobre los propios conocimientos adquiridos. En los distintos análisis realizados, sobre la sociedad de la información, se remarca la enorme importancia de la inmensidad de información a la que permite acceder Internet. En cambio, muy diversos autores han señalado justamente el efecto negativo de la proliferación de la información, los problemas de la calidad de la misma y la evolución hacia aspectos evidentemente sociales, pero menos ricos en potencialidad educativa -económicos, comerciales, lúdicos, etc.-. No obstante, como otros muchos señalan, las  posibilidades que brindan las TIC suponen un cambio cualitativo en los procesos más que</w:t>
      </w:r>
    </w:p>
    <w:p w:rsidR="003C0499" w:rsidRDefault="003C0499" w:rsidP="003C0499">
      <w:pPr>
        <w:autoSpaceDE w:val="0"/>
        <w:autoSpaceDN w:val="0"/>
        <w:adjustRightInd w:val="0"/>
        <w:spacing w:after="0" w:line="240" w:lineRule="auto"/>
        <w:jc w:val="both"/>
        <w:rPr>
          <w:rFonts w:ascii="Arial" w:hAnsi="Arial" w:cs="Arial"/>
          <w:sz w:val="20"/>
          <w:szCs w:val="20"/>
        </w:rPr>
      </w:pPr>
      <w:proofErr w:type="gramStart"/>
      <w:r>
        <w:rPr>
          <w:rFonts w:ascii="Arial" w:hAnsi="Arial" w:cs="Arial"/>
          <w:sz w:val="20"/>
          <w:szCs w:val="20"/>
        </w:rPr>
        <w:t>en</w:t>
      </w:r>
      <w:proofErr w:type="gramEnd"/>
      <w:r>
        <w:rPr>
          <w:rFonts w:ascii="Arial" w:hAnsi="Arial" w:cs="Arial"/>
          <w:sz w:val="20"/>
          <w:szCs w:val="20"/>
        </w:rPr>
        <w:t xml:space="preserve"> los productos. Ya hemos señalado el notable incremento del papel activo de cada sujeto, puesto que puede y debe aprender a construir su propio conocimiento sobre una base mucho más amplia y rica. Por otro lado, un sujeto no sólo dispone, a partir de las TIC, de una "masa" de información para construir su conocimiento sino que, además, puede construirlo en forma colectiva, asociándose a otros sujetos o grupos. Estas dos dimensiones básicas (mayor grado de protagonismo por parte de cada individuo y facilidades para la actuación colectiva) son las que suponen una modificación cuantitativa y cualitativa de los procesos personales y educativos en la utilización de las TIC.</w:t>
      </w:r>
    </w:p>
    <w:p w:rsidR="003C0499" w:rsidRDefault="003C0499" w:rsidP="003C0499">
      <w:pPr>
        <w:autoSpaceDE w:val="0"/>
        <w:autoSpaceDN w:val="0"/>
        <w:adjustRightInd w:val="0"/>
        <w:spacing w:after="0" w:line="240" w:lineRule="auto"/>
        <w:jc w:val="both"/>
        <w:rPr>
          <w:rFonts w:ascii="Wingdings-Regular" w:hAnsi="Wingdings-Regular" w:cs="Wingdings-Regular"/>
          <w:sz w:val="24"/>
          <w:szCs w:val="24"/>
        </w:rPr>
      </w:pPr>
      <w:r>
        <w:rPr>
          <w:rFonts w:ascii="Wingdings-Regular" w:hAnsi="Wingdings-Regular" w:cs="Wingdings-Regular"/>
          <w:sz w:val="24"/>
          <w:szCs w:val="24"/>
        </w:rPr>
        <w:t xml:space="preserve"> </w:t>
      </w: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Penetración en todos los sectores (culturales, económicos, educativos, industriales…)</w:t>
      </w:r>
      <w:r>
        <w:rPr>
          <w:rFonts w:ascii="Arial" w:hAnsi="Arial" w:cs="Arial"/>
          <w:sz w:val="20"/>
          <w:szCs w:val="20"/>
        </w:rPr>
        <w:t xml:space="preserve">. El impacto de las TIC no se refleja únicamente en un individuo, grupo, sector o país, sino que, se extiende al conjunto de las sociedades del planeta. Los propios conceptos de "la sociedad de la información" y "la globalización", tratan de referirse a este proceso. Así, los efectos se </w:t>
      </w:r>
      <w:r>
        <w:rPr>
          <w:rFonts w:ascii="Arial" w:hAnsi="Arial" w:cs="Arial"/>
          <w:sz w:val="20"/>
          <w:szCs w:val="20"/>
        </w:rPr>
        <w:lastRenderedPageBreak/>
        <w:t>extenderán a todos los habitantes, grupos e instituciones conllevando importantes cambios, cuya complejidad está en el debate social hoy en día (Beck, U. 1998).</w:t>
      </w:r>
    </w:p>
    <w:p w:rsidR="003C0499" w:rsidRDefault="003C0499" w:rsidP="003C0499">
      <w:pPr>
        <w:autoSpaceDE w:val="0"/>
        <w:autoSpaceDN w:val="0"/>
        <w:adjustRightInd w:val="0"/>
        <w:spacing w:after="0" w:line="240" w:lineRule="auto"/>
        <w:jc w:val="both"/>
        <w:rPr>
          <w:rFonts w:ascii="Arial" w:hAnsi="Arial" w:cs="Arial"/>
          <w:sz w:val="24"/>
          <w:szCs w:val="24"/>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Innovación</w:t>
      </w:r>
      <w:r>
        <w:rPr>
          <w:rFonts w:ascii="Arial" w:hAnsi="Arial" w:cs="Arial"/>
          <w:sz w:val="20"/>
          <w:szCs w:val="20"/>
        </w:rPr>
        <w:t xml:space="preserve">. Las TIC están produciendo una innovación y cambio constante en todos los ámbitos sociales. Sin embargo, es de reseñar que estos cambios no siempre indican un rechazo a las tecnologías o medios anteriores, sino que en algunos casos se produce una especie de simbiosis con otros medios. Por ejemplo, el uso de la correspondencia personal se había reducido ampliamente con la aparición del teléfono, pero el uso y potencialidades del correo electrónico </w:t>
      </w:r>
      <w:proofErr w:type="gramStart"/>
      <w:r>
        <w:rPr>
          <w:rFonts w:ascii="Arial" w:hAnsi="Arial" w:cs="Arial"/>
          <w:sz w:val="20"/>
          <w:szCs w:val="20"/>
        </w:rPr>
        <w:t>ha</w:t>
      </w:r>
      <w:proofErr w:type="gramEnd"/>
      <w:r>
        <w:rPr>
          <w:rFonts w:ascii="Arial" w:hAnsi="Arial" w:cs="Arial"/>
          <w:sz w:val="20"/>
          <w:szCs w:val="20"/>
        </w:rPr>
        <w:t xml:space="preserve"> llevado a un resurgimiento de la correspondencia personal.</w:t>
      </w:r>
    </w:p>
    <w:p w:rsidR="003C0499" w:rsidRDefault="003C0499" w:rsidP="003C0499">
      <w:pPr>
        <w:autoSpaceDE w:val="0"/>
        <w:autoSpaceDN w:val="0"/>
        <w:adjustRightInd w:val="0"/>
        <w:spacing w:after="0" w:line="240" w:lineRule="auto"/>
        <w:jc w:val="both"/>
        <w:rPr>
          <w:rFonts w:ascii="Arial,Bold" w:hAnsi="Arial,Bold" w:cs="Arial,Bold"/>
          <w:b/>
          <w:bCs/>
          <w:sz w:val="20"/>
          <w:szCs w:val="20"/>
        </w:rPr>
      </w:pPr>
    </w:p>
    <w:p w:rsidR="003C0499"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Tendencia hacia automatización</w:t>
      </w:r>
      <w:r>
        <w:rPr>
          <w:rFonts w:ascii="Arial" w:hAnsi="Arial" w:cs="Arial"/>
          <w:sz w:val="20"/>
          <w:szCs w:val="20"/>
        </w:rPr>
        <w:t>. La propia complejidad empuja a la aparición de diferentes posibilidades y herramientas que permiten un manejo automático de la información en diversas actividades personales, profesionales y sociales. La necesidad de disponer de información estructurada hace que se desarrollen gestores personales o corporativos con distintos fines y de acuerdo con unos determinados principios.</w:t>
      </w:r>
    </w:p>
    <w:p w:rsidR="003C0499" w:rsidRDefault="003C0499" w:rsidP="003C0499">
      <w:pPr>
        <w:autoSpaceDE w:val="0"/>
        <w:autoSpaceDN w:val="0"/>
        <w:adjustRightInd w:val="0"/>
        <w:spacing w:after="0" w:line="240" w:lineRule="auto"/>
        <w:jc w:val="both"/>
        <w:rPr>
          <w:rFonts w:ascii="Arial" w:hAnsi="Arial" w:cs="Arial"/>
          <w:sz w:val="24"/>
          <w:szCs w:val="24"/>
        </w:rPr>
      </w:pPr>
    </w:p>
    <w:p w:rsidR="00E301D4" w:rsidRDefault="003C0499" w:rsidP="003C0499">
      <w:pPr>
        <w:autoSpaceDE w:val="0"/>
        <w:autoSpaceDN w:val="0"/>
        <w:adjustRightInd w:val="0"/>
        <w:spacing w:after="0" w:line="240" w:lineRule="auto"/>
        <w:jc w:val="both"/>
        <w:rPr>
          <w:rFonts w:ascii="Arial" w:hAnsi="Arial" w:cs="Arial"/>
          <w:sz w:val="20"/>
          <w:szCs w:val="20"/>
        </w:rPr>
      </w:pPr>
      <w:r>
        <w:rPr>
          <w:rFonts w:ascii="Arial,Bold" w:hAnsi="Arial,Bold" w:cs="Arial,Bold"/>
          <w:b/>
          <w:bCs/>
          <w:sz w:val="20"/>
          <w:szCs w:val="20"/>
        </w:rPr>
        <w:t>Diversidad</w:t>
      </w:r>
      <w:r>
        <w:rPr>
          <w:rFonts w:ascii="Arial" w:hAnsi="Arial" w:cs="Arial"/>
          <w:sz w:val="20"/>
          <w:szCs w:val="20"/>
        </w:rPr>
        <w:t>. La utilidad de las tecnologías puede ser muy diversa, desde la mera comunicación entre personas, hasta el proceso de la información para crear informaciones nuevas.</w:t>
      </w:r>
    </w:p>
    <w:p w:rsidR="00E57192" w:rsidRDefault="00E57192" w:rsidP="003C0499">
      <w:pPr>
        <w:autoSpaceDE w:val="0"/>
        <w:autoSpaceDN w:val="0"/>
        <w:adjustRightInd w:val="0"/>
        <w:spacing w:after="0" w:line="240" w:lineRule="auto"/>
        <w:jc w:val="both"/>
        <w:rPr>
          <w:rFonts w:ascii="Arial" w:hAnsi="Arial" w:cs="Arial"/>
          <w:sz w:val="20"/>
          <w:szCs w:val="20"/>
        </w:rPr>
      </w:pPr>
    </w:p>
    <w:p w:rsidR="00E57192" w:rsidRDefault="00E57192"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E57192" w:rsidRDefault="00E57192"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p w:rsidR="00742691" w:rsidRDefault="00742691" w:rsidP="003C0499">
      <w:pPr>
        <w:autoSpaceDE w:val="0"/>
        <w:autoSpaceDN w:val="0"/>
        <w:adjustRightInd w:val="0"/>
        <w:spacing w:after="0" w:line="240" w:lineRule="auto"/>
        <w:jc w:val="both"/>
        <w:rPr>
          <w:rFonts w:ascii="Arial" w:hAnsi="Arial" w:cs="Arial"/>
          <w:sz w:val="20"/>
          <w:szCs w:val="20"/>
        </w:rPr>
      </w:pPr>
    </w:p>
    <w:tbl>
      <w:tblPr>
        <w:tblStyle w:val="Tablaconcuadrcula"/>
        <w:tblW w:w="0" w:type="auto"/>
        <w:tblLook w:val="04A0"/>
      </w:tblPr>
      <w:tblGrid>
        <w:gridCol w:w="4322"/>
        <w:gridCol w:w="4322"/>
      </w:tblGrid>
      <w:tr w:rsidR="00742691" w:rsidTr="00E70803">
        <w:tc>
          <w:tcPr>
            <w:tcW w:w="8644" w:type="dxa"/>
            <w:gridSpan w:val="2"/>
          </w:tcPr>
          <w:p w:rsidR="00742691" w:rsidRDefault="00742691" w:rsidP="00742691">
            <w:pPr>
              <w:autoSpaceDE w:val="0"/>
              <w:autoSpaceDN w:val="0"/>
              <w:adjustRightInd w:val="0"/>
              <w:jc w:val="center"/>
            </w:pPr>
            <w:r>
              <w:lastRenderedPageBreak/>
              <w:t>FASES DEL PROCESO DE SI/TI</w:t>
            </w:r>
          </w:p>
        </w:tc>
      </w:tr>
      <w:tr w:rsidR="009E00C5" w:rsidTr="00E57192">
        <w:tc>
          <w:tcPr>
            <w:tcW w:w="4322" w:type="dxa"/>
          </w:tcPr>
          <w:p w:rsidR="00E57192" w:rsidRDefault="00E57192" w:rsidP="003C0499">
            <w:pPr>
              <w:autoSpaceDE w:val="0"/>
              <w:autoSpaceDN w:val="0"/>
              <w:adjustRightInd w:val="0"/>
              <w:jc w:val="both"/>
            </w:pPr>
            <w:r>
              <w:t>Comprensión de la estrategia del negocio</w:t>
            </w:r>
          </w:p>
        </w:tc>
        <w:tc>
          <w:tcPr>
            <w:tcW w:w="4322" w:type="dxa"/>
          </w:tcPr>
          <w:p w:rsidR="00E57192" w:rsidRDefault="00E57192" w:rsidP="00E57192">
            <w:pPr>
              <w:autoSpaceDE w:val="0"/>
              <w:autoSpaceDN w:val="0"/>
              <w:adjustRightInd w:val="0"/>
              <w:jc w:val="both"/>
            </w:pPr>
            <w:r>
              <w:t>Se reconoce y comprende los objetivos y prioridades del negocio y las implicaciones sobre los sistemas de información</w:t>
            </w:r>
          </w:p>
          <w:p w:rsidR="00E57192" w:rsidRDefault="00E57192" w:rsidP="003C0499">
            <w:pPr>
              <w:autoSpaceDE w:val="0"/>
              <w:autoSpaceDN w:val="0"/>
              <w:adjustRightInd w:val="0"/>
              <w:jc w:val="both"/>
            </w:pPr>
          </w:p>
        </w:tc>
      </w:tr>
      <w:tr w:rsidR="009E00C5" w:rsidTr="00E57192">
        <w:tc>
          <w:tcPr>
            <w:tcW w:w="4322" w:type="dxa"/>
          </w:tcPr>
          <w:p w:rsidR="00E57192" w:rsidRDefault="00E57192" w:rsidP="003C0499">
            <w:pPr>
              <w:autoSpaceDE w:val="0"/>
              <w:autoSpaceDN w:val="0"/>
              <w:adjustRightInd w:val="0"/>
              <w:jc w:val="both"/>
            </w:pPr>
            <w:r>
              <w:t>Análisis de los SI/TI</w:t>
            </w:r>
          </w:p>
        </w:tc>
        <w:tc>
          <w:tcPr>
            <w:tcW w:w="4322" w:type="dxa"/>
          </w:tcPr>
          <w:p w:rsidR="00E57192" w:rsidRDefault="00E57192" w:rsidP="00E57192">
            <w:pPr>
              <w:autoSpaceDE w:val="0"/>
              <w:autoSpaceDN w:val="0"/>
              <w:adjustRightInd w:val="0"/>
              <w:jc w:val="both"/>
            </w:pPr>
            <w:r>
              <w:t>Entende</w:t>
            </w:r>
            <w:r w:rsidR="009E00C5">
              <w:t xml:space="preserve">r la situación de partida de SI/TI en conjunto </w:t>
            </w:r>
            <w:r>
              <w:t>recursos asignados, descomposición y evolución histórica) de los sistemas de información actuales (nivel de cobertura, flexibilidad y robustez de las aplicaciones), las tecnologías (arquitectura, eficiencia y nivel de servicio), las capacidades y recursos de SI/TI y el nivel de satisfacción (calidad percibida) de los usuarios y directivos de negocio.</w:t>
            </w:r>
          </w:p>
          <w:p w:rsidR="00E57192" w:rsidRDefault="00E57192" w:rsidP="003C0499">
            <w:pPr>
              <w:autoSpaceDE w:val="0"/>
              <w:autoSpaceDN w:val="0"/>
              <w:adjustRightInd w:val="0"/>
              <w:jc w:val="both"/>
            </w:pPr>
          </w:p>
        </w:tc>
      </w:tr>
      <w:tr w:rsidR="009E00C5" w:rsidTr="00E57192">
        <w:tc>
          <w:tcPr>
            <w:tcW w:w="4322" w:type="dxa"/>
          </w:tcPr>
          <w:p w:rsidR="00E57192" w:rsidRDefault="00E57192" w:rsidP="003C0499">
            <w:pPr>
              <w:autoSpaceDE w:val="0"/>
              <w:autoSpaceDN w:val="0"/>
              <w:adjustRightInd w:val="0"/>
              <w:jc w:val="both"/>
            </w:pPr>
            <w:r>
              <w:t>Formulación de la estrategia</w:t>
            </w:r>
          </w:p>
        </w:tc>
        <w:tc>
          <w:tcPr>
            <w:tcW w:w="4322" w:type="dxa"/>
          </w:tcPr>
          <w:p w:rsidR="00E57192" w:rsidRDefault="00E57192" w:rsidP="00E57192">
            <w:pPr>
              <w:autoSpaceDE w:val="0"/>
              <w:autoSpaceDN w:val="0"/>
              <w:adjustRightInd w:val="0"/>
              <w:jc w:val="both"/>
            </w:pPr>
            <w:r>
              <w:t>Se empieza a producir</w:t>
            </w:r>
            <w:r>
              <w:t xml:space="preserve"> la</w:t>
            </w:r>
            <w:r>
              <w:t>estrategia</w:t>
            </w:r>
            <w:r>
              <w:t xml:space="preserve"> futura</w:t>
            </w:r>
            <w:r>
              <w:t>de</w:t>
            </w:r>
            <w:r>
              <w:t>SI/TI. Qué espera la empresa de los SI/TI en los próximos años, cuáles son los objetivos específicos y las directrices de la tecnología y la gestión de SI/TI</w:t>
            </w:r>
          </w:p>
        </w:tc>
      </w:tr>
      <w:tr w:rsidR="009E00C5" w:rsidTr="00E57192">
        <w:tc>
          <w:tcPr>
            <w:tcW w:w="4322" w:type="dxa"/>
          </w:tcPr>
          <w:p w:rsidR="00E57192" w:rsidRDefault="00E57192" w:rsidP="003C0499">
            <w:pPr>
              <w:autoSpaceDE w:val="0"/>
              <w:autoSpaceDN w:val="0"/>
              <w:adjustRightInd w:val="0"/>
              <w:jc w:val="both"/>
            </w:pPr>
            <w:r>
              <w:t>Plan de implantación</w:t>
            </w:r>
          </w:p>
        </w:tc>
        <w:tc>
          <w:tcPr>
            <w:tcW w:w="4322" w:type="dxa"/>
          </w:tcPr>
          <w:p w:rsidR="00E57192" w:rsidRDefault="009E00C5" w:rsidP="009E00C5">
            <w:pPr>
              <w:autoSpaceDE w:val="0"/>
              <w:autoSpaceDN w:val="0"/>
              <w:adjustRightInd w:val="0"/>
              <w:jc w:val="both"/>
            </w:pPr>
            <w:r>
              <w:t xml:space="preserve">Después de </w:t>
            </w:r>
            <w:r w:rsidR="00E57192">
              <w:t>aprobada la estrategia y la cartera de iniciativas o proyectos principales, hay que analizar la relación entre ellas, la disponibilidad de recursos, la madurez de las tecnologías y la relación, de nuevo, con las principales iniciativas/proyec</w:t>
            </w:r>
            <w:r>
              <w:t xml:space="preserve">tos del negocio para establecer el calendario, el momento y la secuencia  </w:t>
            </w:r>
            <w:r w:rsidR="00E57192">
              <w:t>de</w:t>
            </w:r>
            <w:r w:rsidR="00E57192">
              <w:t>implantación, las necesidades de nuevos recursos y capacidades, y los aspectos de gestión, seguimiento, actualización y comunicación del plan para la implantación</w:t>
            </w: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r w:rsidR="00742691" w:rsidTr="00E57192">
        <w:tc>
          <w:tcPr>
            <w:tcW w:w="4322" w:type="dxa"/>
          </w:tcPr>
          <w:p w:rsidR="00742691" w:rsidRDefault="00742691" w:rsidP="003C0499">
            <w:pPr>
              <w:autoSpaceDE w:val="0"/>
              <w:autoSpaceDN w:val="0"/>
              <w:adjustRightInd w:val="0"/>
              <w:jc w:val="both"/>
            </w:pPr>
          </w:p>
        </w:tc>
        <w:tc>
          <w:tcPr>
            <w:tcW w:w="4322" w:type="dxa"/>
          </w:tcPr>
          <w:p w:rsidR="00742691" w:rsidRDefault="00742691" w:rsidP="009E00C5">
            <w:pPr>
              <w:autoSpaceDE w:val="0"/>
              <w:autoSpaceDN w:val="0"/>
              <w:adjustRightInd w:val="0"/>
              <w:jc w:val="both"/>
            </w:pPr>
          </w:p>
        </w:tc>
      </w:tr>
    </w:tbl>
    <w:p w:rsidR="00E57192" w:rsidRDefault="00E57192" w:rsidP="003C0499">
      <w:pPr>
        <w:autoSpaceDE w:val="0"/>
        <w:autoSpaceDN w:val="0"/>
        <w:adjustRightInd w:val="0"/>
        <w:spacing w:after="0" w:line="240" w:lineRule="auto"/>
        <w:jc w:val="both"/>
      </w:pPr>
    </w:p>
    <w:p w:rsidR="00E57192" w:rsidRDefault="00E57192" w:rsidP="00E57192">
      <w:pPr>
        <w:autoSpaceDE w:val="0"/>
        <w:autoSpaceDN w:val="0"/>
        <w:adjustRightInd w:val="0"/>
        <w:spacing w:after="0" w:line="240" w:lineRule="auto"/>
      </w:pPr>
      <w:r>
        <w:t>Entender la</w:t>
      </w:r>
      <w:r>
        <w:t>situación</w:t>
      </w:r>
      <w:r>
        <w:t>de</w:t>
      </w:r>
      <w:r>
        <w:t>partida</w:t>
      </w:r>
      <w:r>
        <w:t>de</w:t>
      </w:r>
      <w:r>
        <w:t>SI/TI</w:t>
      </w:r>
      <w:r>
        <w:t>en conjunto (recursos asignados, descomposición y evolución histórica) de los sistemas de información actuales (nivel de cobertura, flexibilidad y robustez de las aplicaciones), las tecnologías (arquitectura, eficiencia y nivel de servicio), las capacidades y recursos de SI/TI y el nivel de satisfacción (calidad percibida) de los usuarios y directivos de negocio.</w:t>
      </w:r>
    </w:p>
    <w:sectPr w:rsidR="00E57192" w:rsidSect="00E301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0499"/>
    <w:rsid w:val="001820A1"/>
    <w:rsid w:val="00202CEA"/>
    <w:rsid w:val="003655B6"/>
    <w:rsid w:val="003C0499"/>
    <w:rsid w:val="00742691"/>
    <w:rsid w:val="00841C82"/>
    <w:rsid w:val="009E00C5"/>
    <w:rsid w:val="00E301D4"/>
    <w:rsid w:val="00E571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1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571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1137</Words>
  <Characters>6255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dc:creator>
  <cp:lastModifiedBy>Luis Fernando</cp:lastModifiedBy>
  <cp:revision>4</cp:revision>
  <dcterms:created xsi:type="dcterms:W3CDTF">2016-10-15T15:41:00Z</dcterms:created>
  <dcterms:modified xsi:type="dcterms:W3CDTF">2016-10-15T20:11:00Z</dcterms:modified>
</cp:coreProperties>
</file>