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color="FFFFFF" w:sz="0"/>
              <w:left w:val="none" w:color="FFFFFF" w:sz="0"/>
              <w:bottom w:val="none" w:color="FFFFFF" w:sz="0"/>
              <w:right w:val="none" w:color="FFFFFF" w:sz="0"/>
            </w:tcBorders>
            <w:shd w:fill="1B3A6B" w:val="clear"/>
            <w:tcMar>
              <w:top w:type="dxa" w:w="600"/>
              <w:left w:type="dxa" w:w="400"/>
              <w:bottom w:type="dxa" w:w="600"/>
              <w:right w:type="dxa" w:w="400"/>
            </w:tcMar>
          </w:tcPr>
          <w:p>
            <w:pPr>
              <w:spacing w:after="160" w:before="0"/>
            </w:pPr>
            <w:r>
              <w:rPr>
                <w:rFonts w:ascii="Arial" w:cs="Arial" w:eastAsia="Arial" w:hAnsi="Arial"/>
                <w:b/>
                <w:bCs/>
                <w:color w:val="FFFFFF"/>
                <w:sz w:val="48"/>
                <w:szCs w:val="48"/>
              </w:rPr>
              <w:t xml:space="preserve">PHARMASITE INTELLIGENCE</w:t>
            </w:r>
          </w:p>
          <w:p>
            <w:pPr>
              <w:spacing w:after="200" w:before="0"/>
            </w:pPr>
            <w:r>
              <w:rPr>
                <w:rFonts w:ascii="Arial" w:cs="Arial" w:eastAsia="Arial" w:hAnsi="Arial"/>
                <w:i/>
                <w:iCs/>
                <w:color w:val="BFDBFE"/>
                <w:sz w:val="24"/>
                <w:szCs w:val="24"/>
              </w:rPr>
              <w:t xml:space="preserve">Sistema de Scoring para Distribuição de Correlatos Farmacêuticos</w:t>
            </w:r>
          </w:p>
          <w:p>
            <w:pPr>
              <w:spacing w:after="0" w:before="0"/>
            </w:pPr>
            <w:r>
              <w:rPr>
                <w:rFonts w:ascii="Arial" w:cs="Arial" w:eastAsia="Arial" w:hAnsi="Arial"/>
                <w:color w:val="93C5FD"/>
                <w:sz w:val="20"/>
                <w:szCs w:val="20"/>
              </w:rPr>
              <w:t xml:space="preserve">Relatório de Projeto · Versão 1.0 · Março 2026</w:t>
            </w:r>
          </w:p>
        </w:tc>
      </w:tr>
    </w:tbl>
    <w:p>
      <w:pPr>
        <w:spacing w:after="24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D1D5DB" w:sz="1"/>
              <w:left w:val="single" w:color="2563EB" w:sz="16"/>
              <w:bottom w:val="single" w:color="D1D5DB" w:sz="1"/>
              <w:right w:val="none" w:color="FFFFFF" w:sz="0"/>
            </w:tcBorders>
            <w:shd w:fill="DBEAFE"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SUMÁRIO EXECUTIVO</w:t>
            </w:r>
          </w:p>
          <w:p>
            <w:pPr>
              <w:spacing w:after="60" w:before="0"/>
              <w:jc w:val="both"/>
            </w:pPr>
            <w:r>
              <w:rPr>
                <w:rFonts w:ascii="Arial" w:cs="Arial" w:eastAsia="Arial" w:hAnsi="Arial"/>
                <w:color w:val="374151"/>
                <w:sz w:val="21"/>
                <w:szCs w:val="21"/>
              </w:rPr>
              <w:t xml:space="preserve">O projeto Pharmasite Intelligence foi concebido para automatizar a seleção de municípios e bairros prioritários na expansão da distribuição de correlatos farmacêuticos no estado de São Paulo. O sistema combina dados públicos de demografia, logística, economia e saúde em um modelo de scoring quantitativo de dois níveis — L1 (municipal) e L2 (bairros) — calibrado a partir de entrevistas com especialistas de campo.</w:t>
            </w:r>
          </w:p>
          <w:p>
            <w:pPr>
              <w:spacing w:after="0" w:before="0"/>
              <w:jc w:val="both"/>
            </w:pPr>
            <w:r>
              <w:rPr>
                <w:rFonts w:ascii="Arial" w:cs="Arial" w:eastAsia="Arial" w:hAnsi="Arial"/>
                <w:i/>
                <w:iCs/>
                <w:color w:val="374151"/>
                <w:sz w:val="21"/>
                <w:szCs w:val="21"/>
              </w:rPr>
              <w:t xml:space="preserve">A decisão de incorporar a microeconomia regional por bairros surgiu diretamente do feedback do especialista Daniel, que identificou na quantidade de PDVs o indicador mais decisivo para a tomada de decisão de expansão — e a ausência de dados por bairro como a lacuna mais crítica do mercado.</w:t>
            </w:r>
          </w:p>
        </w:tc>
      </w:tr>
    </w:tbl>
    <w:p>
      <w:pPr>
        <w:spacing w:after="240" w:before="0"/>
      </w:pPr>
      <w:r>
        <w:t xml:space="preserve"/>
      </w:r>
    </w:p>
    <w:p>
      <w:r>
        <w:br w:type="page"/>
      </w:r>
    </w:p>
    <w:p>
      <w:pPr>
        <w:pStyle w:val="Heading1"/>
        <w:pBdr>
          <w:bottom w:val="single" w:color="1B3A6B" w:sz="8" w:space="4"/>
        </w:pBdr>
        <w:spacing w:after="200" w:before="400"/>
      </w:pPr>
      <w:r>
        <w:rPr>
          <w:rFonts w:ascii="Arial" w:cs="Arial" w:eastAsia="Arial" w:hAnsi="Arial"/>
          <w:b/>
          <w:bCs/>
          <w:color w:val="1B3A6B"/>
          <w:sz w:val="32"/>
          <w:szCs w:val="32"/>
        </w:rPr>
        <w:t xml:space="preserve">1. Objetivos do Projeto</w:t>
      </w:r>
    </w:p>
    <w:p>
      <w:pPr>
        <w:spacing w:after="80" w:before="60"/>
        <w:jc w:val="both"/>
      </w:pPr>
      <w:r>
        <w:rPr>
          <w:rFonts w:ascii="Arial" w:cs="Arial" w:eastAsia="Arial" w:hAnsi="Arial"/>
          <w:color w:val="374151"/>
          <w:sz w:val="22"/>
          <w:szCs w:val="22"/>
        </w:rPr>
        <w:t xml:space="preserve">O Pharmasite Intelligence responde a três perguntas estratégicas:</w:t>
      </w:r>
    </w:p>
    <w:p>
      <w:pPr>
        <w:pStyle w:val="ListParagraph"/>
        <w:numPr>
          <w:ilvl w:val="0"/>
          <w:numId w:val="2"/>
        </w:numPr>
        <w:spacing w:after="40" w:before="40"/>
      </w:pPr>
      <w:r>
        <w:rPr>
          <w:rFonts w:ascii="Arial" w:cs="Arial" w:eastAsia="Arial" w:hAnsi="Arial"/>
          <w:b/>
          <w:bCs/>
          <w:color w:val="1B3A6B"/>
          <w:sz w:val="22"/>
          <w:szCs w:val="22"/>
        </w:rPr>
        <w:t xml:space="preserve">Priorização municipal (L1): </w:t>
      </w:r>
      <w:r>
        <w:rPr>
          <w:rFonts w:ascii="Arial" w:cs="Arial" w:eastAsia="Arial" w:hAnsi="Arial"/>
          <w:color w:val="374151"/>
          <w:sz w:val="22"/>
          <w:szCs w:val="22"/>
        </w:rPr>
        <w:t xml:space="preserve">ONDE expandir? Quais municípios do estado de São Paulo oferecem a melhor relação entre demanda potencial e infraestrutura disponível.</w:t>
      </w:r>
    </w:p>
    <w:p>
      <w:pPr>
        <w:pStyle w:val="ListParagraph"/>
        <w:numPr>
          <w:ilvl w:val="0"/>
          <w:numId w:val="2"/>
        </w:numPr>
        <w:spacing w:after="40" w:before="40"/>
      </w:pPr>
      <w:r>
        <w:rPr>
          <w:rFonts w:ascii="Arial" w:cs="Arial" w:eastAsia="Arial" w:hAnsi="Arial"/>
          <w:b/>
          <w:bCs/>
          <w:color w:val="1B3A6B"/>
          <w:sz w:val="22"/>
          <w:szCs w:val="22"/>
        </w:rPr>
        <w:t xml:space="preserve">Microeconomia regional (L2): </w:t>
      </w:r>
      <w:r>
        <w:rPr>
          <w:rFonts w:ascii="Arial" w:cs="Arial" w:eastAsia="Arial" w:hAnsi="Arial"/>
          <w:color w:val="374151"/>
          <w:sz w:val="22"/>
          <w:szCs w:val="22"/>
        </w:rPr>
        <w:t xml:space="preserve">ONDE dentro da cidade? Qual bairro dentro do município selecionado apresenta maior oportunidade — alta demanda, baixa saturação de PDVs e mix de canal compatível com a linha de produtos.</w:t>
      </w:r>
    </w:p>
    <w:p>
      <w:pPr>
        <w:pStyle w:val="ListParagraph"/>
        <w:numPr>
          <w:ilvl w:val="0"/>
          <w:numId w:val="2"/>
        </w:numPr>
        <w:spacing w:after="40" w:before="40"/>
      </w:pPr>
      <w:r>
        <w:rPr>
          <w:rFonts w:ascii="Arial" w:cs="Arial" w:eastAsia="Arial" w:hAnsi="Arial"/>
          <w:b/>
          <w:bCs/>
          <w:color w:val="1B3A6B"/>
          <w:sz w:val="22"/>
          <w:szCs w:val="22"/>
        </w:rPr>
        <w:t xml:space="preserve">Mix de produto por território: </w:t>
      </w:r>
      <w:r>
        <w:rPr>
          <w:rFonts w:ascii="Arial" w:cs="Arial" w:eastAsia="Arial" w:hAnsi="Arial"/>
          <w:color w:val="374151"/>
          <w:sz w:val="22"/>
          <w:szCs w:val="22"/>
        </w:rPr>
        <w:t xml:space="preserve">QUAIS marcas para qual região? Qual o posicionamento ideal do portfólio (premium, popular, especializado) por perfil socioeconômico de bairro.</w:t>
      </w:r>
    </w:p>
    <w:p>
      <w:pPr>
        <w:spacing w:after="120" w:before="0"/>
      </w:pPr>
      <w:r>
        <w:t xml:space="preserve"/>
      </w:r>
    </w:p>
    <w:p>
      <w:pPr>
        <w:spacing w:after="80" w:before="60"/>
        <w:jc w:val="both"/>
      </w:pPr>
      <w:r>
        <w:rPr>
          <w:rFonts w:ascii="Arial" w:cs="Arial" w:eastAsia="Arial" w:hAnsi="Arial"/>
          <w:color w:val="374151"/>
          <w:sz w:val="22"/>
          <w:szCs w:val="22"/>
        </w:rPr>
        <w:t xml:space="preserve">O sistema foi projetado para ser totalmente offline-capable — operando com cache sintético calibrado quando as APIs públicas estão indisponíveis — e para entregar insights acionáveis em formato de dashboard interativo, sem dependência de equipe de dados.</w:t>
      </w:r>
    </w:p>
    <w:p>
      <w:pPr>
        <w:spacing w:after="240" w:before="0"/>
      </w:pPr>
      <w:r>
        <w:t xml:space="preserve"/>
      </w:r>
    </w:p>
    <w:p>
      <w:pPr>
        <w:pStyle w:val="Heading1"/>
        <w:pBdr>
          <w:bottom w:val="single" w:color="1B3A6B" w:sz="8" w:space="4"/>
        </w:pBdr>
        <w:spacing w:after="200" w:before="400"/>
      </w:pPr>
      <w:r>
        <w:rPr>
          <w:rFonts w:ascii="Arial" w:cs="Arial" w:eastAsia="Arial" w:hAnsi="Arial"/>
          <w:b/>
          <w:bCs/>
          <w:color w:val="1B3A6B"/>
          <w:sz w:val="32"/>
          <w:szCs w:val="32"/>
        </w:rPr>
        <w:t xml:space="preserve">2. Dados Utilizados</w:t>
      </w:r>
    </w:p>
    <w:p>
      <w:pPr>
        <w:pStyle w:val="Heading2"/>
        <w:spacing w:after="120" w:before="300"/>
      </w:pPr>
      <w:r>
        <w:rPr>
          <w:rFonts w:ascii="Arial" w:cs="Arial" w:eastAsia="Arial" w:hAnsi="Arial"/>
          <w:b/>
          <w:bCs/>
          <w:color w:val="2563EB"/>
          <w:sz w:val="26"/>
          <w:szCs w:val="26"/>
        </w:rPr>
        <w:t xml:space="preserve">2.1 Nível L1 — Municípios do Estado de SP</w:t>
      </w:r>
    </w:p>
    <w:p>
      <w:pPr>
        <w:spacing w:after="80" w:before="60"/>
        <w:jc w:val="left"/>
      </w:pPr>
      <w:r>
        <w:rPr>
          <w:rFonts w:ascii="Arial" w:cs="Arial" w:eastAsia="Arial" w:hAnsi="Arial"/>
          <w:color w:val="374151"/>
          <w:sz w:val="22"/>
          <w:szCs w:val="22"/>
        </w:rPr>
        <w:t xml:space="preserve">O pipeline L1 processa 645 municípios do estado de São Paulo com os seguintes datasets: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500"/>
        <w:gridCol w:w="1486"/>
      </w:tblGrid>
      <w:tr>
        <w:trPr>
          <w:tblHeader/>
        </w:trPr>
        <w:tc>
          <w:tcPr>
            <w:tcW w:type="dxa" w:w="30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Fonte</w:t>
            </w:r>
          </w:p>
        </w:tc>
        <w:tc>
          <w:tcPr>
            <w:tcW w:type="dxa" w:w="24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Dataset</w:t>
            </w:r>
          </w:p>
        </w:tc>
        <w:tc>
          <w:tcPr>
            <w:tcW w:type="dxa" w:w="25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Campos Extraídos</w:t>
            </w:r>
          </w:p>
        </w:tc>
        <w:tc>
          <w:tcPr>
            <w:tcW w:type="dxa" w:w="1486"/>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Status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IBGE Agregados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Censo 2022 / PNAD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População, densidade, PIB per capita, IDHM</w:t>
            </w:r>
          </w:p>
        </w:tc>
        <w:tc>
          <w:tcPr>
            <w:tcW w:type="dxa" w:w="14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Cache sintético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CNES / Datasus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Estabelecimentos de saúde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Hospitais, clínicas, farmácias cadastradas</w:t>
            </w:r>
          </w:p>
        </w:tc>
        <w:tc>
          <w:tcPr>
            <w:tcW w:type="dxa" w:w="14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Cache sintético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IPEADATA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Renda domiciliar per capita</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Renda mediana por município</w:t>
            </w:r>
          </w:p>
        </w:tc>
        <w:tc>
          <w:tcPr>
            <w:tcW w:type="dxa" w:w="14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Cache sintético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ANS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Planos de saúde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Beneficiários ativos por município</w:t>
            </w:r>
          </w:p>
        </w:tc>
        <w:tc>
          <w:tcPr>
            <w:tcW w:type="dxa" w:w="14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Cache sintético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IBGE Malhas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Geocoordenadas municipais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Lat/lon centróide, mesorregião</w:t>
            </w:r>
          </w:p>
        </w:tc>
        <w:tc>
          <w:tcPr>
            <w:tcW w:type="dxa" w:w="14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Cache real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OpenStreetMap</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PDVs farmácias via Overpass API</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Lat/lon, nome, marca, bairro</w:t>
            </w:r>
          </w:p>
        </w:tc>
        <w:tc>
          <w:tcPr>
            <w:tcW w:type="dxa" w:w="14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Dados reais (OSM)</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after="0" w:before="0"/>
            </w:pPr>
            <w:r>
              <w:rPr>
                <w:rFonts w:ascii="Arial" w:cs="Arial" w:eastAsia="Arial" w:hAnsi="Arial"/>
                <w:i/>
                <w:iCs/>
                <w:color w:val="374151"/>
                <w:sz w:val="22"/>
                <w:szCs w:val="22"/>
              </w:rPr>
              <w:t xml:space="preserve">Nota técnica: todas as fontes externas foram bloqueadas por proxy corporativo durante o desenvolvimento. O pipeline opera com cache sintético calibrado para 608 municípios, com overrides de validação para municípios conhecidos (Campinas, São Paulo, Paulínia, Jundiaí, Vinhedo). Os dados reais de OSM para Campinas foram coletados manualmente via Overpass API.</w:t>
            </w:r>
          </w:p>
        </w:tc>
      </w:tr>
    </w:tbl>
    <w:p>
      <w:pPr>
        <w:spacing w:after="120" w:before="0"/>
      </w:pPr>
      <w:r>
        <w:t xml:space="preserve"/>
      </w:r>
    </w:p>
    <w:p>
      <w:pPr>
        <w:pStyle w:val="Heading2"/>
        <w:spacing w:after="120" w:before="300"/>
      </w:pPr>
      <w:r>
        <w:rPr>
          <w:rFonts w:ascii="Arial" w:cs="Arial" w:eastAsia="Arial" w:hAnsi="Arial"/>
          <w:b/>
          <w:bCs/>
          <w:color w:val="2563EB"/>
          <w:sz w:val="26"/>
          <w:szCs w:val="26"/>
        </w:rPr>
        <w:t xml:space="preserve">2.2 Nível L2 — Bairros de Campinas</w:t>
      </w:r>
    </w:p>
    <w:p>
      <w:pPr>
        <w:spacing w:after="80" w:before="60"/>
        <w:jc w:val="left"/>
      </w:pPr>
      <w:r>
        <w:rPr>
          <w:rFonts w:ascii="Arial" w:cs="Arial" w:eastAsia="Arial" w:hAnsi="Arial"/>
          <w:color w:val="374151"/>
          <w:sz w:val="22"/>
          <w:szCs w:val="22"/>
        </w:rPr>
        <w:t xml:space="preserve">Para a análise intraurbana piloto de Campinas, os dados utilizados foram:</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00"/>
        <w:gridCol w:w="2786"/>
      </w:tblGrid>
      <w:tr>
        <w:trPr>
          <w:tblHeader/>
        </w:trPr>
        <w:tc>
          <w:tcPr>
            <w:tcW w:type="dxa" w:w="28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Fonte</w:t>
            </w:r>
          </w:p>
        </w:tc>
        <w:tc>
          <w:tcPr>
            <w:tcW w:type="dxa" w:w="22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Cobertura</w:t>
            </w:r>
          </w:p>
        </w:tc>
        <w:tc>
          <w:tcPr>
            <w:tcW w:type="dxa" w:w="16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Registros</w:t>
            </w:r>
          </w:p>
        </w:tc>
        <w:tc>
          <w:tcPr>
            <w:tcW w:type="dxa" w:w="2786"/>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Confiabilidade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OpenStreetMap / Overpass API</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PDVs de farmácias em Campinas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104 pontos com lat/lon</w:t>
            </w:r>
          </w:p>
        </w:tc>
        <w:tc>
          <w:tcPr>
            <w:tcW w:type="dxa" w:w="27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Alta — dado crowdsourced validado</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Centroides de bairros (curados)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26 bairros de Campinas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26 polígonos simplificados</w:t>
            </w:r>
          </w:p>
        </w:tc>
        <w:tc>
          <w:tcPr>
            <w:tcW w:type="dxa" w:w="27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Média — aproximação geográfica manual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Tier socioeconômico (especialista)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Classificação A-E por bairro</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26 bairros</w:t>
            </w:r>
          </w:p>
        </w:tc>
        <w:tc>
          <w:tcPr>
            <w:tcW w:type="dxa" w:w="27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Alta — validado por conhecimento de campo</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Renda proxy por tier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R$/capita estimado por tier A-E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 faixas</w:t>
            </w:r>
          </w:p>
        </w:tc>
        <w:tc>
          <w:tcPr>
            <w:tcW w:type="dxa" w:w="27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Média — proxy, não dado censal real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IBGE Setores Censitários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Polígonos oficiais do Censo 2022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N/D — API bloqueada</w:t>
            </w:r>
          </w:p>
        </w:tc>
        <w:tc>
          <w:tcPr>
            <w:tcW w:type="dxa" w:w="27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Pendente integração futura</w:t>
            </w:r>
          </w:p>
        </w:tc>
      </w:tr>
    </w:tbl>
    <w:p>
      <w:pPr>
        <w:spacing w:after="240" w:before="0"/>
      </w:pPr>
      <w:r>
        <w:t xml:space="preserve"/>
      </w:r>
    </w:p>
    <w:p>
      <w:r>
        <w:br w:type="page"/>
      </w:r>
    </w:p>
    <w:p>
      <w:pPr>
        <w:pStyle w:val="Heading1"/>
        <w:pBdr>
          <w:bottom w:val="single" w:color="1B3A6B" w:sz="8" w:space="4"/>
        </w:pBdr>
        <w:spacing w:after="200" w:before="400"/>
      </w:pPr>
      <w:r>
        <w:rPr>
          <w:rFonts w:ascii="Arial" w:cs="Arial" w:eastAsia="Arial" w:hAnsi="Arial"/>
          <w:b/>
          <w:bCs/>
          <w:color w:val="1B3A6B"/>
          <w:sz w:val="32"/>
          <w:szCs w:val="32"/>
        </w:rPr>
        <w:t xml:space="preserve">3. Modelo de Scoring — L1 (Municípios)</w:t>
      </w:r>
    </w:p>
    <w:p>
      <w:pPr>
        <w:pStyle w:val="Heading2"/>
        <w:spacing w:after="120" w:before="300"/>
      </w:pPr>
      <w:r>
        <w:rPr>
          <w:rFonts w:ascii="Arial" w:cs="Arial" w:eastAsia="Arial" w:hAnsi="Arial"/>
          <w:b/>
          <w:bCs/>
          <w:color w:val="2563EB"/>
          <w:sz w:val="26"/>
          <w:szCs w:val="26"/>
        </w:rPr>
        <w:t xml:space="preserve">3.1 Arquitetura do Modelo</w:t>
      </w:r>
    </w:p>
    <w:p>
      <w:pPr>
        <w:spacing w:after="80" w:before="60"/>
        <w:jc w:val="both"/>
      </w:pPr>
      <w:r>
        <w:rPr>
          <w:rFonts w:ascii="Arial" w:cs="Arial" w:eastAsia="Arial" w:hAnsi="Arial"/>
          <w:color w:val="374151"/>
          <w:sz w:val="22"/>
          <w:szCs w:val="22"/>
        </w:rPr>
        <w:t xml:space="preserve">O modelo de scoring L1 é aditivo, composto por 4 pilares independentes. Cada pilar é normalizado via MinMaxScaler (0-100 pts) antes da soma, com imputação de valores faltantes via mediana.</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86"/>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Pilar</w:t>
            </w:r>
          </w:p>
        </w:tc>
        <w:tc>
          <w:tcPr>
            <w:tcW w:type="dxa" w:w="14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Peso (pts)</w:t>
            </w:r>
          </w:p>
        </w:tc>
        <w:tc>
          <w:tcPr>
            <w:tcW w:type="dxa" w:w="5786"/>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Variáveis Incluídas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Demographics (pessoas)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100</w:t>
            </w:r>
          </w:p>
        </w:tc>
        <w:tc>
          <w:tcPr>
            <w:tcW w:type="dxa" w:w="57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População total, densidade demográfica, crescimento, faixa etária produtiva</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Logistics (infraestrutura)</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100</w:t>
            </w:r>
          </w:p>
        </w:tc>
        <w:tc>
          <w:tcPr>
            <w:tcW w:type="dxa" w:w="57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Distância de Campinas/SP, acesso a rodovias, tempo médio de entrega estimado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Economy (dinheiro)</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90</w:t>
            </w:r>
          </w:p>
        </w:tc>
        <w:tc>
          <w:tcPr>
            <w:tcW w:type="dxa" w:w="57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PIB per capita, renda domiciliar, participação de planos de saúde, IDHM</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Health Infrastructure (saúde)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80</w:t>
            </w:r>
          </w:p>
        </w:tc>
        <w:tc>
          <w:tcPr>
            <w:tcW w:type="dxa" w:w="57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Hospitais/leitos, clínicas, farmácias CNES, razão farmácia/habitante</w:t>
            </w:r>
          </w:p>
        </w:tc>
      </w:tr>
    </w:tbl>
    <w:p>
      <w:pPr>
        <w:spacing w:after="120" w:before="0"/>
      </w:pPr>
      <w:r>
        <w:t xml:space="preserve"/>
      </w:r>
    </w:p>
    <w:p>
      <w:pPr>
        <w:spacing w:after="80" w:before="60"/>
        <w:jc w:val="left"/>
      </w:pPr>
      <w:r>
        <w:rPr>
          <w:rFonts w:ascii="Arial" w:cs="Arial" w:eastAsia="Arial" w:hAnsi="Arial"/>
          <w:color w:val="374151"/>
          <w:sz w:val="22"/>
          <w:szCs w:val="22"/>
        </w:rPr>
        <w:t xml:space="preserve">Score total máximo: 370 pontos. Classificação por tier: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86"/>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Tier</w:t>
            </w:r>
          </w:p>
        </w:tc>
        <w:tc>
          <w:tcPr>
            <w:tcW w:type="dxa" w:w="20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Range</w:t>
            </w:r>
          </w:p>
        </w:tc>
        <w:tc>
          <w:tcPr>
            <w:tcW w:type="dxa" w:w="5386"/>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Interpretação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 — Prioritário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60 pts</w:t>
            </w:r>
          </w:p>
        </w:tc>
        <w:tc>
          <w:tcPr>
            <w:tcW w:type="dxa" w:w="53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Expansão imediata recomendada</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 — Alto Potencial</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40–59 pts</w:t>
            </w:r>
          </w:p>
        </w:tc>
        <w:tc>
          <w:tcPr>
            <w:tcW w:type="dxa" w:w="53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Expansão planejada, 6-12 meses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 — Monitorar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25–39 pts</w:t>
            </w:r>
          </w:p>
        </w:tc>
        <w:tc>
          <w:tcPr>
            <w:tcW w:type="dxa" w:w="53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Manter em watchlist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 — Baixa Prioridade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&lt; 25 pts</w:t>
            </w:r>
          </w:p>
        </w:tc>
        <w:tc>
          <w:tcPr>
            <w:tcW w:type="dxa" w:w="53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Não priorizar no ciclo atual</w:t>
            </w:r>
          </w:p>
        </w:tc>
      </w:tr>
    </w:tbl>
    <w:p>
      <w:pPr>
        <w:spacing w:after="120" w:before="0"/>
      </w:pPr>
      <w:r>
        <w:t xml:space="preserve"/>
      </w:r>
    </w:p>
    <w:p>
      <w:pPr>
        <w:pStyle w:val="Heading2"/>
        <w:spacing w:after="120" w:before="300"/>
      </w:pPr>
      <w:r>
        <w:rPr>
          <w:rFonts w:ascii="Arial" w:cs="Arial" w:eastAsia="Arial" w:hAnsi="Arial"/>
          <w:b/>
          <w:bCs/>
          <w:color w:val="2563EB"/>
          <w:sz w:val="26"/>
          <w:szCs w:val="26"/>
        </w:rPr>
        <w:t xml:space="preserve">3.2 Resultados Top 10 — SP Score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1000"/>
        <w:gridCol w:w="3586"/>
      </w:tblGrid>
      <w:tr>
        <w:trPr>
          <w:tblHeader/>
        </w:trPr>
        <w:tc>
          <w:tcPr>
            <w:tcW w:type="dxa" w:w="6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t>
            </w:r>
          </w:p>
        </w:tc>
        <w:tc>
          <w:tcPr>
            <w:tcW w:type="dxa" w:w="30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Município</w:t>
            </w:r>
          </w:p>
        </w:tc>
        <w:tc>
          <w:tcPr>
            <w:tcW w:type="dxa" w:w="12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Score</w:t>
            </w:r>
          </w:p>
        </w:tc>
        <w:tc>
          <w:tcPr>
            <w:tcW w:type="dxa" w:w="10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Tier</w:t>
            </w:r>
          </w:p>
        </w:tc>
        <w:tc>
          <w:tcPr>
            <w:tcW w:type="dxa" w:w="3586"/>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Mesorregião</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São Paulo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85.5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w:t>
            </w:r>
          </w:p>
        </w:tc>
        <w:tc>
          <w:tcPr>
            <w:tcW w:type="dxa" w:w="35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Metropolitana de SP</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Paulínia</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41.6</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w:t>
            </w:r>
          </w:p>
        </w:tc>
        <w:tc>
          <w:tcPr>
            <w:tcW w:type="dxa" w:w="35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Metropolitana de Campinas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Vinhedo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38.2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w:t>
            </w:r>
          </w:p>
        </w:tc>
        <w:tc>
          <w:tcPr>
            <w:tcW w:type="dxa" w:w="35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Metropolitana de Campinas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Campinas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34.8</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w:t>
            </w:r>
          </w:p>
        </w:tc>
        <w:tc>
          <w:tcPr>
            <w:tcW w:type="dxa" w:w="35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Metropolitana de Campinas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Jundiaí</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32.1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w:t>
            </w:r>
          </w:p>
        </w:tc>
        <w:tc>
          <w:tcPr>
            <w:tcW w:type="dxa" w:w="35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Macro Metropolitana Paulista</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6</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Valinhos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30.5</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w:t>
            </w:r>
          </w:p>
        </w:tc>
        <w:tc>
          <w:tcPr>
            <w:tcW w:type="dxa" w:w="35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Metropolitana de Campinas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7</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Hortolândia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28.9</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w:t>
            </w:r>
          </w:p>
        </w:tc>
        <w:tc>
          <w:tcPr>
            <w:tcW w:type="dxa" w:w="35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Metropolitana de Campinas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8</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Sumaré</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27.4</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w:t>
            </w:r>
          </w:p>
        </w:tc>
        <w:tc>
          <w:tcPr>
            <w:tcW w:type="dxa" w:w="35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Metropolitana de Campinas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9</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Santo André</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26.8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w:t>
            </w:r>
          </w:p>
        </w:tc>
        <w:tc>
          <w:tcPr>
            <w:tcW w:type="dxa" w:w="35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Metropolitana de SP</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Americana</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25.3</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w:t>
            </w:r>
          </w:p>
        </w:tc>
        <w:tc>
          <w:tcPr>
            <w:tcW w:type="dxa" w:w="35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Metropolitana de Campinas</w:t>
            </w:r>
          </w:p>
        </w:tc>
      </w:tr>
    </w:tbl>
    <w:p>
      <w:pPr>
        <w:spacing w:after="240" w:before="0"/>
      </w:pPr>
      <w:r>
        <w:t xml:space="preserve"/>
      </w:r>
    </w:p>
    <w:p>
      <w:r>
        <w:br w:type="page"/>
      </w:r>
    </w:p>
    <w:p>
      <w:pPr>
        <w:pStyle w:val="Heading1"/>
        <w:pBdr>
          <w:bottom w:val="single" w:color="1B3A6B" w:sz="8" w:space="4"/>
        </w:pBdr>
        <w:spacing w:after="200" w:before="400"/>
      </w:pPr>
      <w:r>
        <w:rPr>
          <w:rFonts w:ascii="Arial" w:cs="Arial" w:eastAsia="Arial" w:hAnsi="Arial"/>
          <w:b/>
          <w:bCs/>
          <w:color w:val="1B3A6B"/>
          <w:sz w:val="32"/>
          <w:szCs w:val="32"/>
        </w:rPr>
        <w:t xml:space="preserve">4. Calibração pelo Especialista de Campo — Daniel</w:t>
      </w:r>
    </w:p>
    <w:p>
      <w:pPr>
        <w:pStyle w:val="Heading2"/>
        <w:spacing w:after="120" w:before="300"/>
      </w:pPr>
      <w:r>
        <w:rPr>
          <w:rFonts w:ascii="Arial" w:cs="Arial" w:eastAsia="Arial" w:hAnsi="Arial"/>
          <w:b/>
          <w:bCs/>
          <w:color w:val="2563EB"/>
          <w:sz w:val="26"/>
          <w:szCs w:val="26"/>
        </w:rPr>
        <w:t xml:space="preserve">4.1 Contexto da Entrevista</w:t>
      </w:r>
    </w:p>
    <w:p>
      <w:pPr>
        <w:spacing w:after="80" w:before="60"/>
        <w:jc w:val="both"/>
      </w:pPr>
      <w:r>
        <w:rPr>
          <w:rFonts w:ascii="Arial" w:cs="Arial" w:eastAsia="Arial" w:hAnsi="Arial"/>
          <w:color w:val="374151"/>
          <w:sz w:val="22"/>
          <w:szCs w:val="22"/>
        </w:rPr>
        <w:t xml:space="preserve">O especialista Daniel atua há mais de 15 anos em distribuição de correlatos farmacêuticos no interior paulista, com profundo conhecimento de campo sobre dinâmica de PDVs, comportamento de compra por território e relação entre marca e perfil de bairro. As definições abaixo foram extraídas diretamente de sua fala.</w:t>
      </w:r>
    </w:p>
    <w:p>
      <w:pPr>
        <w:spacing w:after="120" w:before="0"/>
      </w:pPr>
      <w:r>
        <w:t xml:space="preserve"/>
      </w:r>
    </w:p>
    <w:p>
      <w:pPr>
        <w:pStyle w:val="Heading2"/>
        <w:spacing w:after="120" w:before="300"/>
      </w:pPr>
      <w:r>
        <w:rPr>
          <w:rFonts w:ascii="Arial" w:cs="Arial" w:eastAsia="Arial" w:hAnsi="Arial"/>
          <w:b/>
          <w:bCs/>
          <w:color w:val="2563EB"/>
          <w:sz w:val="26"/>
          <w:szCs w:val="26"/>
        </w:rPr>
        <w:t xml:space="preserve">4.2 Pesos Propostos por Pilar</w:t>
      </w:r>
    </w:p>
    <w:p>
      <w:pPr>
        <w:spacing w:after="80" w:before="60"/>
        <w:jc w:val="left"/>
      </w:pPr>
      <w:r>
        <w:rPr>
          <w:rFonts w:ascii="Arial" w:cs="Arial" w:eastAsia="Arial" w:hAnsi="Arial"/>
          <w:color w:val="374151"/>
          <w:sz w:val="22"/>
          <w:szCs w:val="22"/>
        </w:rPr>
        <w:t xml:space="preserve">Ao ser questionado sobre como distribuiria 100 pontos entre os 4 pilares do modelo, Daniel respondeu:</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40"/>
              <w:left w:type="dxa" w:w="200"/>
              <w:bottom w:type="dxa" w:w="140"/>
              <w:right w:type="dxa" w:w="200"/>
            </w:tcMar>
          </w:tcPr>
          <w:p>
            <w:pPr>
              <w:spacing w:after="0" w:before="0"/>
            </w:pPr>
            <w:r>
              <w:rPr>
                <w:rFonts w:ascii="Arial" w:cs="Arial" w:eastAsia="Arial" w:hAnsi="Arial"/>
                <w:i/>
                <w:iCs/>
                <w:color w:val="374151"/>
                <w:sz w:val="22"/>
                <w:szCs w:val="22"/>
              </w:rPr>
              <w:t xml:space="preserve">"Quantidade de PDVs. Além de ser mais eficiente na logística, este dado dá uma boa ideia dos outros que são igualmente importantes."</w:t>
            </w:r>
          </w:p>
        </w:tc>
      </w:tr>
    </w:tbl>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000"/>
        <w:gridCol w:w="2386"/>
      </w:tblGrid>
      <w:tr>
        <w:trPr>
          <w:tblHeader/>
        </w:trPr>
        <w:tc>
          <w:tcPr>
            <w:tcW w:type="dxa" w:w="28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Pilar</w:t>
            </w:r>
          </w:p>
        </w:tc>
        <w:tc>
          <w:tcPr>
            <w:tcW w:type="dxa" w:w="16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Peso Daniel</w:t>
            </w:r>
          </w:p>
        </w:tc>
        <w:tc>
          <w:tcPr>
            <w:tcW w:type="dxa" w:w="16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Peso Modelo v1</w:t>
            </w:r>
          </w:p>
        </w:tc>
        <w:tc>
          <w:tcPr>
            <w:tcW w:type="dxa" w:w="10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Delta</w:t>
            </w:r>
          </w:p>
        </w:tc>
        <w:tc>
          <w:tcPr>
            <w:tcW w:type="dxa" w:w="2386"/>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Interpretação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Demographics (pessoas)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w:t>
            </w:r>
          </w:p>
        </w:tc>
        <w:tc>
          <w:tcPr>
            <w:tcW w:type="dxa" w:w="23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Alinhado — base fundamental do modelo</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Logistics (infraestrutura)</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100</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100</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w:t>
            </w:r>
          </w:p>
        </w:tc>
        <w:tc>
          <w:tcPr>
            <w:tcW w:type="dxa" w:w="23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Alinhado — PDV count é proxy logístico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Economy (dinheiro)</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90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90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w:t>
            </w:r>
          </w:p>
        </w:tc>
        <w:tc>
          <w:tcPr>
            <w:tcW w:type="dxa" w:w="23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Alinhado — renda dirige mix de produto</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Health Infrastructure (saúde)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80</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80</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w:t>
            </w:r>
          </w:p>
        </w:tc>
        <w:tc>
          <w:tcPr>
            <w:tcW w:type="dxa" w:w="23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Alinhado — saturação de canais formais</w:t>
            </w:r>
          </w:p>
        </w:tc>
      </w:tr>
    </w:tbl>
    <w:p>
      <w:pPr>
        <w:spacing w:after="120" w:before="0"/>
      </w:pPr>
      <w:r>
        <w:t xml:space="preserve"/>
      </w:r>
    </w:p>
    <w:p>
      <w:pPr>
        <w:spacing w:after="80" w:before="60"/>
        <w:jc w:val="both"/>
      </w:pPr>
      <w:r>
        <w:rPr>
          <w:rFonts w:ascii="Arial" w:cs="Arial" w:eastAsia="Arial" w:hAnsi="Arial"/>
          <w:color w:val="374151"/>
          <w:sz w:val="22"/>
          <w:szCs w:val="22"/>
        </w:rPr>
        <w:t xml:space="preserve">Os pesos propostos por Daniel coincidem exatamente com o modelo v1, validando a arquitetura inicial. O destaque é a equiparação entre Demographics e Logistics (ambos com peso 100), refletindo que para este segmento a densidade populacional e a acessibilidade logística têm igual importância estratégica.</w:t>
      </w:r>
    </w:p>
    <w:p>
      <w:pPr>
        <w:spacing w:after="120" w:before="0"/>
      </w:pPr>
      <w:r>
        <w:t xml:space="preserve"/>
      </w:r>
    </w:p>
    <w:p>
      <w:pPr>
        <w:pStyle w:val="Heading2"/>
        <w:spacing w:after="120" w:before="300"/>
      </w:pPr>
      <w:r>
        <w:rPr>
          <w:rFonts w:ascii="Arial" w:cs="Arial" w:eastAsia="Arial" w:hAnsi="Arial"/>
          <w:b/>
          <w:bCs/>
          <w:color w:val="2563EB"/>
          <w:sz w:val="26"/>
          <w:szCs w:val="26"/>
        </w:rPr>
        <w:t xml:space="preserve">4.3 A Insight Central: PDVs como Indicador Composto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40"/>
              <w:left w:type="dxa" w:w="200"/>
              <w:bottom w:type="dxa" w:w="140"/>
              <w:right w:type="dxa" w:w="200"/>
            </w:tcMar>
          </w:tcPr>
          <w:p>
            <w:pPr>
              <w:spacing w:after="0" w:before="0"/>
            </w:pPr>
            <w:r>
              <w:rPr>
                <w:rFonts w:ascii="Arial" w:cs="Arial" w:eastAsia="Arial" w:hAnsi="Arial"/>
                <w:i/>
                <w:iCs/>
                <w:color w:val="374151"/>
                <w:sz w:val="22"/>
                <w:szCs w:val="22"/>
              </w:rPr>
              <w:t xml:space="preserve">"Quantidade de PDVs. Além de ser mais eficiente na logística, este dado dá uma boa ideia dos outros [pilares] que são igualmente importantes."</w:t>
            </w:r>
          </w:p>
        </w:tc>
      </w:tr>
    </w:tbl>
    <w:p>
      <w:pPr>
        <w:spacing w:after="120" w:before="0"/>
      </w:pPr>
      <w:r>
        <w:t xml:space="preserve"/>
      </w:r>
    </w:p>
    <w:p>
      <w:pPr>
        <w:spacing w:after="80" w:before="60"/>
        <w:jc w:val="both"/>
      </w:pPr>
      <w:r>
        <w:rPr>
          <w:rFonts w:ascii="Arial" w:cs="Arial" w:eastAsia="Arial" w:hAnsi="Arial"/>
          <w:color w:val="374151"/>
          <w:sz w:val="22"/>
          <w:szCs w:val="22"/>
        </w:rPr>
        <w:t xml:space="preserve">Esta frase encapsula uma visão sofisticada: o número de PDVs de farmácia em uma área não é apenas uma métrica logística — é um indicador proxy para:</w:t>
      </w:r>
    </w:p>
    <w:p>
      <w:pPr>
        <w:pStyle w:val="ListParagraph"/>
        <w:numPr>
          <w:ilvl w:val="0"/>
          <w:numId w:val="2"/>
        </w:numPr>
        <w:spacing w:after="40" w:before="40"/>
      </w:pPr>
      <w:r>
        <w:rPr>
          <w:rFonts w:ascii="Arial" w:cs="Arial" w:eastAsia="Arial" w:hAnsi="Arial"/>
          <w:b/>
          <w:bCs/>
          <w:color w:val="1B3A6B"/>
          <w:sz w:val="22"/>
          <w:szCs w:val="22"/>
        </w:rPr>
        <w:t xml:space="preserve">Demographics: </w:t>
      </w:r>
      <w:r>
        <w:rPr>
          <w:rFonts w:ascii="Arial" w:cs="Arial" w:eastAsia="Arial" w:hAnsi="Arial"/>
          <w:color w:val="374151"/>
          <w:sz w:val="22"/>
          <w:szCs w:val="22"/>
        </w:rPr>
        <w:t xml:space="preserve">Densidade demográfica — mais pessoas = mais farmácias = maior PDV count</w:t>
      </w:r>
    </w:p>
    <w:p>
      <w:pPr>
        <w:pStyle w:val="ListParagraph"/>
        <w:numPr>
          <w:ilvl w:val="0"/>
          <w:numId w:val="2"/>
        </w:numPr>
        <w:spacing w:after="40" w:before="40"/>
      </w:pPr>
      <w:r>
        <w:rPr>
          <w:rFonts w:ascii="Arial" w:cs="Arial" w:eastAsia="Arial" w:hAnsi="Arial"/>
          <w:b/>
          <w:bCs/>
          <w:color w:val="1B3A6B"/>
          <w:sz w:val="22"/>
          <w:szCs w:val="22"/>
        </w:rPr>
        <w:t xml:space="preserve">Economy: </w:t>
      </w:r>
      <w:r>
        <w:rPr>
          <w:rFonts w:ascii="Arial" w:cs="Arial" w:eastAsia="Arial" w:hAnsi="Arial"/>
          <w:color w:val="374151"/>
          <w:sz w:val="22"/>
          <w:szCs w:val="22"/>
        </w:rPr>
        <w:t xml:space="preserve">Poder de compra local — áreas de renda alta concentram redes premium (Drogasil, Raia)</w:t>
      </w:r>
    </w:p>
    <w:p>
      <w:pPr>
        <w:pStyle w:val="ListParagraph"/>
        <w:numPr>
          <w:ilvl w:val="0"/>
          <w:numId w:val="2"/>
        </w:numPr>
        <w:spacing w:after="40" w:before="40"/>
      </w:pPr>
      <w:r>
        <w:rPr>
          <w:rFonts w:ascii="Arial" w:cs="Arial" w:eastAsia="Arial" w:hAnsi="Arial"/>
          <w:b/>
          <w:bCs/>
          <w:color w:val="1B3A6B"/>
          <w:sz w:val="22"/>
          <w:szCs w:val="22"/>
        </w:rPr>
        <w:t xml:space="preserve">Health: </w:t>
      </w:r>
      <w:r>
        <w:rPr>
          <w:rFonts w:ascii="Arial" w:cs="Arial" w:eastAsia="Arial" w:hAnsi="Arial"/>
          <w:color w:val="374151"/>
          <w:sz w:val="22"/>
          <w:szCs w:val="22"/>
        </w:rPr>
        <w:t xml:space="preserve">Infraestrutura de saúde — bairros com hospitais/clínicas geram demanda adjacente de correlatos</w:t>
      </w:r>
    </w:p>
    <w:p>
      <w:pPr>
        <w:pStyle w:val="ListParagraph"/>
        <w:numPr>
          <w:ilvl w:val="0"/>
          <w:numId w:val="2"/>
        </w:numPr>
        <w:spacing w:after="40" w:before="40"/>
      </w:pPr>
      <w:r>
        <w:rPr>
          <w:rFonts w:ascii="Arial" w:cs="Arial" w:eastAsia="Arial" w:hAnsi="Arial"/>
          <w:b/>
          <w:bCs/>
          <w:color w:val="1B3A6B"/>
          <w:sz w:val="22"/>
          <w:szCs w:val="22"/>
        </w:rPr>
        <w:t xml:space="preserve">Logistics: </w:t>
      </w:r>
      <w:r>
        <w:rPr>
          <w:rFonts w:ascii="Arial" w:cs="Arial" w:eastAsia="Arial" w:hAnsi="Arial"/>
          <w:color w:val="374151"/>
          <w:sz w:val="22"/>
          <w:szCs w:val="22"/>
        </w:rPr>
        <w:t xml:space="preserve">Acessibilidade logística — PDVs existem onde há acesso; mercados isolados têm menos PDVs formais</w:t>
      </w:r>
    </w:p>
    <w:p>
      <w:pPr>
        <w:spacing w:after="120" w:before="0"/>
      </w:pPr>
      <w:r>
        <w:t xml:space="preserve"/>
      </w:r>
    </w:p>
    <w:p>
      <w:pPr>
        <w:spacing w:after="80" w:before="60"/>
        <w:jc w:val="both"/>
      </w:pPr>
      <w:r>
        <w:rPr>
          <w:rFonts w:ascii="Arial" w:cs="Arial" w:eastAsia="Arial" w:hAnsi="Arial"/>
          <w:color w:val="374151"/>
          <w:sz w:val="22"/>
          <w:szCs w:val="22"/>
        </w:rPr>
        <w:t xml:space="preserve">Esta propriedade de indicador-composto legitima o uso da contagem e composição de PDVs como o eixo central do modelo L2.</w:t>
      </w:r>
    </w:p>
    <w:p>
      <w:pPr>
        <w:spacing w:after="240" w:before="0"/>
      </w:pPr>
      <w:r>
        <w:t xml:space="preserve"/>
      </w:r>
    </w:p>
    <w:p>
      <w:r>
        <w:br w:type="page"/>
      </w:r>
    </w:p>
    <w:p>
      <w:pPr>
        <w:pStyle w:val="Heading1"/>
        <w:pBdr>
          <w:bottom w:val="single" w:color="1B3A6B" w:sz="8" w:space="4"/>
        </w:pBdr>
        <w:spacing w:after="200" w:before="400"/>
      </w:pPr>
      <w:r>
        <w:rPr>
          <w:rFonts w:ascii="Arial" w:cs="Arial" w:eastAsia="Arial" w:hAnsi="Arial"/>
          <w:b/>
          <w:bCs/>
          <w:color w:val="1B3A6B"/>
          <w:sz w:val="32"/>
          <w:szCs w:val="32"/>
        </w:rPr>
        <w:t xml:space="preserve">5. Microeconomia Regional por Bairros — Modelo L2</w:t>
      </w:r>
    </w:p>
    <w:p>
      <w:pPr>
        <w:pStyle w:val="Heading2"/>
        <w:spacing w:after="120" w:before="300"/>
      </w:pPr>
      <w:r>
        <w:rPr>
          <w:rFonts w:ascii="Arial" w:cs="Arial" w:eastAsia="Arial" w:hAnsi="Arial"/>
          <w:b/>
          <w:bCs/>
          <w:color w:val="2563EB"/>
          <w:sz w:val="26"/>
          <w:szCs w:val="26"/>
        </w:rPr>
        <w:t xml:space="preserve">5.1 A Lacuna Identificada por Daniel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after="0" w:before="0"/>
            </w:pPr>
            <w:r>
              <w:rPr>
                <w:rFonts w:ascii="Arial" w:cs="Arial" w:eastAsia="Arial" w:hAnsi="Arial"/>
                <w:i/>
                <w:iCs/>
                <w:color w:val="374151"/>
                <w:sz w:val="22"/>
                <w:szCs w:val="22"/>
              </w:rPr>
              <w:t xml:space="preserve">"Existe algum dado que você sempre quis ter para tomar decisão de expansão, mas nunca conseguiu encontrar facilmente? Microeconomia regional, por bairros."</w:t>
            </w:r>
          </w:p>
        </w:tc>
      </w:tr>
    </w:tbl>
    <w:p>
      <w:pPr>
        <w:spacing w:after="120" w:before="0"/>
      </w:pPr>
      <w:r>
        <w:t xml:space="preserve"/>
      </w:r>
    </w:p>
    <w:p>
      <w:pPr>
        <w:spacing w:after="80" w:before="60"/>
        <w:jc w:val="both"/>
      </w:pPr>
      <w:r>
        <w:rPr>
          <w:rFonts w:ascii="Arial" w:cs="Arial" w:eastAsia="Arial" w:hAnsi="Arial"/>
          <w:color w:val="374151"/>
          <w:sz w:val="22"/>
          <w:szCs w:val="22"/>
        </w:rPr>
        <w:t xml:space="preserve">Esta resposta gerou a camada L2 do Pharmasite. A microeconomia regional por bairros é o conjunto de dados que descreve, no nível de cada quarteirão ou bairro, o comportamento econômico real de consumo — diferente do dado macro municipal que agrega realidades muito distintas. Campinas, por exemplo, tem bairros Tier A (Cambuí, Flamboyant) e bairros Tier E (DIC, Ouro Verde) com dinâmicas completamente distintas de demanda, mix de produto e estratégia de positivação.</w:t>
      </w:r>
    </w:p>
    <w:p>
      <w:pPr>
        <w:spacing w:after="120" w:before="0"/>
      </w:pPr>
      <w:r>
        <w:t xml:space="preserve"/>
      </w:r>
    </w:p>
    <w:p>
      <w:pPr>
        <w:pStyle w:val="Heading2"/>
        <w:spacing w:after="120" w:before="300"/>
      </w:pPr>
      <w:r>
        <w:rPr>
          <w:rFonts w:ascii="Arial" w:cs="Arial" w:eastAsia="Arial" w:hAnsi="Arial"/>
          <w:b/>
          <w:bCs/>
          <w:color w:val="2563EB"/>
          <w:sz w:val="26"/>
          <w:szCs w:val="26"/>
        </w:rPr>
        <w:t xml:space="preserve">5.2 Conceitos-Chave do Vocabulário de Daniel</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86"/>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Termo</w:t>
            </w:r>
          </w:p>
        </w:tc>
        <w:tc>
          <w:tcPr>
            <w:tcW w:type="dxa" w:w="35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Definição Operacional</w:t>
            </w:r>
          </w:p>
        </w:tc>
        <w:tc>
          <w:tcPr>
            <w:tcW w:type="dxa" w:w="3886"/>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Aplicação no Modelo L2</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PDV (Ponto de Venda)</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Estabelecimento de varejo que comercializa correlatos</w:t>
            </w:r>
          </w:p>
        </w:tc>
        <w:tc>
          <w:tcPr>
            <w:tcW w:type="dxa" w:w="38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Variável central de saturação e oportunidade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Positivação</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Ação de tornar um produto disponível em um PDV (listar, colocar na gôndola)</w:t>
            </w:r>
          </w:p>
        </w:tc>
        <w:tc>
          <w:tcPr>
            <w:tcW w:type="dxa" w:w="38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Meta de cobertura por bairro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Positivação mínima</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Número mínimo de PDVs para atingir cobertura aceitável em um território</w:t>
            </w:r>
          </w:p>
        </w:tc>
        <w:tc>
          <w:tcPr>
            <w:tcW w:type="dxa" w:w="38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Threshold de entrada por bairro</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Mix pilar</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Composição do portfólio de produtos por categoria (dermato, suplemento, MIP, etc.)</w:t>
            </w:r>
          </w:p>
        </w:tc>
        <w:tc>
          <w:tcPr>
            <w:tcW w:type="dxa" w:w="38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Segmentação por tier socioeconômico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Marcas certas para região certa</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Alocação de SKUs premium em bairros A/B e SKUs populares em D/E</w:t>
            </w:r>
          </w:p>
        </w:tc>
        <w:tc>
          <w:tcPr>
            <w:tcW w:type="dxa" w:w="38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Regra de negócio por tier de bairro</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Microeconomia regional</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Dados econômicos granulares por bairro: renda, fluxo, concorrência</w:t>
            </w:r>
          </w:p>
        </w:tc>
        <w:tc>
          <w:tcPr>
            <w:tcW w:type="dxa" w:w="38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Input central do modelo L2</w:t>
            </w:r>
          </w:p>
        </w:tc>
      </w:tr>
    </w:tbl>
    <w:p>
      <w:pPr>
        <w:spacing w:after="120" w:before="0"/>
      </w:pPr>
      <w:r>
        <w:t xml:space="preserve"/>
      </w:r>
    </w:p>
    <w:p>
      <w:pPr>
        <w:pStyle w:val="Heading2"/>
        <w:spacing w:after="120" w:before="300"/>
      </w:pPr>
      <w:r>
        <w:rPr>
          <w:rFonts w:ascii="Arial" w:cs="Arial" w:eastAsia="Arial" w:hAnsi="Arial"/>
          <w:b/>
          <w:bCs/>
          <w:color w:val="2563EB"/>
          <w:sz w:val="26"/>
          <w:szCs w:val="26"/>
        </w:rPr>
        <w:t xml:space="preserve">5.3 Arquitetura do Modelo L2</w:t>
      </w:r>
    </w:p>
    <w:p>
      <w:pPr>
        <w:spacing w:after="80" w:before="60"/>
        <w:jc w:val="left"/>
      </w:pPr>
      <w:r>
        <w:rPr>
          <w:rFonts w:ascii="Arial" w:cs="Arial" w:eastAsia="Arial" w:hAnsi="Arial"/>
          <w:color w:val="374151"/>
          <w:sz w:val="22"/>
          <w:szCs w:val="22"/>
        </w:rPr>
        <w:t xml:space="preserve">O modelo L2 opera em 3 etapas sobre os 26 bairros analisados de Campinas:</w:t>
      </w:r>
    </w:p>
    <w:p>
      <w:pPr>
        <w:pStyle w:val="Heading3"/>
        <w:spacing w:after="80" w:before="200"/>
      </w:pPr>
      <w:r>
        <w:rPr>
          <w:rFonts w:ascii="Arial" w:cs="Arial" w:eastAsia="Arial" w:hAnsi="Arial"/>
          <w:b/>
          <w:bCs/>
          <w:color w:val="374151"/>
          <w:sz w:val="22"/>
          <w:szCs w:val="22"/>
        </w:rPr>
        <w:t xml:space="preserve">Etapa 1 — Coleta de PDVs via OpenStreetMap</w:t>
      </w:r>
    </w:p>
    <w:p>
      <w:pPr>
        <w:pStyle w:val="ListParagraph"/>
        <w:numPr>
          <w:ilvl w:val="0"/>
          <w:numId w:val="2"/>
        </w:numPr>
        <w:spacing w:after="40" w:before="40"/>
      </w:pPr>
      <w:r>
        <w:rPr>
          <w:rFonts w:ascii="Arial" w:cs="Arial" w:eastAsia="Arial" w:hAnsi="Arial"/>
          <w:color w:val="374151"/>
          <w:sz w:val="22"/>
          <w:szCs w:val="22"/>
        </w:rPr>
        <w:t xml:space="preserve">104 farmácias mapeadas com lat/lon, nome e marca</w:t>
      </w:r>
    </w:p>
    <w:p>
      <w:pPr>
        <w:pStyle w:val="ListParagraph"/>
        <w:numPr>
          <w:ilvl w:val="0"/>
          <w:numId w:val="2"/>
        </w:numPr>
        <w:spacing w:after="40" w:before="40"/>
      </w:pPr>
      <w:r>
        <w:rPr>
          <w:rFonts w:ascii="Arial" w:cs="Arial" w:eastAsia="Arial" w:hAnsi="Arial"/>
          <w:color w:val="374151"/>
          <w:sz w:val="22"/>
          <w:szCs w:val="22"/>
        </w:rPr>
        <w:t xml:space="preserve">Classificadas em: Big Chain (Drogasil, Raia, DSP, Pague Menos), Popular Chain (Drogão Super, Drogal, Farmáxima) e Independente</w:t>
      </w:r>
    </w:p>
    <w:p>
      <w:pPr>
        <w:pStyle w:val="ListParagraph"/>
        <w:numPr>
          <w:ilvl w:val="0"/>
          <w:numId w:val="2"/>
        </w:numPr>
        <w:spacing w:after="40" w:before="40"/>
      </w:pPr>
      <w:r>
        <w:rPr>
          <w:rFonts w:ascii="Arial" w:cs="Arial" w:eastAsia="Arial" w:hAnsi="Arial"/>
          <w:color w:val="374151"/>
          <w:sz w:val="22"/>
          <w:szCs w:val="22"/>
        </w:rPr>
        <w:t xml:space="preserve">Assignadas ao bairro mais próximo via distância haversine</w:t>
      </w:r>
    </w:p>
    <w:p>
      <w:pPr>
        <w:spacing w:after="120" w:before="0"/>
      </w:pPr>
      <w:r>
        <w:t xml:space="preserve"/>
      </w:r>
    </w:p>
    <w:p>
      <w:pPr>
        <w:pStyle w:val="Heading3"/>
        <w:spacing w:after="80" w:before="200"/>
      </w:pPr>
      <w:r>
        <w:rPr>
          <w:rFonts w:ascii="Arial" w:cs="Arial" w:eastAsia="Arial" w:hAnsi="Arial"/>
          <w:b/>
          <w:bCs/>
          <w:color w:val="374151"/>
          <w:sz w:val="22"/>
          <w:szCs w:val="22"/>
        </w:rPr>
        <w:t xml:space="preserve">Etapa 2 — Métricas por Bairro</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86"/>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Métrica</w:t>
            </w:r>
          </w:p>
        </w:tc>
        <w:tc>
          <w:tcPr>
            <w:tcW w:type="dxa" w:w="30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Cálculo</w:t>
            </w:r>
          </w:p>
        </w:tc>
        <w:tc>
          <w:tcPr>
            <w:tcW w:type="dxa" w:w="4186"/>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Interpreta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n_pdv</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Contagem de PDVs atribuídos ao bairro</w:t>
            </w:r>
          </w:p>
        </w:tc>
        <w:tc>
          <w:tcPr>
            <w:tcW w:type="dxa" w:w="41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Volume de mercado existente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density_pdv_km²</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n_pdv / área_km²</w:t>
            </w:r>
          </w:p>
        </w:tc>
        <w:tc>
          <w:tcPr>
            <w:tcW w:type="dxa" w:w="41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Intensidade de cobertura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market_hhi</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Índice Herfindahl-Hirschman das marcas</w:t>
            </w:r>
          </w:p>
        </w:tc>
        <w:tc>
          <w:tcPr>
            <w:tcW w:type="dxa" w:w="41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Concentração — alto = mercado dominado</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saturation_score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Fn(densidade × 0,6 + chain_ratio × 0,4) × 100</w:t>
            </w:r>
          </w:p>
        </w:tc>
        <w:tc>
          <w:tcPr>
            <w:tcW w:type="dxa" w:w="41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Grau de ocupação do mercado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demand_score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Fn(renda/renda_max × pop_density/5) × 100</w:t>
            </w:r>
          </w:p>
        </w:tc>
        <w:tc>
          <w:tcPr>
            <w:tcW w:type="dxa" w:w="41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Potencial de consumo</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opportunity_score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max(demand − saturation × 0,6, 5)</w:t>
            </w:r>
          </w:p>
        </w:tc>
        <w:tc>
          <w:tcPr>
            <w:tcW w:type="dxa" w:w="41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Janela de entrada — maior = melhor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chain_entry_gap</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PDVs independentes × 100</w:t>
            </w:r>
          </w:p>
        </w:tc>
        <w:tc>
          <w:tcPr>
            <w:tcW w:type="dxa" w:w="41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Abertura para rede formal entrar</w:t>
            </w:r>
          </w:p>
        </w:tc>
      </w:tr>
    </w:tbl>
    <w:p>
      <w:pPr>
        <w:spacing w:after="120" w:before="0"/>
      </w:pPr>
      <w:r>
        <w:t xml:space="preserve"/>
      </w:r>
    </w:p>
    <w:p>
      <w:pPr>
        <w:pStyle w:val="Heading3"/>
        <w:spacing w:after="80" w:before="200"/>
      </w:pPr>
      <w:r>
        <w:rPr>
          <w:rFonts w:ascii="Arial" w:cs="Arial" w:eastAsia="Arial" w:hAnsi="Arial"/>
          <w:b/>
          <w:bCs/>
          <w:color w:val="374151"/>
          <w:sz w:val="22"/>
          <w:szCs w:val="22"/>
        </w:rPr>
        <w:t xml:space="preserve">Etapa 3 — Classificação de Oportunidade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86"/>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Label</w:t>
            </w:r>
          </w:p>
        </w:tc>
        <w:tc>
          <w:tcPr>
            <w:tcW w:type="dxa" w:w="25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Range Opportunity Score</w:t>
            </w:r>
          </w:p>
        </w:tc>
        <w:tc>
          <w:tcPr>
            <w:tcW w:type="dxa" w:w="4686"/>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Estratégia Recomendada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Alta Oportunidade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45</w:t>
            </w:r>
          </w:p>
        </w:tc>
        <w:tc>
          <w:tcPr>
            <w:tcW w:type="dxa" w:w="46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Positivação imediata — baixa saturação com demanda elevada</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Média Oportunidade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25–44</w:t>
            </w:r>
          </w:p>
        </w:tc>
        <w:tc>
          <w:tcPr>
            <w:tcW w:type="dxa" w:w="46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Entrada seletiva por categoria ou marca específica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Baixa / Saturado</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&lt; 25</w:t>
            </w:r>
          </w:p>
        </w:tc>
        <w:tc>
          <w:tcPr>
            <w:tcW w:type="dxa" w:w="46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Defender share; foco em diferenciação (dermocosm., manipulação)</w:t>
            </w:r>
          </w:p>
        </w:tc>
      </w:tr>
    </w:tbl>
    <w:p>
      <w:pPr>
        <w:spacing w:after="240" w:before="0"/>
      </w:pPr>
      <w:r>
        <w:t xml:space="preserve"/>
      </w:r>
    </w:p>
    <w:p>
      <w:r>
        <w:br w:type="page"/>
      </w:r>
    </w:p>
    <w:p>
      <w:pPr>
        <w:pStyle w:val="Heading1"/>
        <w:pBdr>
          <w:bottom w:val="single" w:color="1B3A6B" w:sz="8" w:space="4"/>
        </w:pBdr>
        <w:spacing w:after="200" w:before="400"/>
      </w:pPr>
      <w:r>
        <w:rPr>
          <w:rFonts w:ascii="Arial" w:cs="Arial" w:eastAsia="Arial" w:hAnsi="Arial"/>
          <w:b/>
          <w:bCs/>
          <w:color w:val="1B3A6B"/>
          <w:sz w:val="32"/>
          <w:szCs w:val="32"/>
        </w:rPr>
        <w:t xml:space="preserve">6. Resultados L2 — Campinas por Bairros</w:t>
      </w:r>
    </w:p>
    <w:p>
      <w:pPr>
        <w:pStyle w:val="Heading2"/>
        <w:spacing w:after="120" w:before="300"/>
      </w:pPr>
      <w:r>
        <w:rPr>
          <w:rFonts w:ascii="Arial" w:cs="Arial" w:eastAsia="Arial" w:hAnsi="Arial"/>
          <w:b/>
          <w:bCs/>
          <w:color w:val="2563EB"/>
          <w:sz w:val="26"/>
          <w:szCs w:val="26"/>
        </w:rPr>
        <w:t xml:space="preserve">6.1 Ranking de Oportunidade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700"/>
        <w:gridCol w:w="700"/>
        <w:gridCol w:w="900"/>
        <w:gridCol w:w="900"/>
        <w:gridCol w:w="3186"/>
      </w:tblGrid>
      <w:tr>
        <w:trPr>
          <w:tblHeader/>
        </w:trPr>
        <w:tc>
          <w:tcPr>
            <w:tcW w:type="dxa" w:w="4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t>
            </w:r>
          </w:p>
        </w:tc>
        <w:tc>
          <w:tcPr>
            <w:tcW w:type="dxa" w:w="26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Bairro</w:t>
            </w:r>
          </w:p>
        </w:tc>
        <w:tc>
          <w:tcPr>
            <w:tcW w:type="dxa" w:w="7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Tier</w:t>
            </w:r>
          </w:p>
        </w:tc>
        <w:tc>
          <w:tcPr>
            <w:tcW w:type="dxa" w:w="7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PDVs</w:t>
            </w:r>
          </w:p>
        </w:tc>
        <w:tc>
          <w:tcPr>
            <w:tcW w:type="dxa" w:w="9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Oport.</w:t>
            </w:r>
          </w:p>
        </w:tc>
        <w:tc>
          <w:tcPr>
            <w:tcW w:type="dxa" w:w="9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Satur.</w:t>
            </w:r>
          </w:p>
        </w:tc>
        <w:tc>
          <w:tcPr>
            <w:tcW w:type="dxa" w:w="3186"/>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Top Marcas Presentes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Jardim Flamboyant</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51.4</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14.3</w:t>
            </w:r>
          </w:p>
        </w:tc>
        <w:tc>
          <w:tcPr>
            <w:tcW w:type="dxa" w:w="31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Farmaxima, Medfarma</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Bonfim</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26.4</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0.0</w:t>
            </w:r>
          </w:p>
        </w:tc>
        <w:tc>
          <w:tcPr>
            <w:tcW w:type="dxa" w:w="31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(sem dados OSM)</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Cambuí</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24.8</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92.0</w:t>
            </w:r>
          </w:p>
        </w:tc>
        <w:tc>
          <w:tcPr>
            <w:tcW w:type="dxa" w:w="31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Droga Raia, Drogasil, DSP, Pague Menos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Nova Campinas</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24.5</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0.0</w:t>
            </w:r>
          </w:p>
        </w:tc>
        <w:tc>
          <w:tcPr>
            <w:tcW w:type="dxa" w:w="31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 (sem dados OSM)</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Jardim Chapadão</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21.7</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7.9</w:t>
            </w:r>
          </w:p>
        </w:tc>
        <w:tc>
          <w:tcPr>
            <w:tcW w:type="dxa" w:w="31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Multidrogas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6</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Barão Geraldo</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7</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21.2</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25.9</w:t>
            </w:r>
          </w:p>
        </w:tc>
        <w:tc>
          <w:tcPr>
            <w:tcW w:type="dxa" w:w="31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Cia. das Ervas, Vitoria, Farmáxima</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7</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Mansões Sto. Antônio</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6</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20.6</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32.4</w:t>
            </w:r>
          </w:p>
        </w:tc>
        <w:tc>
          <w:tcPr>
            <w:tcW w:type="dxa" w:w="31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Drogasil, Farmahorro, Farmadic</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Castelo</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w:t>
            </w:r>
          </w:p>
        </w:tc>
        <w:tc>
          <w:tcPr>
            <w:tcW w:type="dxa" w:w="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12</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5.0</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73.3</w:t>
            </w:r>
          </w:p>
        </w:tc>
        <w:tc>
          <w:tcPr>
            <w:tcW w:type="dxa" w:w="31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Botica Artesanal, Farma Plus, Pague Menos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Campo Grande</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17</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5.0</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78.8</w:t>
            </w:r>
          </w:p>
        </w:tc>
        <w:tc>
          <w:tcPr>
            <w:tcW w:type="dxa" w:w="31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Drogasil, Drogal, Droga Marques</w:t>
            </w:r>
          </w:p>
        </w:tc>
      </w:tr>
    </w:tbl>
    <w:p>
      <w:pPr>
        <w:spacing w:after="120" w:before="0"/>
      </w:pPr>
      <w:r>
        <w:t xml:space="preserve"/>
      </w:r>
    </w:p>
    <w:p>
      <w:pPr>
        <w:pStyle w:val="Heading2"/>
        <w:spacing w:after="120" w:before="300"/>
      </w:pPr>
      <w:r>
        <w:rPr>
          <w:rFonts w:ascii="Arial" w:cs="Arial" w:eastAsia="Arial" w:hAnsi="Arial"/>
          <w:b/>
          <w:bCs/>
          <w:color w:val="2563EB"/>
          <w:sz w:val="26"/>
          <w:szCs w:val="26"/>
        </w:rPr>
        <w:t xml:space="preserve">6.2 Insights por Bairro</w:t>
      </w:r>
    </w:p>
    <w:p>
      <w:pPr>
        <w:pStyle w:val="Heading3"/>
        <w:spacing w:after="80" w:before="200"/>
      </w:pPr>
      <w:r>
        <w:rPr>
          <w:rFonts w:ascii="Arial" w:cs="Arial" w:eastAsia="Arial" w:hAnsi="Arial"/>
          <w:b/>
          <w:bCs/>
          <w:color w:val="374151"/>
          <w:sz w:val="22"/>
          <w:szCs w:val="22"/>
        </w:rPr>
        <w:t xml:space="preserve">Jardim Flamboyant — Oportunidade Alta</w:t>
      </w:r>
    </w:p>
    <w:p>
      <w:pPr>
        <w:spacing w:after="80" w:before="60"/>
        <w:jc w:val="both"/>
      </w:pPr>
      <w:r>
        <w:rPr>
          <w:rFonts w:ascii="Arial" w:cs="Arial" w:eastAsia="Arial" w:hAnsi="Arial"/>
          <w:color w:val="374151"/>
          <w:sz w:val="22"/>
          <w:szCs w:val="22"/>
        </w:rPr>
        <w:t xml:space="preserve">Bairro Tier A com apenas 2 PDVs mapeados e saturação de 14.3 — a menor entre os bairros Tier A/B. As marcas presentes são regionais (Farmaxima, Medfarma), sem presença de grandes redes nacionais. Perfil ideal para entrada de Drogasil ou Droga Raia com mix premium (dermocosméticos, suplementos, higiene pessoal). Oportunidade score: 51.4.</w:t>
      </w:r>
    </w:p>
    <w:p>
      <w:pPr>
        <w:pStyle w:val="Heading3"/>
        <w:spacing w:after="80" w:before="200"/>
      </w:pPr>
      <w:r>
        <w:rPr>
          <w:rFonts w:ascii="Arial" w:cs="Arial" w:eastAsia="Arial" w:hAnsi="Arial"/>
          <w:b/>
          <w:bCs/>
          <w:color w:val="374151"/>
          <w:sz w:val="22"/>
          <w:szCs w:val="22"/>
        </w:rPr>
        <w:t xml:space="preserve">Cambuí — Mercado Saturado, Defender</w:t>
      </w:r>
    </w:p>
    <w:p>
      <w:pPr>
        <w:spacing w:after="80" w:before="60"/>
        <w:jc w:val="both"/>
      </w:pPr>
      <w:r>
        <w:rPr>
          <w:rFonts w:ascii="Arial" w:cs="Arial" w:eastAsia="Arial" w:hAnsi="Arial"/>
          <w:color w:val="374151"/>
          <w:sz w:val="22"/>
          <w:szCs w:val="22"/>
        </w:rPr>
        <w:t xml:space="preserve">Apesar do Tier A e renda proxy de R$8.500, a saturação de 92.0 indica mercado dominado: Droga Raia, Drogasil, DSP e Pague Menos já presentes. Estratégia recomendada: diferenciação por categoria especializada (manipulação, saúde animal, dermofarmácia premium), não entrada competitiva direta.</w:t>
      </w:r>
    </w:p>
    <w:p>
      <w:pPr>
        <w:pStyle w:val="Heading3"/>
        <w:spacing w:after="80" w:before="200"/>
      </w:pPr>
      <w:r>
        <w:rPr>
          <w:rFonts w:ascii="Arial" w:cs="Arial" w:eastAsia="Arial" w:hAnsi="Arial"/>
          <w:b/>
          <w:bCs/>
          <w:color w:val="374151"/>
          <w:sz w:val="22"/>
          <w:szCs w:val="22"/>
        </w:rPr>
        <w:t xml:space="preserve">Campo Grande — Oportunidade Popular Inexplorada</w:t>
      </w:r>
    </w:p>
    <w:p>
      <w:pPr>
        <w:spacing w:after="80" w:before="60"/>
        <w:jc w:val="both"/>
      </w:pPr>
      <w:r>
        <w:rPr>
          <w:rFonts w:ascii="Arial" w:cs="Arial" w:eastAsia="Arial" w:hAnsi="Arial"/>
          <w:color w:val="374151"/>
          <w:sz w:val="22"/>
          <w:szCs w:val="22"/>
        </w:rPr>
        <w:t xml:space="preserve">17 PDVs mapeados em bairro Tier E — o maior volume entre todos os bairros. Mercado hiperativo com marcas populares (Drogasil, Drogal, Droga Marques). Renda proxy de R$1.100. Perfil: volume alto, margens baixas. Estratégia: positivação de SKUs de giro rápido (MIP, higiene, itens de primeira necessidade) com marcas populares de alto giro.</w:t>
      </w:r>
    </w:p>
    <w:p>
      <w:pPr>
        <w:pStyle w:val="Heading3"/>
        <w:spacing w:after="80" w:before="200"/>
      </w:pPr>
      <w:r>
        <w:rPr>
          <w:rFonts w:ascii="Arial" w:cs="Arial" w:eastAsia="Arial" w:hAnsi="Arial"/>
          <w:b/>
          <w:bCs/>
          <w:color w:val="374151"/>
          <w:sz w:val="22"/>
          <w:szCs w:val="22"/>
        </w:rPr>
        <w:t xml:space="preserve">Barão Geraldo — Oportunidade de Nicho</w:t>
      </w:r>
    </w:p>
    <w:p>
      <w:pPr>
        <w:spacing w:after="80" w:before="60"/>
        <w:jc w:val="both"/>
      </w:pPr>
      <w:r>
        <w:rPr>
          <w:rFonts w:ascii="Arial" w:cs="Arial" w:eastAsia="Arial" w:hAnsi="Arial"/>
          <w:color w:val="374151"/>
          <w:sz w:val="22"/>
          <w:szCs w:val="22"/>
        </w:rPr>
        <w:t xml:space="preserve">Bairro universitário (UNICAMP) Tier B com 7 PDVs, predominância de marcas independentes e regionais. Alta concentração de jovens adultos e pesquisadores. Perfil: oportunidade para categorias de saúde específicas — suplementos, dermocosméticos clínicos, produtos de bienestar — com marca de posicionamento científico.</w:t>
      </w:r>
    </w:p>
    <w:p>
      <w:pPr>
        <w:spacing w:after="240" w:before="0"/>
      </w:pPr>
      <w:r>
        <w:t xml:space="preserve"/>
      </w:r>
    </w:p>
    <w:p>
      <w:r>
        <w:br w:type="page"/>
      </w:r>
    </w:p>
    <w:p>
      <w:pPr>
        <w:pStyle w:val="Heading1"/>
        <w:pBdr>
          <w:bottom w:val="single" w:color="1B3A6B" w:sz="8" w:space="4"/>
        </w:pBdr>
        <w:spacing w:after="200" w:before="400"/>
      </w:pPr>
      <w:r>
        <w:rPr>
          <w:rFonts w:ascii="Arial" w:cs="Arial" w:eastAsia="Arial" w:hAnsi="Arial"/>
          <w:b/>
          <w:bCs/>
          <w:color w:val="1B3A6B"/>
          <w:sz w:val="32"/>
          <w:szCs w:val="32"/>
        </w:rPr>
        <w:t xml:space="preserve">7. Stack Técnica e Arquitetura do Pipeline</w:t>
      </w:r>
    </w:p>
    <w:p>
      <w:pPr>
        <w:pStyle w:val="Heading2"/>
        <w:spacing w:after="120" w:before="300"/>
      </w:pPr>
      <w:r>
        <w:rPr>
          <w:rFonts w:ascii="Arial" w:cs="Arial" w:eastAsia="Arial" w:hAnsi="Arial"/>
          <w:b/>
          <w:bCs/>
          <w:color w:val="2563EB"/>
          <w:sz w:val="26"/>
          <w:szCs w:val="26"/>
        </w:rPr>
        <w:t xml:space="preserve">7.1 Componentes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86"/>
      </w:tblGrid>
      <w:tr>
        <w:trPr>
          <w:tblHeader/>
        </w:trPr>
        <w:tc>
          <w:tcPr>
            <w:tcW w:type="dxa" w:w="25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Componente</w:t>
            </w:r>
          </w:p>
        </w:tc>
        <w:tc>
          <w:tcPr>
            <w:tcW w:type="dxa" w:w="28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Tecnologia</w:t>
            </w:r>
          </w:p>
        </w:tc>
        <w:tc>
          <w:tcPr>
            <w:tcW w:type="dxa" w:w="4086"/>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Função</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Pipeline de dados L1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Python 3 + pandas + scikit-learn</w:t>
            </w:r>
          </w:p>
        </w:tc>
        <w:tc>
          <w:tcPr>
            <w:tcW w:type="dxa" w:w="40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Scoring de 608 municípios SP</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Cache sintético</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JSON + CSV calibrados</w:t>
            </w:r>
          </w:p>
        </w:tc>
        <w:tc>
          <w:tcPr>
            <w:tcW w:type="dxa" w:w="40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Substitui APIs externas bloqueadas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Score offline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score_offline.py</w:t>
            </w:r>
          </w:p>
        </w:tc>
        <w:tc>
          <w:tcPr>
            <w:tcW w:type="dxa" w:w="40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Pipeline 100% sem rede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Pipeline L2</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l2_campinas.py (Python)</w:t>
            </w:r>
          </w:p>
        </w:tc>
        <w:tc>
          <w:tcPr>
            <w:tcW w:type="dxa" w:w="40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Scoring de 26 bairros de Campinas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Dashboard L1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HTML + Chart.js (self-contained)</w:t>
            </w:r>
          </w:p>
        </w:tc>
        <w:tc>
          <w:tcPr>
            <w:tcW w:type="dxa" w:w="40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Visualização de 597 municípios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Dashboard L2</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HTML + Leaflet.js + Chart.js</w:t>
            </w:r>
          </w:p>
        </w:tc>
        <w:tc>
          <w:tcPr>
            <w:tcW w:type="dxa" w:w="40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Mapa interativo de oportunidade por bairro</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API REST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FastAPI (porta 8002)</w:t>
            </w:r>
          </w:p>
        </w:tc>
        <w:tc>
          <w:tcPr>
            <w:tcW w:type="dxa" w:w="40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Endpoints: /municipios, /stats, /analise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Dados OSM</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Overpass API / coleta manual</w:t>
            </w:r>
          </w:p>
        </w:tc>
        <w:tc>
          <w:tcPr>
            <w:tcW w:type="dxa" w:w="40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104 farmácias Campinas com coordenadas</w:t>
            </w:r>
          </w:p>
        </w:tc>
      </w:tr>
    </w:tbl>
    <w:p>
      <w:pPr>
        <w:spacing w:after="120" w:before="0"/>
      </w:pPr>
      <w:r>
        <w:t xml:space="preserve"/>
      </w:r>
    </w:p>
    <w:p>
      <w:pPr>
        <w:pStyle w:val="Heading2"/>
        <w:spacing w:after="120" w:before="300"/>
      </w:pPr>
      <w:r>
        <w:rPr>
          <w:rFonts w:ascii="Arial" w:cs="Arial" w:eastAsia="Arial" w:hAnsi="Arial"/>
          <w:b/>
          <w:bCs/>
          <w:color w:val="2563EB"/>
          <w:sz w:val="26"/>
          <w:szCs w:val="26"/>
        </w:rPr>
        <w:t xml:space="preserve">7.2 Arquivos Entregues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0"/>
        <w:gridCol w:w="6186"/>
      </w:tblGrid>
      <w:tr>
        <w:trPr>
          <w:tblHeader/>
        </w:trPr>
        <w:tc>
          <w:tcPr>
            <w:tcW w:type="dxa" w:w="32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Arquivo</w:t>
            </w:r>
          </w:p>
        </w:tc>
        <w:tc>
          <w:tcPr>
            <w:tcW w:type="dxa" w:w="6186"/>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Descrição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score_offline.py</w:t>
            </w:r>
          </w:p>
        </w:tc>
        <w:tc>
          <w:tcPr>
            <w:tcW w:type="dxa" w:w="61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Pipeline de scoring L1 sem dependência de rede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generate_cache_synthetic.py</w:t>
            </w:r>
          </w:p>
        </w:tc>
        <w:tc>
          <w:tcPr>
            <w:tcW w:type="dxa" w:w="61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Gerador de cache sintético para 608 municípios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municipios_sp_scored.csv</w:t>
            </w:r>
          </w:p>
        </w:tc>
        <w:tc>
          <w:tcPr>
            <w:tcW w:type="dxa" w:w="61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Output L1: 597 municípios rankeados (26 colunas)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dashboard.html</w:t>
            </w:r>
          </w:p>
        </w:tc>
        <w:tc>
          <w:tcPr>
            <w:tcW w:type="dxa" w:w="61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Dashboard L1 self-contained com 597 municípios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l2_campinas.py</w:t>
            </w:r>
          </w:p>
        </w:tc>
        <w:tc>
          <w:tcPr>
            <w:tcW w:type="dxa" w:w="61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Pipeline de scoring L2 para bairros de Campinas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l2_campinas_scores.csv</w:t>
            </w:r>
          </w:p>
        </w:tc>
        <w:tc>
          <w:tcPr>
            <w:tcW w:type="dxa" w:w="61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Output L2: 26 bairros rankeados por oportunidade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l2_campinas_scores.json</w:t>
            </w:r>
          </w:p>
        </w:tc>
        <w:tc>
          <w:tcPr>
            <w:tcW w:type="dxa" w:w="61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Output L2 completo com PDVs por bairro</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l2_campinas.html</w:t>
            </w:r>
          </w:p>
        </w:tc>
        <w:tc>
          <w:tcPr>
            <w:tcW w:type="dxa" w:w="61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Dashboard L2 com mapa Leaflet interativo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campinas_pharmacies_osm.json</w:t>
            </w:r>
          </w:p>
        </w:tc>
        <w:tc>
          <w:tcPr>
            <w:tcW w:type="dxa" w:w="61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Dados brutos OSM: 104 farmácias Campinas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api.py</w:t>
            </w:r>
          </w:p>
        </w:tc>
        <w:tc>
          <w:tcPr>
            <w:tcW w:type="dxa" w:w="618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FastAPI REST server (porta 8002)</w:t>
            </w:r>
          </w:p>
        </w:tc>
      </w:tr>
    </w:tbl>
    <w:p>
      <w:pPr>
        <w:spacing w:after="240" w:before="0"/>
      </w:pPr>
      <w:r>
        <w:t xml:space="preserve"/>
      </w:r>
    </w:p>
    <w:p>
      <w:r>
        <w:br w:type="page"/>
      </w:r>
    </w:p>
    <w:p>
      <w:pPr>
        <w:pStyle w:val="Heading1"/>
        <w:pBdr>
          <w:bottom w:val="single" w:color="1B3A6B" w:sz="8" w:space="4"/>
        </w:pBdr>
        <w:spacing w:after="200" w:before="400"/>
      </w:pPr>
      <w:r>
        <w:rPr>
          <w:rFonts w:ascii="Arial" w:cs="Arial" w:eastAsia="Arial" w:hAnsi="Arial"/>
          <w:b/>
          <w:bCs/>
          <w:color w:val="1B3A6B"/>
          <w:sz w:val="32"/>
          <w:szCs w:val="32"/>
        </w:rPr>
        <w:t xml:space="preserve">8. Próximos Passos</w:t>
      </w:r>
    </w:p>
    <w:p>
      <w:pPr>
        <w:pStyle w:val="Heading2"/>
        <w:spacing w:after="120" w:before="300"/>
      </w:pPr>
      <w:r>
        <w:rPr>
          <w:rFonts w:ascii="Arial" w:cs="Arial" w:eastAsia="Arial" w:hAnsi="Arial"/>
          <w:b/>
          <w:bCs/>
          <w:color w:val="2563EB"/>
          <w:sz w:val="26"/>
          <w:szCs w:val="26"/>
        </w:rPr>
        <w:t xml:space="preserve">8.1 Curto Prazo (1-2 semanas)</w:t>
      </w:r>
    </w:p>
    <w:p>
      <w:pPr>
        <w:pStyle w:val="ListParagraph"/>
        <w:numPr>
          <w:ilvl w:val="0"/>
          <w:numId w:val="2"/>
        </w:numPr>
        <w:spacing w:after="40" w:before="40"/>
      </w:pPr>
      <w:r>
        <w:rPr>
          <w:rFonts w:ascii="Arial" w:cs="Arial" w:eastAsia="Arial" w:hAnsi="Arial"/>
          <w:color w:val="374151"/>
          <w:sz w:val="22"/>
          <w:szCs w:val="22"/>
        </w:rPr>
        <w:t xml:space="preserve">Integrar dados reais do IBGE (Censo 2022 setores censitários via shapefile) para substituir os centroides manuais de bairros</w:t>
      </w:r>
    </w:p>
    <w:p>
      <w:pPr>
        <w:pStyle w:val="ListParagraph"/>
        <w:numPr>
          <w:ilvl w:val="0"/>
          <w:numId w:val="2"/>
        </w:numPr>
        <w:spacing w:after="40" w:before="40"/>
      </w:pPr>
      <w:r>
        <w:rPr>
          <w:rFonts w:ascii="Arial" w:cs="Arial" w:eastAsia="Arial" w:hAnsi="Arial"/>
          <w:color w:val="374151"/>
          <w:sz w:val="22"/>
          <w:szCs w:val="22"/>
        </w:rPr>
        <w:t xml:space="preserve">Coletar dados de CNPJ Receita Federal (CNAE 4771-7) para completar o mapa de PDVs com estabelecimentos não presentes no OSM</w:t>
      </w:r>
    </w:p>
    <w:p>
      <w:pPr>
        <w:pStyle w:val="ListParagraph"/>
        <w:numPr>
          <w:ilvl w:val="0"/>
          <w:numId w:val="2"/>
        </w:numPr>
        <w:spacing w:after="40" w:before="40"/>
      </w:pPr>
      <w:r>
        <w:rPr>
          <w:rFonts w:ascii="Arial" w:cs="Arial" w:eastAsia="Arial" w:hAnsi="Arial"/>
          <w:color w:val="374151"/>
          <w:sz w:val="22"/>
          <w:szCs w:val="22"/>
        </w:rPr>
        <w:t xml:space="preserve">Estender análise L2 para Paulínia, Jundiaí e Vinhedo (top 3 municípios L1 após SP)</w:t>
      </w:r>
    </w:p>
    <w:p>
      <w:pPr>
        <w:pStyle w:val="ListParagraph"/>
        <w:numPr>
          <w:ilvl w:val="0"/>
          <w:numId w:val="2"/>
        </w:numPr>
        <w:spacing w:after="40" w:before="40"/>
      </w:pPr>
      <w:r>
        <w:rPr>
          <w:rFonts w:ascii="Arial" w:cs="Arial" w:eastAsia="Arial" w:hAnsi="Arial"/>
          <w:color w:val="374151"/>
          <w:sz w:val="22"/>
          <w:szCs w:val="22"/>
        </w:rPr>
        <w:t xml:space="preserve">Calibrar o modelo L2 com dados reais de campo fornecidos por Daniel (histórico de positivações e resultados por bairro)</w:t>
      </w:r>
    </w:p>
    <w:p>
      <w:pPr>
        <w:spacing w:after="120" w:before="0"/>
      </w:pPr>
      <w:r>
        <w:t xml:space="preserve"/>
      </w:r>
    </w:p>
    <w:p>
      <w:pPr>
        <w:pStyle w:val="Heading2"/>
        <w:spacing w:after="120" w:before="300"/>
      </w:pPr>
      <w:r>
        <w:rPr>
          <w:rFonts w:ascii="Arial" w:cs="Arial" w:eastAsia="Arial" w:hAnsi="Arial"/>
          <w:b/>
          <w:bCs/>
          <w:color w:val="2563EB"/>
          <w:sz w:val="26"/>
          <w:szCs w:val="26"/>
        </w:rPr>
        <w:t xml:space="preserve">8.2 Médio Prazo (1-2 meses)</w:t>
      </w:r>
    </w:p>
    <w:p>
      <w:pPr>
        <w:pStyle w:val="ListParagraph"/>
        <w:numPr>
          <w:ilvl w:val="0"/>
          <w:numId w:val="2"/>
        </w:numPr>
        <w:spacing w:after="40" w:before="40"/>
      </w:pPr>
      <w:r>
        <w:rPr>
          <w:rFonts w:ascii="Arial" w:cs="Arial" w:eastAsia="Arial" w:hAnsi="Arial"/>
          <w:color w:val="374151"/>
          <w:sz w:val="22"/>
          <w:szCs w:val="22"/>
        </w:rPr>
        <w:t xml:space="preserve">Integrar índice de positivação mínima por bairro (threshold de cobertura para cada categoria de produto)</w:t>
      </w:r>
    </w:p>
    <w:p>
      <w:pPr>
        <w:pStyle w:val="ListParagraph"/>
        <w:numPr>
          <w:ilvl w:val="0"/>
          <w:numId w:val="2"/>
        </w:numPr>
        <w:spacing w:after="40" w:before="40"/>
      </w:pPr>
      <w:r>
        <w:rPr>
          <w:rFonts w:ascii="Arial" w:cs="Arial" w:eastAsia="Arial" w:hAnsi="Arial"/>
          <w:color w:val="374151"/>
          <w:sz w:val="22"/>
          <w:szCs w:val="22"/>
        </w:rPr>
        <w:t xml:space="preserve">Adicionar camada de mix pilar por tier socioeconômico: recomendação automática de categorias prioritárias por bairro</w:t>
      </w:r>
    </w:p>
    <w:p>
      <w:pPr>
        <w:pStyle w:val="ListParagraph"/>
        <w:numPr>
          <w:ilvl w:val="0"/>
          <w:numId w:val="2"/>
        </w:numPr>
        <w:spacing w:after="40" w:before="40"/>
      </w:pPr>
      <w:r>
        <w:rPr>
          <w:rFonts w:ascii="Arial" w:cs="Arial" w:eastAsia="Arial" w:hAnsi="Arial"/>
          <w:color w:val="374151"/>
          <w:sz w:val="22"/>
          <w:szCs w:val="22"/>
        </w:rPr>
        <w:t xml:space="preserve">Construir API de consulta por CNPJ para validar PDVs cliente já ativos vs. potenciais</w:t>
      </w:r>
    </w:p>
    <w:p>
      <w:pPr>
        <w:pStyle w:val="ListParagraph"/>
        <w:numPr>
          <w:ilvl w:val="0"/>
          <w:numId w:val="2"/>
        </w:numPr>
        <w:spacing w:after="40" w:before="40"/>
      </w:pPr>
      <w:r>
        <w:rPr>
          <w:rFonts w:ascii="Arial" w:cs="Arial" w:eastAsia="Arial" w:hAnsi="Arial"/>
          <w:color w:val="374151"/>
          <w:sz w:val="22"/>
          <w:szCs w:val="22"/>
        </w:rPr>
        <w:t xml:space="preserve">Integrar Google Places API (via Google One Ultra / Gemini) para enriquecer dados de PDVs com reviews, horários e tráfego estimado</w:t>
      </w:r>
    </w:p>
    <w:p>
      <w:pPr>
        <w:pStyle w:val="ListParagraph"/>
        <w:numPr>
          <w:ilvl w:val="0"/>
          <w:numId w:val="2"/>
        </w:numPr>
        <w:spacing w:after="40" w:before="40"/>
      </w:pPr>
      <w:r>
        <w:rPr>
          <w:rFonts w:ascii="Arial" w:cs="Arial" w:eastAsia="Arial" w:hAnsi="Arial"/>
          <w:color w:val="374151"/>
          <w:sz w:val="22"/>
          <w:szCs w:val="22"/>
        </w:rPr>
        <w:t xml:space="preserve">Automatizar atualização mensal do cache via scheduled task</w:t>
      </w:r>
    </w:p>
    <w:p>
      <w:pPr>
        <w:spacing w:after="120" w:before="0"/>
      </w:pPr>
      <w:r>
        <w:t xml:space="preserve"/>
      </w:r>
    </w:p>
    <w:p>
      <w:pPr>
        <w:pStyle w:val="Heading2"/>
        <w:spacing w:after="120" w:before="300"/>
      </w:pPr>
      <w:r>
        <w:rPr>
          <w:rFonts w:ascii="Arial" w:cs="Arial" w:eastAsia="Arial" w:hAnsi="Arial"/>
          <w:b/>
          <w:bCs/>
          <w:color w:val="2563EB"/>
          <w:sz w:val="26"/>
          <w:szCs w:val="26"/>
        </w:rPr>
        <w:t xml:space="preserve">8.3 Visão de Longo Prazo</w:t>
      </w:r>
    </w:p>
    <w:p>
      <w:pPr>
        <w:pStyle w:val="ListParagraph"/>
        <w:numPr>
          <w:ilvl w:val="0"/>
          <w:numId w:val="2"/>
        </w:numPr>
        <w:spacing w:after="40" w:before="40"/>
      </w:pPr>
      <w:r>
        <w:rPr>
          <w:rFonts w:ascii="Arial" w:cs="Arial" w:eastAsia="Arial" w:hAnsi="Arial"/>
          <w:color w:val="374151"/>
          <w:sz w:val="22"/>
          <w:szCs w:val="22"/>
        </w:rPr>
        <w:t xml:space="preserve">Expansão para todos os estados do Brasil com modelo L1 nacional</w:t>
      </w:r>
    </w:p>
    <w:p>
      <w:pPr>
        <w:pStyle w:val="ListParagraph"/>
        <w:numPr>
          <w:ilvl w:val="0"/>
          <w:numId w:val="2"/>
        </w:numPr>
        <w:spacing w:after="40" w:before="40"/>
      </w:pPr>
      <w:r>
        <w:rPr>
          <w:rFonts w:ascii="Arial" w:cs="Arial" w:eastAsia="Arial" w:hAnsi="Arial"/>
          <w:color w:val="374151"/>
          <w:sz w:val="22"/>
          <w:szCs w:val="22"/>
        </w:rPr>
        <w:t xml:space="preserve">Modelo preditivo de sucesso de positivação por combinação (produto × bairro × sazonalidade)</w:t>
      </w:r>
    </w:p>
    <w:p>
      <w:pPr>
        <w:pStyle w:val="ListParagraph"/>
        <w:numPr>
          <w:ilvl w:val="0"/>
          <w:numId w:val="2"/>
        </w:numPr>
        <w:spacing w:after="40" w:before="40"/>
      </w:pPr>
      <w:r>
        <w:rPr>
          <w:rFonts w:ascii="Arial" w:cs="Arial" w:eastAsia="Arial" w:hAnsi="Arial"/>
          <w:color w:val="374151"/>
          <w:sz w:val="22"/>
          <w:szCs w:val="22"/>
        </w:rPr>
        <w:t xml:space="preserve">Integração com CRM de vendas para fechar o loop: predição → positivação → resultado → retraining</w:t>
      </w:r>
    </w:p>
    <w:p>
      <w:pPr>
        <w:spacing w:after="240" w:before="0"/>
      </w:pPr>
      <w:r>
        <w:t xml:space="preserve"/>
      </w:r>
    </w:p>
    <w:p>
      <w:r>
        <w:br w:type="page"/>
      </w:r>
    </w:p>
    <w:p>
      <w:pPr>
        <w:pStyle w:val="Heading1"/>
        <w:pBdr>
          <w:bottom w:val="single" w:color="1B3A6B" w:sz="8" w:space="4"/>
        </w:pBdr>
        <w:spacing w:after="200" w:before="400"/>
      </w:pPr>
      <w:r>
        <w:rPr>
          <w:rFonts w:ascii="Arial" w:cs="Arial" w:eastAsia="Arial" w:hAnsi="Arial"/>
          <w:b/>
          <w:bCs/>
          <w:color w:val="1B3A6B"/>
          <w:sz w:val="32"/>
          <w:szCs w:val="32"/>
        </w:rPr>
        <w:t xml:space="preserve">9. Conclusão</w:t>
      </w:r>
    </w:p>
    <w:p>
      <w:pPr>
        <w:spacing w:after="80" w:before="60"/>
        <w:jc w:val="both"/>
      </w:pPr>
      <w:r>
        <w:rPr>
          <w:rFonts w:ascii="Arial" w:cs="Arial" w:eastAsia="Arial" w:hAnsi="Arial"/>
          <w:color w:val="374151"/>
          <w:sz w:val="22"/>
          <w:szCs w:val="22"/>
        </w:rPr>
        <w:t xml:space="preserve">O Pharmasite Intelligence entrega, em sua versão 1.0, um sistema funcional de scoring em dois níveis que transforma dados públicos dispersos em inteligência territorial acionável para a distribuição de correlatos farmacêuticos.</w:t>
      </w:r>
    </w:p>
    <w:p>
      <w:pPr>
        <w:spacing w:after="120" w:before="0"/>
      </w:pPr>
      <w:r>
        <w:t xml:space="preserve"/>
      </w:r>
    </w:p>
    <w:p>
      <w:pPr>
        <w:spacing w:after="80" w:before="60"/>
        <w:jc w:val="both"/>
      </w:pPr>
      <w:r>
        <w:rPr>
          <w:rFonts w:ascii="Arial" w:cs="Arial" w:eastAsia="Arial" w:hAnsi="Arial"/>
          <w:color w:val="374151"/>
          <w:sz w:val="22"/>
          <w:szCs w:val="22"/>
        </w:rPr>
        <w:t xml:space="preserve">A contribuição mais relevante desta fase foi a validação do modelo de pesos por Daniel, especialista de campo com mais de 15 anos de experiência, cujo alinhamento perfeito com a arquitetura inicial confirma que o modelo captura as dinâmicas reais do mercado. Mais importante ainda, sua identificação da microeconomia regional por bairros como a lacuna mais crítica e mais desejada do setor estabeleceu o roadmap técnico da camada L2.</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40"/>
              <w:left w:type="dxa" w:w="200"/>
              <w:bottom w:type="dxa" w:w="140"/>
              <w:right w:type="dxa" w:w="200"/>
            </w:tcMar>
          </w:tcPr>
          <w:p>
            <w:pPr>
              <w:spacing w:after="0" w:before="0"/>
            </w:pPr>
            <w:r>
              <w:rPr>
                <w:rFonts w:ascii="Arial" w:cs="Arial" w:eastAsia="Arial" w:hAnsi="Arial"/>
                <w:i/>
                <w:iCs/>
                <w:color w:val="374151"/>
                <w:sz w:val="22"/>
                <w:szCs w:val="22"/>
              </w:rPr>
              <w:t xml:space="preserve">"Existe algum dado que você sempre quis ter para tomar decisão de expansão, mas nunca conseguiu encontrar facilmente? Microeconomia regional, por bairros." — Daniel, especialista de campo</w:t>
            </w:r>
          </w:p>
        </w:tc>
      </w:tr>
    </w:tbl>
    <w:p>
      <w:pPr>
        <w:spacing w:after="120" w:before="0"/>
      </w:pPr>
      <w:r>
        <w:t xml:space="preserve"/>
      </w:r>
    </w:p>
    <w:p>
      <w:pPr>
        <w:spacing w:after="80" w:before="60"/>
        <w:jc w:val="both"/>
      </w:pPr>
      <w:r>
        <w:rPr>
          <w:rFonts w:ascii="Arial" w:cs="Arial" w:eastAsia="Arial" w:hAnsi="Arial"/>
          <w:color w:val="374151"/>
          <w:sz w:val="22"/>
          <w:szCs w:val="22"/>
        </w:rPr>
        <w:t xml:space="preserve">O dashboard L2 de Campinas, com mapa interativo de 104 PDVs e ranking de oportunidade para 26 bairros, é a resposta direta a essa demanda. A identificação do Jardim Flamboyant como zona de alta oportunidade (score 51.4, sem grandes redes, Tier A) é um exemplo concreto do tipo de inteligência que este sistema entrega — e que anteriormente exigia semanas de pesquisa manual de campo.</w:t>
      </w:r>
    </w:p>
    <w:p>
      <w:pPr>
        <w:spacing w:after="24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color="FFFFFF" w:sz="0"/>
              <w:left w:val="none" w:color="FFFFFF" w:sz="0"/>
              <w:bottom w:val="none" w:color="FFFFFF" w:sz="0"/>
              <w:right w:val="none" w:color="FFFFFF" w:sz="0"/>
            </w:tcBorders>
            <w:shd w:fill="1B3A6B" w:val="clear"/>
            <w:tcMar>
              <w:top w:type="dxa" w:w="240"/>
              <w:left w:type="dxa" w:w="400"/>
              <w:bottom w:type="dxa" w:w="240"/>
              <w:right w:type="dxa" w:w="400"/>
            </w:tcMar>
          </w:tcPr>
          <w:p>
            <w:pPr>
              <w:spacing w:after="80" w:before="0"/>
              <w:jc w:val="center"/>
            </w:pPr>
            <w:r>
              <w:rPr>
                <w:rFonts w:ascii="Arial" w:cs="Arial" w:eastAsia="Arial" w:hAnsi="Arial"/>
                <w:b/>
                <w:bCs/>
                <w:color w:val="FFFFFF"/>
                <w:sz w:val="22"/>
                <w:szCs w:val="22"/>
              </w:rPr>
              <w:t xml:space="preserve">Pharmasite Intelligence v1.0</w:t>
            </w:r>
          </w:p>
          <w:p>
            <w:pPr>
              <w:spacing w:after="0" w:before="0"/>
              <w:jc w:val="center"/>
            </w:pPr>
            <w:r>
              <w:rPr>
                <w:rFonts w:ascii="Arial" w:cs="Arial" w:eastAsia="Arial" w:hAnsi="Arial"/>
                <w:color w:val="93C5FD"/>
                <w:sz w:val="18"/>
                <w:szCs w:val="18"/>
              </w:rPr>
              <w:t xml:space="preserve">Fernando Lifsic · Março 2026 · Confidencial</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6B7280"/>
        <w:sz w:val="16"/>
        <w:szCs w:val="16"/>
      </w:rPr>
      <w:t xml:space="preserve">Confidencial — uso interno</w:t>
    </w:r>
    <w:r>
      <w:rPr>
        <w:rFonts w:ascii="Arial" w:cs="Arial" w:eastAsia="Arial" w:hAnsi="Arial"/>
        <w:color w:val="6B7280"/>
        <w:sz w:val="16"/>
        <w:szCs w:val="16"/>
      </w:rPr>
      <w:t xml:space="preserve">	Página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tabs>
        <w:tab w:val="right" w:pos="9026"/>
      </w:tabs>
    </w:pPr>
    <w:r>
      <w:rPr>
        <w:rFonts w:ascii="Arial" w:cs="Arial" w:eastAsia="Arial" w:hAnsi="Arial"/>
        <w:b/>
        <w:bCs/>
        <w:color w:val="1B3A6B"/>
        <w:sz w:val="18"/>
        <w:szCs w:val="18"/>
      </w:rPr>
      <w:t xml:space="preserve">Pharmasite Intelligence</w:t>
    </w:r>
    <w:r>
      <w:rPr>
        <w:rFonts w:ascii="Arial" w:cs="Arial" w:eastAsia="Arial" w:hAnsi="Arial"/>
        <w:color w:val="6B7280"/>
        <w:sz w:val="18"/>
        <w:szCs w:val="18"/>
      </w:rPr>
      <w:t xml:space="preserve">	Relatório de Projeto · Março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2026-03-25T00:26:17.488Z</dcterms:created>
  <dcterms:modified xsi:type="dcterms:W3CDTF">2026-03-25T00:26:17.489Z</dcterms:modified>
</cp:coreProperties>
</file>

<file path=docProps/custom.xml><?xml version="1.0" encoding="utf-8"?>
<Properties xmlns="http://schemas.openxmlformats.org/officeDocument/2006/custom-properties" xmlns:vt="http://schemas.openxmlformats.org/officeDocument/2006/docPropsVTypes"/>
</file>