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E5F6" w14:textId="322E841C" w:rsidR="0008190E" w:rsidRPr="005D3750" w:rsidRDefault="002246BD" w:rsidP="002246BD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5D3750">
        <w:rPr>
          <w:rFonts w:ascii="Segoe UI" w:hAnsi="Segoe UI" w:cs="Segoe UI"/>
          <w:b/>
          <w:bCs/>
          <w:sz w:val="40"/>
          <w:szCs w:val="40"/>
        </w:rPr>
        <w:t>Recenser les traitements sur les données à caractère personnel</w:t>
      </w:r>
    </w:p>
    <w:p w14:paraId="5C44C8B0" w14:textId="55D4000C" w:rsidR="00AF1E41" w:rsidRPr="005D3750" w:rsidRDefault="00AF1E41">
      <w:pPr>
        <w:rPr>
          <w:rFonts w:ascii="Segoe UI" w:hAnsi="Segoe UI" w:cs="Segoe UI"/>
        </w:rPr>
      </w:pPr>
    </w:p>
    <w:p w14:paraId="4112ACB8" w14:textId="6FAC0199" w:rsidR="00AF1E41" w:rsidRPr="005D3750" w:rsidRDefault="00AF1E41">
      <w:pPr>
        <w:rPr>
          <w:rFonts w:ascii="Segoe UI" w:hAnsi="Segoe UI" w:cs="Segoe UI"/>
          <w:b/>
          <w:bCs/>
          <w:sz w:val="24"/>
          <w:szCs w:val="24"/>
        </w:rPr>
      </w:pPr>
      <w:r w:rsidRPr="005D3750">
        <w:rPr>
          <w:rFonts w:ascii="Segoe UI" w:hAnsi="Segoe UI" w:cs="Segoe UI"/>
          <w:b/>
          <w:bCs/>
          <w:sz w:val="24"/>
          <w:szCs w:val="24"/>
        </w:rPr>
        <w:t>1.Identifiez les données à caractère personnel parmi celles recueillies lors de la réalisation d’une étude de marché. Justifiez votre réponse.</w:t>
      </w:r>
    </w:p>
    <w:p w14:paraId="34C63D00" w14:textId="1F73CBFA" w:rsidR="00F55A17" w:rsidRPr="005D3750" w:rsidRDefault="00F55A17">
      <w:pPr>
        <w:rPr>
          <w:rFonts w:ascii="Segoe UI" w:hAnsi="Segoe UI" w:cs="Segoe UI"/>
        </w:rPr>
      </w:pPr>
      <w:r w:rsidRPr="005D3750">
        <w:rPr>
          <w:rFonts w:ascii="Segoe UI" w:hAnsi="Segoe UI" w:cs="Segoe UI"/>
        </w:rPr>
        <w:t>La CNIL définit une donnée à caractère personnel défini comme toute information relative à une personne qui est ou peut être identifiée directement ou indirectement.</w:t>
      </w:r>
    </w:p>
    <w:p w14:paraId="43747854" w14:textId="49F18C2A" w:rsidR="00511E2E" w:rsidRPr="005D3750" w:rsidRDefault="00F55A17">
      <w:pPr>
        <w:rPr>
          <w:rFonts w:ascii="Segoe UI" w:hAnsi="Segoe UI" w:cs="Segoe UI"/>
        </w:rPr>
      </w:pPr>
      <w:r w:rsidRPr="005D3750">
        <w:rPr>
          <w:rFonts w:ascii="Segoe UI" w:hAnsi="Segoe UI" w:cs="Segoe UI"/>
        </w:rPr>
        <w:t xml:space="preserve">Par conséquent, dans le document 1, Le nom et le prénom, l’adresse </w:t>
      </w:r>
      <w:proofErr w:type="gramStart"/>
      <w:r w:rsidRPr="005D3750">
        <w:rPr>
          <w:rFonts w:ascii="Segoe UI" w:hAnsi="Segoe UI" w:cs="Segoe UI"/>
        </w:rPr>
        <w:t>mail</w:t>
      </w:r>
      <w:proofErr w:type="gramEnd"/>
      <w:r w:rsidRPr="005D3750">
        <w:rPr>
          <w:rFonts w:ascii="Segoe UI" w:hAnsi="Segoe UI" w:cs="Segoe UI"/>
        </w:rPr>
        <w:t xml:space="preserve"> et postale sont </w:t>
      </w:r>
      <w:r w:rsidR="00D76B61" w:rsidRPr="005D3750">
        <w:rPr>
          <w:rFonts w:ascii="Segoe UI" w:hAnsi="Segoe UI" w:cs="Segoe UI"/>
        </w:rPr>
        <w:t>considéré</w:t>
      </w:r>
      <w:r w:rsidR="00833323" w:rsidRPr="005D3750">
        <w:rPr>
          <w:rFonts w:ascii="Segoe UI" w:hAnsi="Segoe UI" w:cs="Segoe UI"/>
        </w:rPr>
        <w:t>es</w:t>
      </w:r>
      <w:r w:rsidR="00D76B61" w:rsidRPr="005D3750">
        <w:rPr>
          <w:rFonts w:ascii="Segoe UI" w:hAnsi="Segoe UI" w:cs="Segoe UI"/>
        </w:rPr>
        <w:t xml:space="preserve"> « à caractère personnel »</w:t>
      </w:r>
      <w:r w:rsidRPr="005D3750">
        <w:rPr>
          <w:rFonts w:ascii="Segoe UI" w:hAnsi="Segoe UI" w:cs="Segoe UI"/>
        </w:rPr>
        <w:t xml:space="preserve">. </w:t>
      </w:r>
      <w:r w:rsidR="0028780C" w:rsidRPr="005D3750">
        <w:rPr>
          <w:rFonts w:ascii="Segoe UI" w:hAnsi="Segoe UI" w:cs="Segoe UI"/>
        </w:rPr>
        <w:t xml:space="preserve"> Le document présenté semble être un questionnaire écrit mais si cela avait été un questionnaire oral, il aurait pu être enregistré et être également considéré comme tel.</w:t>
      </w:r>
    </w:p>
    <w:p w14:paraId="4CF43A31" w14:textId="070A5DCA" w:rsidR="00A00DC0" w:rsidRPr="005D3750" w:rsidRDefault="00A00DC0">
      <w:pPr>
        <w:rPr>
          <w:rFonts w:ascii="Segoe UI" w:hAnsi="Segoe UI" w:cs="Segoe UI"/>
        </w:rPr>
      </w:pPr>
    </w:p>
    <w:p w14:paraId="71BF6FC8" w14:textId="77777777" w:rsidR="0028780C" w:rsidRPr="005D3750" w:rsidRDefault="0028780C">
      <w:pPr>
        <w:rPr>
          <w:rFonts w:ascii="Segoe UI" w:hAnsi="Segoe UI" w:cs="Segoe UI"/>
        </w:rPr>
      </w:pPr>
    </w:p>
    <w:p w14:paraId="36724C2D" w14:textId="28B6552E" w:rsidR="00511E2E" w:rsidRPr="005D3750" w:rsidRDefault="00511E2E">
      <w:pPr>
        <w:rPr>
          <w:rFonts w:ascii="Segoe UI" w:hAnsi="Segoe UI" w:cs="Segoe UI"/>
          <w:b/>
          <w:bCs/>
          <w:sz w:val="24"/>
          <w:szCs w:val="24"/>
        </w:rPr>
      </w:pPr>
      <w:r w:rsidRPr="005D3750">
        <w:rPr>
          <w:rFonts w:ascii="Segoe UI" w:hAnsi="Segoe UI" w:cs="Segoe UI"/>
          <w:b/>
          <w:bCs/>
          <w:sz w:val="24"/>
          <w:szCs w:val="24"/>
        </w:rPr>
        <w:t>2.Analysez la conformité de la situation décrite ci-dessus avec les directives de la CNIL.</w:t>
      </w:r>
    </w:p>
    <w:p w14:paraId="6A3BC875" w14:textId="5FD556AE" w:rsidR="003B18EF" w:rsidRPr="005D3750" w:rsidRDefault="00926FDC">
      <w:pPr>
        <w:rPr>
          <w:rFonts w:ascii="Segoe UI" w:hAnsi="Segoe UI" w:cs="Segoe UI"/>
        </w:rPr>
      </w:pPr>
      <w:r w:rsidRPr="005D3750">
        <w:rPr>
          <w:rFonts w:ascii="Segoe UI" w:hAnsi="Segoe UI" w:cs="Segoe UI"/>
        </w:rPr>
        <w:t>Rien ne nous dit si, mis à part l’accord oral, la personne interrogée a été mise au courant</w:t>
      </w:r>
      <w:r w:rsidR="003B18EF" w:rsidRPr="005D3750">
        <w:rPr>
          <w:rFonts w:ascii="Segoe UI" w:hAnsi="Segoe UI" w:cs="Segoe UI"/>
        </w:rPr>
        <w:t> :</w:t>
      </w:r>
    </w:p>
    <w:p w14:paraId="74F9CD4F" w14:textId="77777777" w:rsidR="003B18EF" w:rsidRPr="005D3750" w:rsidRDefault="003B18EF">
      <w:pPr>
        <w:rPr>
          <w:rFonts w:ascii="Segoe UI" w:hAnsi="Segoe UI" w:cs="Segoe UI"/>
        </w:rPr>
      </w:pPr>
      <w:r w:rsidRPr="005D3750">
        <w:rPr>
          <w:rFonts w:ascii="Segoe UI" w:hAnsi="Segoe UI" w:cs="Segoe UI"/>
        </w:rPr>
        <w:t>-</w:t>
      </w:r>
      <w:r w:rsidR="00926FDC" w:rsidRPr="005D3750">
        <w:rPr>
          <w:rFonts w:ascii="Segoe UI" w:hAnsi="Segoe UI" w:cs="Segoe UI"/>
        </w:rPr>
        <w:t xml:space="preserve"> de l’objectif de l’opération</w:t>
      </w:r>
    </w:p>
    <w:p w14:paraId="00477B4F" w14:textId="77777777" w:rsidR="003B18EF" w:rsidRPr="005D3750" w:rsidRDefault="003B18EF">
      <w:pPr>
        <w:rPr>
          <w:rFonts w:ascii="Segoe UI" w:hAnsi="Segoe UI" w:cs="Segoe UI"/>
        </w:rPr>
      </w:pPr>
      <w:r w:rsidRPr="005D3750">
        <w:rPr>
          <w:rFonts w:ascii="Segoe UI" w:hAnsi="Segoe UI" w:cs="Segoe UI"/>
        </w:rPr>
        <w:t xml:space="preserve">- </w:t>
      </w:r>
      <w:r w:rsidR="00926FDC" w:rsidRPr="005D3750">
        <w:rPr>
          <w:rFonts w:ascii="Segoe UI" w:hAnsi="Segoe UI" w:cs="Segoe UI"/>
        </w:rPr>
        <w:t>des destinataires des écoutes</w:t>
      </w:r>
    </w:p>
    <w:p w14:paraId="2120872E" w14:textId="77777777" w:rsidR="003B18EF" w:rsidRPr="005D3750" w:rsidRDefault="003B18EF">
      <w:pPr>
        <w:rPr>
          <w:rFonts w:ascii="Segoe UI" w:hAnsi="Segoe UI" w:cs="Segoe UI"/>
        </w:rPr>
      </w:pPr>
      <w:r w:rsidRPr="005D3750">
        <w:rPr>
          <w:rFonts w:ascii="Segoe UI" w:hAnsi="Segoe UI" w:cs="Segoe UI"/>
        </w:rPr>
        <w:t xml:space="preserve">- </w:t>
      </w:r>
      <w:r w:rsidR="00926FDC" w:rsidRPr="005D3750">
        <w:rPr>
          <w:rFonts w:ascii="Segoe UI" w:hAnsi="Segoe UI" w:cs="Segoe UI"/>
        </w:rPr>
        <w:t xml:space="preserve">de son droit d’opposition </w:t>
      </w:r>
    </w:p>
    <w:p w14:paraId="051E4681" w14:textId="77777777" w:rsidR="00E5187E" w:rsidRPr="005D3750" w:rsidRDefault="003B18EF">
      <w:pPr>
        <w:rPr>
          <w:rFonts w:ascii="Segoe UI" w:hAnsi="Segoe UI" w:cs="Segoe UI"/>
        </w:rPr>
      </w:pPr>
      <w:r w:rsidRPr="005D3750">
        <w:rPr>
          <w:rFonts w:ascii="Segoe UI" w:hAnsi="Segoe UI" w:cs="Segoe UI"/>
        </w:rPr>
        <w:t xml:space="preserve">- </w:t>
      </w:r>
      <w:r w:rsidR="00926FDC" w:rsidRPr="005D3750">
        <w:rPr>
          <w:rFonts w:ascii="Segoe UI" w:hAnsi="Segoe UI" w:cs="Segoe UI"/>
        </w:rPr>
        <w:t xml:space="preserve">de son droit d’accès aux enregistrements. </w:t>
      </w:r>
    </w:p>
    <w:p w14:paraId="75EE88C5" w14:textId="7FA45ECA" w:rsidR="00926FDC" w:rsidRPr="005D3750" w:rsidRDefault="00926FDC">
      <w:pPr>
        <w:rPr>
          <w:rFonts w:ascii="Segoe UI" w:hAnsi="Segoe UI" w:cs="Segoe UI"/>
        </w:rPr>
      </w:pPr>
      <w:r w:rsidRPr="005D3750">
        <w:rPr>
          <w:rFonts w:ascii="Segoe UI" w:hAnsi="Segoe UI" w:cs="Segoe UI"/>
        </w:rPr>
        <w:t>Ne sachant pas si l</w:t>
      </w:r>
      <w:r w:rsidR="005F3889" w:rsidRPr="005D3750">
        <w:rPr>
          <w:rFonts w:ascii="Segoe UI" w:hAnsi="Segoe UI" w:cs="Segoe UI"/>
        </w:rPr>
        <w:t>es informations ont</w:t>
      </w:r>
      <w:r w:rsidRPr="005D3750">
        <w:rPr>
          <w:rFonts w:ascii="Segoe UI" w:hAnsi="Segoe UI" w:cs="Segoe UI"/>
        </w:rPr>
        <w:t xml:space="preserve"> été préalablement exprimé, ou qu’elle </w:t>
      </w:r>
      <w:r w:rsidR="005E4B8F" w:rsidRPr="005D3750">
        <w:rPr>
          <w:rFonts w:ascii="Segoe UI" w:hAnsi="Segoe UI" w:cs="Segoe UI"/>
        </w:rPr>
        <w:t>ait</w:t>
      </w:r>
      <w:r w:rsidRPr="005D3750">
        <w:rPr>
          <w:rFonts w:ascii="Segoe UI" w:hAnsi="Segoe UI" w:cs="Segoe UI"/>
        </w:rPr>
        <w:t xml:space="preserve"> été mentionnée</w:t>
      </w:r>
      <w:r w:rsidR="005E4B8F" w:rsidRPr="005D3750">
        <w:rPr>
          <w:rFonts w:ascii="Segoe UI" w:hAnsi="Segoe UI" w:cs="Segoe UI"/>
        </w:rPr>
        <w:t xml:space="preserve"> dans les contrats ou documents d’information,</w:t>
      </w:r>
      <w:r w:rsidRPr="005D3750">
        <w:rPr>
          <w:rFonts w:ascii="Segoe UI" w:hAnsi="Segoe UI" w:cs="Segoe UI"/>
        </w:rPr>
        <w:t xml:space="preserve"> </w:t>
      </w:r>
      <w:r w:rsidR="005E4B8F" w:rsidRPr="005D3750">
        <w:rPr>
          <w:rFonts w:ascii="Segoe UI" w:hAnsi="Segoe UI" w:cs="Segoe UI"/>
        </w:rPr>
        <w:t>l</w:t>
      </w:r>
      <w:r w:rsidRPr="005D3750">
        <w:rPr>
          <w:rFonts w:ascii="Segoe UI" w:hAnsi="Segoe UI" w:cs="Segoe UI"/>
        </w:rPr>
        <w:t>a situation décrite est</w:t>
      </w:r>
      <w:r w:rsidR="005E4B8F" w:rsidRPr="005D3750">
        <w:rPr>
          <w:rFonts w:ascii="Segoe UI" w:hAnsi="Segoe UI" w:cs="Segoe UI"/>
        </w:rPr>
        <w:t xml:space="preserve"> </w:t>
      </w:r>
      <w:r w:rsidR="0059415B" w:rsidRPr="005D3750">
        <w:rPr>
          <w:rFonts w:ascii="Segoe UI" w:hAnsi="Segoe UI" w:cs="Segoe UI"/>
        </w:rPr>
        <w:t>sensiblement non</w:t>
      </w:r>
      <w:r w:rsidRPr="005D3750">
        <w:rPr>
          <w:rFonts w:ascii="Segoe UI" w:hAnsi="Segoe UI" w:cs="Segoe UI"/>
        </w:rPr>
        <w:t>-conforme aux directives de la CNIL.</w:t>
      </w:r>
      <w:r w:rsidR="0059415B" w:rsidRPr="005D3750">
        <w:rPr>
          <w:rFonts w:ascii="Segoe UI" w:hAnsi="Segoe UI" w:cs="Segoe UI"/>
        </w:rPr>
        <w:t xml:space="preserve"> En l’absence de ces informations, l’accord simple de l’interlocuteur ne peu</w:t>
      </w:r>
      <w:r w:rsidR="00833323" w:rsidRPr="005D3750">
        <w:rPr>
          <w:rFonts w:ascii="Segoe UI" w:hAnsi="Segoe UI" w:cs="Segoe UI"/>
        </w:rPr>
        <w:t>t</w:t>
      </w:r>
      <w:r w:rsidR="0059415B" w:rsidRPr="005D3750">
        <w:rPr>
          <w:rFonts w:ascii="Segoe UI" w:hAnsi="Segoe UI" w:cs="Segoe UI"/>
        </w:rPr>
        <w:t xml:space="preserve"> être considéré comme valable.</w:t>
      </w:r>
    </w:p>
    <w:p w14:paraId="2D475917" w14:textId="25319FC6" w:rsidR="00511E2E" w:rsidRPr="005D3750" w:rsidRDefault="00511E2E">
      <w:pPr>
        <w:rPr>
          <w:rFonts w:ascii="Segoe UI" w:hAnsi="Segoe UI" w:cs="Segoe UI"/>
        </w:rPr>
      </w:pPr>
    </w:p>
    <w:p w14:paraId="7BCB2F4A" w14:textId="16C8A193" w:rsidR="00511E2E" w:rsidRPr="005D3750" w:rsidRDefault="00511E2E">
      <w:pPr>
        <w:rPr>
          <w:rFonts w:ascii="Segoe UI" w:hAnsi="Segoe UI" w:cs="Segoe UI"/>
        </w:rPr>
      </w:pPr>
      <w:r w:rsidRPr="005D3750">
        <w:rPr>
          <w:rFonts w:ascii="Segoe UI" w:hAnsi="Segoe UI" w:cs="Segoe UI"/>
          <w:b/>
          <w:bCs/>
          <w:sz w:val="24"/>
          <w:szCs w:val="24"/>
        </w:rPr>
        <w:t xml:space="preserve">3.Complétez le tableau de recensement des opérations réalisées lors d’une étude de marché chez </w:t>
      </w:r>
      <w:proofErr w:type="spellStart"/>
      <w:r w:rsidRPr="005D3750">
        <w:rPr>
          <w:rFonts w:ascii="Segoe UI" w:hAnsi="Segoe UI" w:cs="Segoe UI"/>
          <w:b/>
          <w:bCs/>
          <w:sz w:val="24"/>
          <w:szCs w:val="24"/>
        </w:rPr>
        <w:t>CentreCall</w:t>
      </w:r>
      <w:proofErr w:type="spellEnd"/>
      <w:r w:rsidRPr="005D3750">
        <w:rPr>
          <w:rFonts w:ascii="Segoe UI" w:hAnsi="Segoe UI" w:cs="Segoe UI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9"/>
        <w:gridCol w:w="1375"/>
        <w:gridCol w:w="1600"/>
        <w:gridCol w:w="1456"/>
        <w:gridCol w:w="1452"/>
        <w:gridCol w:w="1470"/>
      </w:tblGrid>
      <w:tr w:rsidR="00BB63E8" w14:paraId="132CE010" w14:textId="77777777" w:rsidTr="00EB0D02">
        <w:tc>
          <w:tcPr>
            <w:tcW w:w="1510" w:type="dxa"/>
            <w:shd w:val="clear" w:color="auto" w:fill="FFD966" w:themeFill="accent4" w:themeFillTint="99"/>
          </w:tcPr>
          <w:p w14:paraId="438FA016" w14:textId="114E8033" w:rsidR="00686BFA" w:rsidRDefault="00686BFA">
            <w:r>
              <w:t>Description de l’opération</w:t>
            </w:r>
          </w:p>
        </w:tc>
        <w:tc>
          <w:tcPr>
            <w:tcW w:w="1510" w:type="dxa"/>
            <w:shd w:val="clear" w:color="auto" w:fill="FFD966" w:themeFill="accent4" w:themeFillTint="99"/>
          </w:tcPr>
          <w:p w14:paraId="77FD47B4" w14:textId="04499676" w:rsidR="00686BFA" w:rsidRDefault="00686BFA">
            <w:r>
              <w:t>Référence</w:t>
            </w:r>
          </w:p>
        </w:tc>
        <w:tc>
          <w:tcPr>
            <w:tcW w:w="1510" w:type="dxa"/>
            <w:shd w:val="clear" w:color="auto" w:fill="FFD966" w:themeFill="accent4" w:themeFillTint="99"/>
          </w:tcPr>
          <w:p w14:paraId="4AB4AAD1" w14:textId="4F0DD940" w:rsidR="00686BFA" w:rsidRDefault="00686BFA">
            <w:r>
              <w:t>Finalité de l’opération</w:t>
            </w:r>
          </w:p>
        </w:tc>
        <w:tc>
          <w:tcPr>
            <w:tcW w:w="1510" w:type="dxa"/>
            <w:shd w:val="clear" w:color="auto" w:fill="FFD966" w:themeFill="accent4" w:themeFillTint="99"/>
          </w:tcPr>
          <w:p w14:paraId="1009F975" w14:textId="2AAFDE79" w:rsidR="00686BFA" w:rsidRDefault="00686BFA">
            <w:r>
              <w:t>Catégories de données personnelles concernées</w:t>
            </w:r>
          </w:p>
        </w:tc>
        <w:tc>
          <w:tcPr>
            <w:tcW w:w="1511" w:type="dxa"/>
            <w:shd w:val="clear" w:color="auto" w:fill="FFD966" w:themeFill="accent4" w:themeFillTint="99"/>
          </w:tcPr>
          <w:p w14:paraId="69B3B5B3" w14:textId="5C7B77F0" w:rsidR="00686BFA" w:rsidRDefault="00686BFA">
            <w:r>
              <w:t>Catégories de personne</w:t>
            </w:r>
            <w:r w:rsidR="00BB63E8">
              <w:t>s</w:t>
            </w:r>
            <w:r>
              <w:t xml:space="preserve"> concernées</w:t>
            </w:r>
          </w:p>
        </w:tc>
        <w:tc>
          <w:tcPr>
            <w:tcW w:w="1511" w:type="dxa"/>
            <w:shd w:val="clear" w:color="auto" w:fill="FFD966" w:themeFill="accent4" w:themeFillTint="99"/>
          </w:tcPr>
          <w:p w14:paraId="2E4E76B6" w14:textId="743C6002" w:rsidR="00686BFA" w:rsidRDefault="00686BFA">
            <w:r>
              <w:t>Destinataires</w:t>
            </w:r>
          </w:p>
        </w:tc>
      </w:tr>
      <w:tr w:rsidR="00BB63E8" w14:paraId="0C5D6964" w14:textId="77777777" w:rsidTr="00EB0D02">
        <w:tc>
          <w:tcPr>
            <w:tcW w:w="1510" w:type="dxa"/>
            <w:shd w:val="clear" w:color="auto" w:fill="FFE599" w:themeFill="accent4" w:themeFillTint="66"/>
          </w:tcPr>
          <w:p w14:paraId="3B9C8547" w14:textId="1D2C5C10" w:rsidR="00686BFA" w:rsidRDefault="00975855">
            <w:r>
              <w:t>Enregistrement d’un appel téléphonique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7EB1C8DC" w14:textId="55649585" w:rsidR="00686BFA" w:rsidRDefault="009B7E37">
            <w:r>
              <w:t>OP-01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0573987C" w14:textId="63CCD741" w:rsidR="00686BFA" w:rsidRDefault="009B7E37">
            <w:r>
              <w:t>Preuve de l’appel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3EAD8A90" w14:textId="76255AA8" w:rsidR="00686BFA" w:rsidRDefault="009B7E37">
            <w:r>
              <w:t>Vie personnelle</w:t>
            </w:r>
          </w:p>
        </w:tc>
        <w:tc>
          <w:tcPr>
            <w:tcW w:w="1511" w:type="dxa"/>
            <w:shd w:val="clear" w:color="auto" w:fill="FFE599" w:themeFill="accent4" w:themeFillTint="66"/>
          </w:tcPr>
          <w:p w14:paraId="22A99506" w14:textId="326D8D39" w:rsidR="00686BFA" w:rsidRDefault="009B7E37">
            <w:r>
              <w:t>Prospect</w:t>
            </w:r>
          </w:p>
        </w:tc>
        <w:tc>
          <w:tcPr>
            <w:tcW w:w="1511" w:type="dxa"/>
            <w:shd w:val="clear" w:color="auto" w:fill="FFE599" w:themeFill="accent4" w:themeFillTint="66"/>
          </w:tcPr>
          <w:p w14:paraId="5EC6D16F" w14:textId="014B1B52" w:rsidR="00686BFA" w:rsidRDefault="009B7E37">
            <w:r>
              <w:t xml:space="preserve">Client et service interne de </w:t>
            </w:r>
            <w:proofErr w:type="spellStart"/>
            <w:r>
              <w:t>CentreCall</w:t>
            </w:r>
            <w:proofErr w:type="spellEnd"/>
          </w:p>
        </w:tc>
      </w:tr>
      <w:tr w:rsidR="0003426A" w14:paraId="613CCA9E" w14:textId="77777777" w:rsidTr="009C04DA">
        <w:tc>
          <w:tcPr>
            <w:tcW w:w="1510" w:type="dxa"/>
            <w:shd w:val="clear" w:color="auto" w:fill="FFE599" w:themeFill="accent4" w:themeFillTint="66"/>
          </w:tcPr>
          <w:p w14:paraId="76A0E18A" w14:textId="0290139C" w:rsidR="00686BFA" w:rsidRDefault="00C338AC">
            <w:r>
              <w:t>Collecte des réponses au questionnaire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14F95E86" w14:textId="6B838355" w:rsidR="00686BFA" w:rsidRDefault="00EB0D02">
            <w:r>
              <w:t>OP-02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3DAC0A07" w14:textId="547DF1FE" w:rsidR="00686BFA" w:rsidRDefault="00BB63E8">
            <w:r>
              <w:t>Enregistrement des réponses</w:t>
            </w:r>
            <w:r w:rsidR="0003426A">
              <w:t xml:space="preserve"> et notification de fin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0C099619" w14:textId="42DEC7D5" w:rsidR="00686BFA" w:rsidRDefault="00BB63E8">
            <w:r>
              <w:t>Vie personnelle</w:t>
            </w:r>
          </w:p>
        </w:tc>
        <w:tc>
          <w:tcPr>
            <w:tcW w:w="1511" w:type="dxa"/>
            <w:shd w:val="clear" w:color="auto" w:fill="FFE599" w:themeFill="accent4" w:themeFillTint="66"/>
          </w:tcPr>
          <w:p w14:paraId="66CFF19B" w14:textId="73C949EF" w:rsidR="00686BFA" w:rsidRDefault="00BB63E8">
            <w:r>
              <w:t>Prospect</w:t>
            </w:r>
          </w:p>
        </w:tc>
        <w:tc>
          <w:tcPr>
            <w:tcW w:w="1511" w:type="dxa"/>
            <w:shd w:val="clear" w:color="auto" w:fill="FFE599" w:themeFill="accent4" w:themeFillTint="66"/>
          </w:tcPr>
          <w:p w14:paraId="5274ADCF" w14:textId="59FA4940" w:rsidR="00686BFA" w:rsidRDefault="00EB0D02">
            <w:r>
              <w:t xml:space="preserve">Client et service interne de </w:t>
            </w:r>
            <w:proofErr w:type="spellStart"/>
            <w:r>
              <w:t>CentreCall</w:t>
            </w:r>
            <w:proofErr w:type="spellEnd"/>
          </w:p>
        </w:tc>
      </w:tr>
      <w:tr w:rsidR="0003426A" w14:paraId="6D86B886" w14:textId="77777777" w:rsidTr="009C04DA">
        <w:tc>
          <w:tcPr>
            <w:tcW w:w="1510" w:type="dxa"/>
            <w:shd w:val="clear" w:color="auto" w:fill="FFE599" w:themeFill="accent4" w:themeFillTint="66"/>
          </w:tcPr>
          <w:p w14:paraId="7436093B" w14:textId="162BC827" w:rsidR="00686BFA" w:rsidRDefault="00C338AC">
            <w:r>
              <w:lastRenderedPageBreak/>
              <w:t>Vérification de l’enregistrement de l’entretien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580D039C" w14:textId="737C9266" w:rsidR="00686BFA" w:rsidRDefault="00EB0D02">
            <w:r>
              <w:t>OP-03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06505629" w14:textId="5F3EC985" w:rsidR="00686BFA" w:rsidRDefault="0003426A">
            <w:r>
              <w:t>Extraction des données après vérifications (questions manquantes)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5306183E" w14:textId="77A51A55" w:rsidR="00686BFA" w:rsidRDefault="00BB63E8">
            <w:r>
              <w:t>Vie personnelle</w:t>
            </w:r>
          </w:p>
        </w:tc>
        <w:tc>
          <w:tcPr>
            <w:tcW w:w="1511" w:type="dxa"/>
            <w:shd w:val="clear" w:color="auto" w:fill="FFE599" w:themeFill="accent4" w:themeFillTint="66"/>
          </w:tcPr>
          <w:p w14:paraId="2BDCE8F4" w14:textId="7BC8A8D3" w:rsidR="00686BFA" w:rsidRDefault="00BB63E8">
            <w:r>
              <w:t>Opérateur</w:t>
            </w:r>
          </w:p>
        </w:tc>
        <w:tc>
          <w:tcPr>
            <w:tcW w:w="1511" w:type="dxa"/>
            <w:shd w:val="clear" w:color="auto" w:fill="FFE599" w:themeFill="accent4" w:themeFillTint="66"/>
          </w:tcPr>
          <w:p w14:paraId="54E197BB" w14:textId="5328B9D6" w:rsidR="00686BFA" w:rsidRDefault="00EB0D02">
            <w:r>
              <w:t>Service</w:t>
            </w:r>
            <w:r>
              <w:t xml:space="preserve"> interne de </w:t>
            </w:r>
            <w:proofErr w:type="spellStart"/>
            <w:r>
              <w:t>CentreCall</w:t>
            </w:r>
            <w:proofErr w:type="spellEnd"/>
          </w:p>
        </w:tc>
      </w:tr>
      <w:tr w:rsidR="0003426A" w14:paraId="36CA5608" w14:textId="77777777" w:rsidTr="009C04DA">
        <w:trPr>
          <w:trHeight w:val="1290"/>
        </w:trPr>
        <w:tc>
          <w:tcPr>
            <w:tcW w:w="1510" w:type="dxa"/>
            <w:shd w:val="clear" w:color="auto" w:fill="FFE599" w:themeFill="accent4" w:themeFillTint="66"/>
          </w:tcPr>
          <w:p w14:paraId="6461D37B" w14:textId="35D57C70" w:rsidR="00686BFA" w:rsidRDefault="00C338AC">
            <w:r>
              <w:t>Traitement des données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17FAF79E" w14:textId="1B19B060" w:rsidR="00686BFA" w:rsidRDefault="00EB0D02">
            <w:r>
              <w:t>OP-04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11FA2B63" w14:textId="6A7D0B18" w:rsidR="00686BFA" w:rsidRDefault="00B16313">
            <w:r>
              <w:t>Edition de la synthèse de l’étude de marché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455F3747" w14:textId="13F0148F" w:rsidR="00686BFA" w:rsidRDefault="00BB63E8">
            <w:r>
              <w:t>Vie personnelle</w:t>
            </w:r>
          </w:p>
        </w:tc>
        <w:tc>
          <w:tcPr>
            <w:tcW w:w="1511" w:type="dxa"/>
            <w:shd w:val="clear" w:color="auto" w:fill="FFE599" w:themeFill="accent4" w:themeFillTint="66"/>
          </w:tcPr>
          <w:p w14:paraId="70D86F1D" w14:textId="2EEE6551" w:rsidR="00686BFA" w:rsidRDefault="00BB63E8">
            <w:proofErr w:type="spellStart"/>
            <w:r>
              <w:t>CallManager</w:t>
            </w:r>
            <w:proofErr w:type="spellEnd"/>
          </w:p>
        </w:tc>
        <w:tc>
          <w:tcPr>
            <w:tcW w:w="1511" w:type="dxa"/>
            <w:shd w:val="clear" w:color="auto" w:fill="FFE599" w:themeFill="accent4" w:themeFillTint="66"/>
          </w:tcPr>
          <w:p w14:paraId="3A2BA0F3" w14:textId="2C0F2A81" w:rsidR="00686BFA" w:rsidRDefault="00C338AC">
            <w:proofErr w:type="spellStart"/>
            <w:r>
              <w:t>C</w:t>
            </w:r>
            <w:r w:rsidR="00975855">
              <w:t>all</w:t>
            </w:r>
            <w:r>
              <w:t>M</w:t>
            </w:r>
            <w:r w:rsidR="00975855">
              <w:t>anager</w:t>
            </w:r>
            <w:proofErr w:type="spellEnd"/>
          </w:p>
        </w:tc>
      </w:tr>
    </w:tbl>
    <w:p w14:paraId="29EB3D46" w14:textId="77777777" w:rsidR="00686BFA" w:rsidRDefault="00686BFA"/>
    <w:p w14:paraId="4A7BF464" w14:textId="105B78F9" w:rsidR="00511E2E" w:rsidRDefault="00511E2E"/>
    <w:p w14:paraId="203C975D" w14:textId="3D5C1672" w:rsidR="00511E2E" w:rsidRPr="005D3750" w:rsidRDefault="00511E2E">
      <w:pPr>
        <w:rPr>
          <w:rFonts w:ascii="Segoe UI" w:hAnsi="Segoe UI" w:cs="Segoe UI"/>
          <w:b/>
          <w:bCs/>
          <w:sz w:val="24"/>
          <w:szCs w:val="24"/>
        </w:rPr>
      </w:pPr>
      <w:r w:rsidRPr="005D3750">
        <w:rPr>
          <w:rFonts w:ascii="Segoe UI" w:hAnsi="Segoe UI" w:cs="Segoe UI"/>
          <w:b/>
          <w:bCs/>
          <w:sz w:val="24"/>
          <w:szCs w:val="24"/>
        </w:rPr>
        <w:t>4.Repérez les difficultés rencontrées avec la nouvelle application. Précisez en quoi elles contribuent à affaiblir la protection des données à caractère personnel.</w:t>
      </w:r>
    </w:p>
    <w:p w14:paraId="6109FD25" w14:textId="77777777" w:rsidR="00397E9A" w:rsidRPr="005D3750" w:rsidRDefault="00523886">
      <w:pPr>
        <w:rPr>
          <w:rFonts w:ascii="Segoe UI" w:hAnsi="Segoe UI" w:cs="Segoe UI"/>
        </w:rPr>
      </w:pPr>
      <w:r w:rsidRPr="005D3750">
        <w:rPr>
          <w:rFonts w:ascii="Segoe UI" w:hAnsi="Segoe UI" w:cs="Segoe UI"/>
        </w:rPr>
        <w:t xml:space="preserve">La variété des solutions </w:t>
      </w:r>
      <w:r w:rsidR="00397E9A" w:rsidRPr="005D3750">
        <w:rPr>
          <w:rFonts w:ascii="Segoe UI" w:hAnsi="Segoe UI" w:cs="Segoe UI"/>
        </w:rPr>
        <w:t xml:space="preserve">de collecte des informations </w:t>
      </w:r>
      <w:r w:rsidRPr="005D3750">
        <w:rPr>
          <w:rFonts w:ascii="Segoe UI" w:hAnsi="Segoe UI" w:cs="Segoe UI"/>
        </w:rPr>
        <w:t xml:space="preserve">entraine </w:t>
      </w:r>
      <w:r w:rsidR="00397E9A" w:rsidRPr="005D3750">
        <w:rPr>
          <w:rFonts w:ascii="Segoe UI" w:hAnsi="Segoe UI" w:cs="Segoe UI"/>
        </w:rPr>
        <w:t>certains risques comme :</w:t>
      </w:r>
    </w:p>
    <w:p w14:paraId="5665A10F" w14:textId="336B57B2" w:rsidR="00523886" w:rsidRPr="005D3750" w:rsidRDefault="00397E9A">
      <w:pPr>
        <w:rPr>
          <w:rFonts w:ascii="Segoe UI" w:hAnsi="Segoe UI" w:cs="Segoe UI"/>
        </w:rPr>
      </w:pPr>
      <w:r w:rsidRPr="005D3750">
        <w:rPr>
          <w:rFonts w:ascii="Segoe UI" w:hAnsi="Segoe UI" w:cs="Segoe UI"/>
        </w:rPr>
        <w:t xml:space="preserve">-Une inversion ou non-prise en compte des de certaines date </w:t>
      </w:r>
      <w:r w:rsidR="00256C19" w:rsidRPr="005D3750">
        <w:rPr>
          <w:rFonts w:ascii="Segoe UI" w:hAnsi="Segoe UI" w:cs="Segoe UI"/>
        </w:rPr>
        <w:t>à la suite d’une</w:t>
      </w:r>
      <w:r w:rsidR="00523886" w:rsidRPr="005D3750">
        <w:rPr>
          <w:rFonts w:ascii="Segoe UI" w:hAnsi="Segoe UI" w:cs="Segoe UI"/>
        </w:rPr>
        <w:t xml:space="preserve"> utilisation de différents formats de données, notamment le </w:t>
      </w:r>
      <w:r w:rsidR="00256C19" w:rsidRPr="005D3750">
        <w:rPr>
          <w:rFonts w:ascii="Segoe UI" w:hAnsi="Segoe UI" w:cs="Segoe UI"/>
        </w:rPr>
        <w:t>type «</w:t>
      </w:r>
      <w:r w:rsidR="00523886" w:rsidRPr="005D3750">
        <w:rPr>
          <w:rFonts w:ascii="Segoe UI" w:hAnsi="Segoe UI" w:cs="Segoe UI"/>
        </w:rPr>
        <w:t xml:space="preserve"> date » </w:t>
      </w:r>
      <w:r w:rsidRPr="005D3750">
        <w:rPr>
          <w:rFonts w:ascii="Segoe UI" w:hAnsi="Segoe UI" w:cs="Segoe UI"/>
        </w:rPr>
        <w:t>recueillies</w:t>
      </w:r>
      <w:r w:rsidR="00523886" w:rsidRPr="005D3750">
        <w:rPr>
          <w:rFonts w:ascii="Segoe UI" w:hAnsi="Segoe UI" w:cs="Segoe UI"/>
        </w:rPr>
        <w:t xml:space="preserve"> via les fichiers </w:t>
      </w:r>
      <w:r w:rsidR="00256C19" w:rsidRPr="005D3750">
        <w:rPr>
          <w:rFonts w:ascii="Segoe UI" w:hAnsi="Segoe UI" w:cs="Segoe UI"/>
        </w:rPr>
        <w:t>JSON ou</w:t>
      </w:r>
      <w:r w:rsidRPr="005D3750">
        <w:rPr>
          <w:rFonts w:ascii="Segoe UI" w:hAnsi="Segoe UI" w:cs="Segoe UI"/>
        </w:rPr>
        <w:t xml:space="preserve"> les insertions </w:t>
      </w:r>
      <w:r w:rsidR="009D6385" w:rsidRPr="005D3750">
        <w:rPr>
          <w:rFonts w:ascii="Segoe UI" w:hAnsi="Segoe UI" w:cs="Segoe UI"/>
        </w:rPr>
        <w:t>par les opérateurs qui peuvent éventuellement faire une erreur.</w:t>
      </w:r>
    </w:p>
    <w:p w14:paraId="08130BBF" w14:textId="7011DAAE" w:rsidR="00256C19" w:rsidRDefault="00256C19">
      <w:pPr>
        <w:rPr>
          <w:rFonts w:ascii="Segoe UI" w:hAnsi="Segoe UI" w:cs="Segoe UI"/>
        </w:rPr>
      </w:pPr>
      <w:r w:rsidRPr="005D3750">
        <w:rPr>
          <w:rFonts w:ascii="Segoe UI" w:hAnsi="Segoe UI" w:cs="Segoe UI"/>
        </w:rPr>
        <w:t>-Incohérence entre les informations enregistrées lors d’entretien téléphonique et les données insérées dans la base.</w:t>
      </w:r>
    </w:p>
    <w:p w14:paraId="77FF3D51" w14:textId="2BC06168" w:rsidR="009D755B" w:rsidRPr="005D3750" w:rsidRDefault="009D755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-La possibilité multiple de contact peut également </w:t>
      </w:r>
      <w:r w:rsidR="00403BA0">
        <w:rPr>
          <w:rFonts w:ascii="Segoe UI" w:hAnsi="Segoe UI" w:cs="Segoe UI"/>
        </w:rPr>
        <w:t>présenter</w:t>
      </w:r>
      <w:r>
        <w:rPr>
          <w:rFonts w:ascii="Segoe UI" w:hAnsi="Segoe UI" w:cs="Segoe UI"/>
        </w:rPr>
        <w:t xml:space="preserve"> des risques liés à la sécurité et/ou être une porte ouverte aux tentatives de hacking/récupération de données.</w:t>
      </w:r>
    </w:p>
    <w:sectPr w:rsidR="009D755B" w:rsidRPr="005D3750" w:rsidSect="00B16313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0B"/>
    <w:rsid w:val="0003426A"/>
    <w:rsid w:val="0008190E"/>
    <w:rsid w:val="002246BD"/>
    <w:rsid w:val="00256C19"/>
    <w:rsid w:val="0028780C"/>
    <w:rsid w:val="00397E9A"/>
    <w:rsid w:val="003B18EF"/>
    <w:rsid w:val="00403BA0"/>
    <w:rsid w:val="00511E2E"/>
    <w:rsid w:val="00523886"/>
    <w:rsid w:val="00572E5B"/>
    <w:rsid w:val="0059415B"/>
    <w:rsid w:val="005D3750"/>
    <w:rsid w:val="005E4B8F"/>
    <w:rsid w:val="005F3889"/>
    <w:rsid w:val="00686BFA"/>
    <w:rsid w:val="00833323"/>
    <w:rsid w:val="00926FDC"/>
    <w:rsid w:val="00975855"/>
    <w:rsid w:val="009B7E37"/>
    <w:rsid w:val="009C04DA"/>
    <w:rsid w:val="009D6385"/>
    <w:rsid w:val="009D755B"/>
    <w:rsid w:val="00A00DC0"/>
    <w:rsid w:val="00AF1E41"/>
    <w:rsid w:val="00B16313"/>
    <w:rsid w:val="00BB63E8"/>
    <w:rsid w:val="00C338AC"/>
    <w:rsid w:val="00D76B61"/>
    <w:rsid w:val="00DC4B0B"/>
    <w:rsid w:val="00E5187E"/>
    <w:rsid w:val="00EB0D02"/>
    <w:rsid w:val="00F5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F948"/>
  <w15:chartTrackingRefBased/>
  <w15:docId w15:val="{E5D43AF8-5665-4A13-88FD-59A69570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FEVRE Dan</dc:creator>
  <cp:keywords/>
  <dc:description/>
  <cp:lastModifiedBy>FEVRE Dan</cp:lastModifiedBy>
  <cp:revision>24</cp:revision>
  <cp:lastPrinted>2021-10-08T14:14:00Z</cp:lastPrinted>
  <dcterms:created xsi:type="dcterms:W3CDTF">2021-10-08T11:48:00Z</dcterms:created>
  <dcterms:modified xsi:type="dcterms:W3CDTF">2021-10-08T14:15:00Z</dcterms:modified>
</cp:coreProperties>
</file>