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B3ACE">
      <w:pPr>
        <w:jc w:val="center"/>
      </w:pPr>
      <w:r>
        <w:rPr>
          <w:rFonts w:ascii="Times New Roman" w:hAnsi="Times New Roman" w:eastAsia="黑体"/>
          <w:b/>
          <w:sz w:val="32"/>
        </w:rPr>
        <w:t>周五课堂 AI 对话智能体设计</w:t>
      </w:r>
    </w:p>
    <w:p w14:paraId="45490229">
      <w:pPr>
        <w:jc w:val="center"/>
      </w:pPr>
      <w:r>
        <w:rPr>
          <w:rFonts w:ascii="Times New Roman" w:hAnsi="Times New Roman" w:eastAsia="黑体"/>
          <w:b w:val="0"/>
          <w:sz w:val="24"/>
        </w:rPr>
        <w:t>智能教学互动平台</w:t>
      </w:r>
    </w:p>
    <w:p w14:paraId="35FBDB7C">
      <w:r>
        <w:rPr>
          <w:rFonts w:ascii="Times New Roman" w:hAnsi="Times New Roman" w:eastAsia="黑体"/>
          <w:b/>
          <w:sz w:val="28"/>
        </w:rPr>
        <w:t>一、总体设计</w:t>
      </w:r>
    </w:p>
    <w:p w14:paraId="1C9A0910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平台对人工智能的调用集中在两处，二者共用同一套「提示词组装 — 模型调用 — 失败重试 — 结果落库」骨架，因此统一抽象为「智能体」。二者的区别只在于角色与输入输出：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A38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94E59B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智能体</w:t>
            </w:r>
          </w:p>
        </w:tc>
        <w:tc>
          <w:tcPr>
            <w:tcW w:w="1728" w:type="dxa"/>
          </w:tcPr>
          <w:p w14:paraId="431F2536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对应功能</w:t>
            </w:r>
          </w:p>
        </w:tc>
        <w:tc>
          <w:tcPr>
            <w:tcW w:w="1728" w:type="dxa"/>
          </w:tcPr>
          <w:p w14:paraId="7299A23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运行时机</w:t>
            </w:r>
          </w:p>
        </w:tc>
        <w:tc>
          <w:tcPr>
            <w:tcW w:w="1728" w:type="dxa"/>
          </w:tcPr>
          <w:p w14:paraId="7928970A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w="1728" w:type="dxa"/>
          </w:tcPr>
          <w:p w14:paraId="09AF2AC2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</w:tr>
      <w:tr w14:paraId="5B49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F98A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课件解析智能体</w:t>
            </w:r>
          </w:p>
        </w:tc>
        <w:tc>
          <w:tcPr>
            <w:tcW w:w="1728" w:type="dxa"/>
          </w:tcPr>
          <w:p w14:paraId="4A8C3E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F002</w:t>
            </w:r>
          </w:p>
        </w:tc>
        <w:tc>
          <w:tcPr>
            <w:tcW w:w="1728" w:type="dxa"/>
          </w:tcPr>
          <w:p w14:paraId="1674D6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教师上传课件后（异步）</w:t>
            </w:r>
          </w:p>
        </w:tc>
        <w:tc>
          <w:tcPr>
            <w:tcW w:w="1728" w:type="dxa"/>
          </w:tcPr>
          <w:p w14:paraId="6F604C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某一页的文字</w:t>
            </w:r>
          </w:p>
        </w:tc>
        <w:tc>
          <w:tcPr>
            <w:tcW w:w="1728" w:type="dxa"/>
          </w:tcPr>
          <w:p w14:paraId="29B50B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 + 预置提问</w:t>
            </w:r>
          </w:p>
        </w:tc>
      </w:tr>
      <w:tr w14:paraId="3599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AFA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学生问答智能体</w:t>
            </w:r>
          </w:p>
        </w:tc>
        <w:tc>
          <w:tcPr>
            <w:tcW w:w="1728" w:type="dxa"/>
          </w:tcPr>
          <w:p w14:paraId="360E23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F004</w:t>
            </w:r>
          </w:p>
        </w:tc>
        <w:tc>
          <w:tcPr>
            <w:tcW w:w="1728" w:type="dxa"/>
          </w:tcPr>
          <w:p w14:paraId="483E93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学生提问时（实时）</w:t>
            </w:r>
          </w:p>
        </w:tc>
        <w:tc>
          <w:tcPr>
            <w:tcW w:w="1728" w:type="dxa"/>
          </w:tcPr>
          <w:p w14:paraId="0E05CE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本页知识点 + 预置提问 + 学生问题</w:t>
            </w:r>
          </w:p>
        </w:tc>
        <w:tc>
          <w:tcPr>
            <w:tcW w:w="1728" w:type="dxa"/>
          </w:tcPr>
          <w:p w14:paraId="5E7639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一段回答</w:t>
            </w:r>
          </w:p>
        </w:tc>
      </w:tr>
    </w:tbl>
    <w:p w14:paraId="61A3C2E2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一句话概括：解析智能体把「课件」变成「结构化知识」，问答智能体再拿这份知识回答学生。所采用的大模型为 DeepSeek 纯文本模型，不涉及音频、图像与多模态能力。</w:t>
      </w:r>
    </w:p>
    <w:p w14:paraId="51BE57F2">
      <w:r>
        <w:rPr>
          <w:rFonts w:ascii="Times New Roman" w:hAnsi="Times New Roman" w:eastAsia="黑体"/>
          <w:b/>
          <w:sz w:val="28"/>
        </w:rPr>
        <w:t>二、设计图</w:t>
      </w:r>
    </w:p>
    <w:p w14:paraId="458C1FB6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图 1 描述学生端一次完整问答的全过程，包含课前提示词预下发、课中翻页切换上下文、以及提问成功与失败两条分支。</w:t>
      </w:r>
    </w:p>
    <w:p w14:paraId="73FCDEE8">
      <w:pPr>
        <w:jc w:val="center"/>
      </w:pPr>
      <w:r>
        <w:drawing>
          <wp:inline distT="0" distB="0" distL="114300" distR="114300">
            <wp:extent cx="5039995" cy="6212840"/>
            <wp:effectExtent l="0" t="0" r="825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191C">
      <w:pPr>
        <w:jc w:val="center"/>
      </w:pPr>
      <w:r>
        <w:rPr>
          <w:rFonts w:ascii="Times New Roman" w:hAnsi="Times New Roman" w:eastAsia="黑体"/>
          <w:b w:val="0"/>
          <w:sz w:val="21"/>
        </w:rPr>
        <w:t>图 1  学生端 AI 问答时序图（F004）</w:t>
      </w:r>
    </w:p>
    <w:p w14:paraId="147FF8E8">
      <w:r>
        <w:br w:type="page"/>
      </w:r>
    </w:p>
    <w:p w14:paraId="7F970F60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图 2 描述课件解析的全过程。解析是异步的：教师上传后立即返回，后台逐页调用模型，因此一份几十页的课件不会阻塞上传接口。</w:t>
      </w:r>
    </w:p>
    <w:p w14:paraId="3C0969AD">
      <w:pPr>
        <w:jc w:val="center"/>
      </w:pPr>
      <w:r>
        <w:drawing>
          <wp:inline distT="0" distB="0" distL="114300" distR="114300">
            <wp:extent cx="5039995" cy="523176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3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C798">
      <w:pPr>
        <w:jc w:val="center"/>
      </w:pPr>
      <w:r>
        <w:rPr>
          <w:rFonts w:ascii="Times New Roman" w:hAnsi="Times New Roman" w:eastAsia="黑体"/>
          <w:b w:val="0"/>
          <w:sz w:val="21"/>
        </w:rPr>
        <w:t>图 2  课件解析时序图（F001 + F002，异步）</w:t>
      </w:r>
    </w:p>
    <w:p w14:paraId="22F58541">
      <w:r>
        <w:br w:type="page"/>
      </w:r>
    </w:p>
    <w:p w14:paraId="42BBDAEA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图 3 描述问答智能体在调用模型之前，如何一步步组装提示词，以及每一步的降级出口。</w:t>
      </w:r>
    </w:p>
    <w:p w14:paraId="4113F260">
      <w:pPr>
        <w:jc w:val="center"/>
      </w:pPr>
      <w:bookmarkStart w:id="0" w:name="_GoBack"/>
      <w:r>
        <w:drawing>
          <wp:inline distT="0" distB="0" distL="114300" distR="114300">
            <wp:extent cx="2377440" cy="790257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75EEB7">
      <w:pPr>
        <w:jc w:val="center"/>
      </w:pPr>
      <w:r>
        <w:rPr>
          <w:rFonts w:ascii="Times New Roman" w:hAnsi="Times New Roman" w:eastAsia="黑体"/>
          <w:b w:val="0"/>
          <w:sz w:val="21"/>
        </w:rPr>
        <w:t>图 3  AI 问答智能体的提示词组装流程</w:t>
      </w:r>
    </w:p>
    <w:p w14:paraId="673B0D3D">
      <w:r>
        <w:br w:type="page"/>
      </w:r>
    </w:p>
    <w:p w14:paraId="7A58B5C3">
      <w:r>
        <w:rPr>
          <w:rFonts w:ascii="Times New Roman" w:hAnsi="Times New Roman" w:eastAsia="黑体"/>
          <w:b/>
          <w:sz w:val="28"/>
        </w:rPr>
        <w:t>三、核心机制：靠页码定位上下文</w:t>
      </w:r>
    </w:p>
    <w:p w14:paraId="6F6B3C1B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本设计最关键的一环，是把「老师正在讲第几页」作为上下文定位的依据：</w:t>
      </w:r>
    </w:p>
    <w:p w14:paraId="3FF9C976">
      <w:pPr>
        <w:pStyle w:val="16"/>
      </w:pPr>
      <w:r>
        <w:rPr>
          <w:rFonts w:ascii="Times New Roman" w:hAnsi="Times New Roman" w:eastAsia="黑体"/>
          <w:b/>
          <w:sz w:val="21"/>
        </w:rPr>
        <w:t>翻页广播：</w:t>
      </w:r>
      <w:r>
        <w:rPr>
          <w:rFonts w:ascii="Times New Roman" w:hAnsi="Times New Roman" w:eastAsia="宋体"/>
          <w:b w:val="0"/>
          <w:sz w:val="21"/>
        </w:rPr>
        <w:t>老师端把课件转成网页幻灯片，翻页时通过 WebSocket 广播当前页码。</w:t>
      </w:r>
    </w:p>
    <w:p w14:paraId="455038CD">
      <w:pPr>
        <w:pStyle w:val="16"/>
      </w:pPr>
      <w:r>
        <w:rPr>
          <w:rFonts w:ascii="Times New Roman" w:hAnsi="Times New Roman" w:eastAsia="黑体"/>
          <w:b/>
          <w:sz w:val="21"/>
        </w:rPr>
        <w:t>页码定位：</w:t>
      </w:r>
      <w:r>
        <w:rPr>
          <w:rFonts w:ascii="Times New Roman" w:hAnsi="Times New Roman" w:eastAsia="宋体"/>
          <w:b w:val="0"/>
          <w:sz w:val="21"/>
        </w:rPr>
        <w:t>学生端收到页码后，切换到该页对应的知识点上下文。</w:t>
      </w:r>
    </w:p>
    <w:p w14:paraId="133E507A">
      <w:pPr>
        <w:pStyle w:val="16"/>
      </w:pPr>
      <w:r>
        <w:rPr>
          <w:rFonts w:ascii="Times New Roman" w:hAnsi="Times New Roman" w:eastAsia="黑体"/>
          <w:b/>
          <w:sz w:val="21"/>
        </w:rPr>
        <w:t>带页提问：</w:t>
      </w:r>
      <w:r>
        <w:rPr>
          <w:rFonts w:ascii="Times New Roman" w:hAnsi="Times New Roman" w:eastAsia="宋体"/>
          <w:b w:val="0"/>
          <w:sz w:val="21"/>
        </w:rPr>
        <w:t>学生提问时携带当前页的标识，后端只取该页知识点组装提示词。</w:t>
      </w:r>
    </w:p>
    <w:p w14:paraId="7A9F1150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这样做的收益是：问答智能体不需要「理解整份课件」，只需聚焦当前这一页。上下文小、响应快、成本低，而且回答天然贴合老师正在讲的内容，不会答到别处去。</w:t>
      </w:r>
    </w:p>
    <w:p w14:paraId="0049EB15">
      <w:r>
        <w:rPr>
          <w:rFonts w:ascii="Times New Roman" w:hAnsi="Times New Roman" w:eastAsia="黑体"/>
          <w:b/>
          <w:sz w:val="28"/>
        </w:rPr>
        <w:t>四、提示词设计要点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F8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639F3B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设计点</w:t>
            </w:r>
          </w:p>
        </w:tc>
        <w:tc>
          <w:tcPr>
            <w:tcW w:w="2880" w:type="dxa"/>
          </w:tcPr>
          <w:p w14:paraId="5B438469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做法</w:t>
            </w:r>
          </w:p>
        </w:tc>
        <w:tc>
          <w:tcPr>
            <w:tcW w:w="2880" w:type="dxa"/>
          </w:tcPr>
          <w:p w14:paraId="12263BE8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</w:tr>
      <w:tr w14:paraId="3AA6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1150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角色约束</w:t>
            </w:r>
          </w:p>
        </w:tc>
        <w:tc>
          <w:tcPr>
            <w:tcW w:w="2880" w:type="dxa"/>
          </w:tcPr>
          <w:p w14:paraId="236F9F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声明为「课堂助教」，只回答当前页相关问题</w:t>
            </w:r>
          </w:p>
        </w:tc>
        <w:tc>
          <w:tcPr>
            <w:tcW w:w="2880" w:type="dxa"/>
          </w:tcPr>
          <w:p w14:paraId="456438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收窄回答范围，避免跑题</w:t>
            </w:r>
          </w:p>
        </w:tc>
      </w:tr>
      <w:tr w14:paraId="4471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E123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输入隔离</w:t>
            </w:r>
          </w:p>
        </w:tc>
        <w:tc>
          <w:tcPr>
            <w:tcW w:w="2880" w:type="dxa"/>
          </w:tcPr>
          <w:p w14:paraId="7120E0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课件正文与学生问题分别用标记包裹</w:t>
            </w:r>
          </w:p>
        </w:tc>
        <w:tc>
          <w:tcPr>
            <w:tcW w:w="2880" w:type="dxa"/>
          </w:tcPr>
          <w:p w14:paraId="0C38D0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降低正文或问题中夹带指令造成的干扰</w:t>
            </w:r>
          </w:p>
        </w:tc>
      </w:tr>
      <w:tr w14:paraId="7857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F59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结构化输出</w:t>
            </w:r>
          </w:p>
        </w:tc>
        <w:tc>
          <w:tcPr>
            <w:tcW w:w="2880" w:type="dxa"/>
          </w:tcPr>
          <w:p w14:paraId="5734C8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解析智能体强制返回 JSON</w:t>
            </w:r>
          </w:p>
        </w:tc>
        <w:tc>
          <w:tcPr>
            <w:tcW w:w="2880" w:type="dxa"/>
          </w:tcPr>
          <w:p w14:paraId="6650DD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便于程序解析，解析失败可自动重试</w:t>
            </w:r>
          </w:p>
        </w:tc>
      </w:tr>
      <w:tr w14:paraId="4F2F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B3C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允许空结果</w:t>
            </w:r>
          </w:p>
        </w:tc>
        <w:tc>
          <w:tcPr>
            <w:tcW w:w="2880" w:type="dxa"/>
          </w:tcPr>
          <w:p w14:paraId="45A336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封面、目录页返回空数组</w:t>
            </w:r>
          </w:p>
        </w:tc>
        <w:tc>
          <w:tcPr>
            <w:tcW w:w="2880" w:type="dxa"/>
          </w:tcPr>
          <w:p w14:paraId="592F07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不为凑数而编造知识点</w:t>
            </w:r>
          </w:p>
        </w:tc>
      </w:tr>
      <w:tr w14:paraId="2693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CA2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输出长度</w:t>
            </w:r>
          </w:p>
        </w:tc>
        <w:tc>
          <w:tcPr>
            <w:tcW w:w="2880" w:type="dxa"/>
          </w:tcPr>
          <w:p w14:paraId="08B93F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回答限制在 200 字以内</w:t>
            </w:r>
          </w:p>
        </w:tc>
        <w:tc>
          <w:tcPr>
            <w:tcW w:w="2880" w:type="dxa"/>
          </w:tcPr>
          <w:p w14:paraId="3A5646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课堂上长篇回答无意义，也控制成本</w:t>
            </w:r>
          </w:p>
        </w:tc>
      </w:tr>
      <w:tr w14:paraId="5402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CCD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前端渲染</w:t>
            </w:r>
          </w:p>
        </w:tc>
        <w:tc>
          <w:tcPr>
            <w:tcW w:w="2880" w:type="dxa"/>
          </w:tcPr>
          <w:p w14:paraId="48F16A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以纯文本插值展示，不使用富文本注入</w:t>
            </w:r>
          </w:p>
        </w:tc>
        <w:tc>
          <w:tcPr>
            <w:tcW w:w="2880" w:type="dxa"/>
          </w:tcPr>
          <w:p w14:paraId="586203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避免模型输出被当作 HTML 执行</w:t>
            </w:r>
          </w:p>
        </w:tc>
      </w:tr>
    </w:tbl>
    <w:p w14:paraId="58187FB8">
      <w:r>
        <w:rPr>
          <w:rFonts w:ascii="Times New Roman" w:hAnsi="Times New Roman" w:eastAsia="黑体"/>
          <w:b/>
          <w:sz w:val="28"/>
        </w:rPr>
        <w:t>五、超时与重试预算</w:t>
      </w:r>
    </w:p>
    <w:p w14:paraId="4E10043C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在线问答与离线解析的场景不同，采用两套预算，不共用参数：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63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AEAB2AC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w="2160" w:type="dxa"/>
          </w:tcPr>
          <w:p w14:paraId="49063D2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总预算</w:t>
            </w:r>
          </w:p>
        </w:tc>
        <w:tc>
          <w:tcPr>
            <w:tcW w:w="2160" w:type="dxa"/>
          </w:tcPr>
          <w:p w14:paraId="081065D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单次超时</w:t>
            </w:r>
          </w:p>
        </w:tc>
        <w:tc>
          <w:tcPr>
            <w:tcW w:w="2160" w:type="dxa"/>
          </w:tcPr>
          <w:p w14:paraId="16E733F8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重试次数</w:t>
            </w:r>
          </w:p>
        </w:tc>
      </w:tr>
      <w:tr w14:paraId="20F0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0AF1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问答（在线）</w:t>
            </w:r>
          </w:p>
        </w:tc>
        <w:tc>
          <w:tcPr>
            <w:tcW w:w="2160" w:type="dxa"/>
          </w:tcPr>
          <w:p w14:paraId="1FF42A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不超过 20 秒</w:t>
            </w:r>
          </w:p>
        </w:tc>
        <w:tc>
          <w:tcPr>
            <w:tcW w:w="2160" w:type="dxa"/>
          </w:tcPr>
          <w:p w14:paraId="6C6F5A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 秒</w:t>
            </w:r>
          </w:p>
        </w:tc>
        <w:tc>
          <w:tcPr>
            <w:tcW w:w="2160" w:type="dxa"/>
          </w:tcPr>
          <w:p w14:paraId="360CE1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 1 次（退避 1 秒）</w:t>
            </w:r>
          </w:p>
        </w:tc>
      </w:tr>
      <w:tr w14:paraId="6F5E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9D31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解析（离线）</w:t>
            </w:r>
          </w:p>
        </w:tc>
        <w:tc>
          <w:tcPr>
            <w:tcW w:w="2160" w:type="dxa"/>
          </w:tcPr>
          <w:p w14:paraId="582859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无硬上限</w:t>
            </w:r>
          </w:p>
        </w:tc>
        <w:tc>
          <w:tcPr>
            <w:tcW w:w="2160" w:type="dxa"/>
          </w:tcPr>
          <w:p w14:paraId="50DD56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60 秒</w:t>
            </w:r>
          </w:p>
        </w:tc>
        <w:tc>
          <w:tcPr>
            <w:tcW w:w="2160" w:type="dxa"/>
          </w:tcPr>
          <w:p w14:paraId="4F05F9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 3 次（1、2、4 秒）</w:t>
            </w:r>
          </w:p>
        </w:tc>
      </w:tr>
    </w:tbl>
    <w:p w14:paraId="476B4EC7"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此外，仅对超时、限流（429）与服务端错误（5xx）重试；鉴权失败（401）、参数错误（400）、余额不足（402）属于不可恢复错误，立即失败并记录错误码。</w:t>
      </w:r>
    </w:p>
    <w:p w14:paraId="0581F395">
      <w:r>
        <w:rPr>
          <w:rFonts w:ascii="Times New Roman" w:hAnsi="Times New Roman" w:eastAsia="黑体"/>
          <w:b/>
          <w:sz w:val="28"/>
        </w:rPr>
        <w:t>六、异常与降级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65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067398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w="4320" w:type="dxa"/>
          </w:tcPr>
          <w:p w14:paraId="0BDD482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处理方式</w:t>
            </w:r>
          </w:p>
        </w:tc>
      </w:tr>
      <w:tr w14:paraId="5004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77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单页解析失败</w:t>
            </w:r>
          </w:p>
        </w:tc>
        <w:tc>
          <w:tcPr>
            <w:tcW w:w="4320" w:type="dxa"/>
          </w:tcPr>
          <w:p w14:paraId="1B62FE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指数退避重试；重试后仍失败则记录错误、跳过该页继续下一页</w:t>
            </w:r>
          </w:p>
        </w:tc>
      </w:tr>
      <w:tr w14:paraId="6580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F1B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部分页失败</w:t>
            </w:r>
          </w:p>
        </w:tc>
        <w:tc>
          <w:tcPr>
            <w:tcW w:w="4320" w:type="dxa"/>
          </w:tcPr>
          <w:p w14:paraId="6DDD54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任务标记为「部分成功」，课件仍标记为已解析，并置任务级标记提示教师</w:t>
            </w:r>
          </w:p>
        </w:tc>
      </w:tr>
      <w:tr w14:paraId="2B67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85BC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全部页失败</w:t>
            </w:r>
          </w:p>
        </w:tc>
        <w:tc>
          <w:tcPr>
            <w:tcW w:w="4320" w:type="dxa"/>
          </w:tcPr>
          <w:p w14:paraId="268CB5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任务与课件均标记为失败状态，供教师触发重试</w:t>
            </w:r>
          </w:p>
        </w:tc>
      </w:tr>
      <w:tr w14:paraId="0F0C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7E34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课件正在解析中</w:t>
            </w:r>
          </w:p>
        </w:tc>
        <w:tc>
          <w:tcPr>
            <w:tcW w:w="4320" w:type="dxa"/>
          </w:tcPr>
          <w:p w14:paraId="5D1D46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提示「课件还在解析中，稍后再试」，不调用模型</w:t>
            </w:r>
          </w:p>
        </w:tc>
      </w:tr>
      <w:tr w14:paraId="6CEF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5709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课件解析失败</w:t>
            </w:r>
          </w:p>
        </w:tc>
        <w:tc>
          <w:tcPr>
            <w:tcW w:w="4320" w:type="dxa"/>
          </w:tcPr>
          <w:p w14:paraId="4C9188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提示「本页解析失败，请告诉老师」，不调用模型</w:t>
            </w:r>
          </w:p>
        </w:tc>
      </w:tr>
      <w:tr w14:paraId="165B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F6A2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本页确无知识点</w:t>
            </w:r>
          </w:p>
        </w:tc>
        <w:tc>
          <w:tcPr>
            <w:tcW w:w="4320" w:type="dxa"/>
          </w:tcPr>
          <w:p w14:paraId="3E6DA1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提示「本页暂无解析内容」，不调用模型</w:t>
            </w:r>
          </w:p>
        </w:tc>
      </w:tr>
      <w:tr w14:paraId="2083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032F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问答调用超时或失败</w:t>
            </w:r>
          </w:p>
        </w:tc>
        <w:tc>
          <w:tcPr>
            <w:tcW w:w="4320" w:type="dxa"/>
          </w:tcPr>
          <w:p w14:paraId="2AF935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提示「AI 助教暂时忙不过来，请稍后再试」，并写入一条失败状态的问答记录</w:t>
            </w:r>
          </w:p>
        </w:tc>
      </w:tr>
    </w:tbl>
    <w:p w14:paraId="471316EA">
      <w:r>
        <w:rPr>
          <w:rFonts w:ascii="Times New Roman" w:hAnsi="Times New Roman" w:eastAsia="黑体"/>
          <w:b/>
          <w:sz w:val="28"/>
        </w:rPr>
        <w:t>七、并发与限流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FE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65038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措施</w:t>
            </w:r>
          </w:p>
        </w:tc>
        <w:tc>
          <w:tcPr>
            <w:tcW w:w="4320" w:type="dxa"/>
          </w:tcPr>
          <w:p w14:paraId="1E85D36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 w14:paraId="2CD4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D8A0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每学生令牌桶</w:t>
            </w:r>
          </w:p>
        </w:tc>
        <w:tc>
          <w:tcPr>
            <w:tcW w:w="4320" w:type="dxa"/>
          </w:tcPr>
          <w:p w14:paraId="3D9875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例如每 5 秒最多提问 1 次，超限时友好拒绝</w:t>
            </w:r>
          </w:p>
        </w:tc>
      </w:tr>
      <w:tr w14:paraId="24DA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0008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有界线程池</w:t>
            </w:r>
          </w:p>
        </w:tc>
        <w:tc>
          <w:tcPr>
            <w:tcW w:w="4320" w:type="dxa"/>
          </w:tcPr>
          <w:p w14:paraId="0BA875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限制同时进行的模型调用数，超出的请求排队</w:t>
            </w:r>
          </w:p>
        </w:tc>
      </w:tr>
      <w:tr w14:paraId="0BBA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E7E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排队上限</w:t>
            </w:r>
          </w:p>
        </w:tc>
        <w:tc>
          <w:tcPr>
            <w:tcW w:w="4320" w:type="dxa"/>
          </w:tcPr>
          <w:p w14:paraId="0578E3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队列满时快速失败并提示，不无限堆积</w:t>
            </w:r>
          </w:p>
        </w:tc>
      </w:tr>
      <w:tr w14:paraId="4AF5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AB0F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限流退避</w:t>
            </w:r>
          </w:p>
        </w:tc>
        <w:tc>
          <w:tcPr>
            <w:tcW w:w="4320" w:type="dxa"/>
          </w:tcPr>
          <w:p w14:paraId="209FA1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收到限流响应时指数退避重试，不直接判为失败</w:t>
            </w:r>
          </w:p>
        </w:tc>
      </w:tr>
    </w:tbl>
    <w:p w14:paraId="42C6A631">
      <w:r>
        <w:rPr>
          <w:rFonts w:ascii="Times New Roman" w:hAnsi="Times New Roman" w:eastAsia="黑体"/>
          <w:b/>
          <w:sz w:val="28"/>
        </w:rPr>
        <w:t>八、成本控制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2E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198F30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手段</w:t>
            </w:r>
          </w:p>
        </w:tc>
        <w:tc>
          <w:tcPr>
            <w:tcW w:w="4320" w:type="dxa"/>
          </w:tcPr>
          <w:p w14:paraId="110F2B83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效果</w:t>
            </w:r>
          </w:p>
        </w:tc>
      </w:tr>
      <w:tr w14:paraId="3BCF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ABD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解析结果落库</w:t>
            </w:r>
          </w:p>
        </w:tc>
        <w:tc>
          <w:tcPr>
            <w:tcW w:w="4320" w:type="dxa"/>
          </w:tcPr>
          <w:p w14:paraId="2EB068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同一份课件只解析一次，之后复用，不重复消耗额度</w:t>
            </w:r>
          </w:p>
        </w:tc>
      </w:tr>
      <w:tr w14:paraId="0E2E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9C40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上下文只带当前页</w:t>
            </w:r>
          </w:p>
        </w:tc>
        <w:tc>
          <w:tcPr>
            <w:tcW w:w="4320" w:type="dxa"/>
          </w:tcPr>
          <w:p w14:paraId="75BECF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相比把整份课件塞进提示词，消耗降低一个数量级</w:t>
            </w:r>
          </w:p>
        </w:tc>
      </w:tr>
      <w:tr w14:paraId="0490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CD16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相同问题去重</w:t>
            </w:r>
          </w:p>
        </w:tc>
        <w:tc>
          <w:tcPr>
            <w:tcW w:w="4320" w:type="dxa"/>
          </w:tcPr>
          <w:p w14:paraId="1AED65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同一问题多人提问只调用一次模型，课堂场景收益最大</w:t>
            </w:r>
          </w:p>
        </w:tc>
      </w:tr>
      <w:tr w14:paraId="0E7E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68B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解析多页合并调用</w:t>
            </w:r>
          </w:p>
        </w:tc>
        <w:tc>
          <w:tcPr>
            <w:tcW w:w="4320" w:type="dxa"/>
          </w:tcPr>
          <w:p w14:paraId="342237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摊薄重复的系统提示词开销</w:t>
            </w:r>
          </w:p>
        </w:tc>
      </w:tr>
      <w:tr w14:paraId="387D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7BB4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无知识点时不调用</w:t>
            </w:r>
          </w:p>
        </w:tc>
        <w:tc>
          <w:tcPr>
            <w:tcW w:w="4320" w:type="dxa"/>
          </w:tcPr>
          <w:p w14:paraId="4C3E9A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空白页直接返回，省下一次调用</w:t>
            </w:r>
          </w:p>
        </w:tc>
      </w:tr>
      <w:tr w14:paraId="05A89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72B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逐页增量解析</w:t>
            </w:r>
          </w:p>
        </w:tc>
        <w:tc>
          <w:tcPr>
            <w:tcW w:w="4320" w:type="dxa"/>
          </w:tcPr>
          <w:p w14:paraId="44CEAC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单页失败无需重跑整份课件</w:t>
            </w:r>
          </w:p>
        </w:tc>
      </w:tr>
    </w:tbl>
    <w:p w14:paraId="177141A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BF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1551</Words>
  <Characters>1605</Characters>
  <Lines>0</Lines>
  <Paragraphs>0</Paragraphs>
  <TotalTime>42</TotalTime>
  <ScaleCrop>false</ScaleCrop>
  <LinksUpToDate>false</LinksUpToDate>
  <CharactersWithSpaces>1664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WPS_1673275628</cp:lastModifiedBy>
  <dcterms:modified xsi:type="dcterms:W3CDTF">2026-09-10T17:04:21Z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eyJoZGlkIjoiNDBjNTIzNzgzMTA0YTNiNzlhZjk0NDY4MWZiYjliNDQiLCJ1c2VySWQiOiIxNDY3NjM0MjcxIn0=</vt:lpwstr>
  </property>
  <property fmtid="{D5CDD505-2E9C-101B-9397-08002B2CF9AE}" pid="3" name="KSOProductBuildVer">
    <vt:lpwstr>2052-12.1.0.28505</vt:lpwstr>
  </property>
  <property fmtid="{D5CDD505-2E9C-101B-9397-08002B2CF9AE}" pid="4" name="ICV">
    <vt:lpwstr>098B3826F9FC47FE8BE28A5FA896FE2B_12</vt:lpwstr>
  </property>
</Properties>
</file>