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CA9835">
      <w:pPr>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bidi w:val="0"/>
        <w:spacing w:afterAutospacing="0" w:line="300" w:lineRule="auto"/>
        <w:ind w:left="0" w:leftChars="0" w:firstLine="0" w:firstLineChars="0"/>
        <w:jc w:val="center"/>
        <w:rPr>
          <w:rFonts w:hint="eastAsia" w:ascii="黑体" w:hAnsi="黑体" w:eastAsia="黑体" w:cs="方正兰亭中黑_GBK"/>
          <w:b w:val="0"/>
          <w:bCs w:val="0"/>
          <w:color w:val="000000"/>
          <w:spacing w:val="-10"/>
          <w:kern w:val="0"/>
          <w:sz w:val="32"/>
          <w:szCs w:val="32"/>
          <w:highlight w:val="none"/>
          <w:lang w:val="en-US" w:eastAsia="zh-CN" w:bidi="ar-SA"/>
        </w:rPr>
      </w:pPr>
      <w:r>
        <w:rPr>
          <w:rFonts w:hint="eastAsia" w:ascii="黑体" w:hAnsi="黑体" w:eastAsia="黑体" w:cs="方正兰亭中黑_GBK"/>
          <w:b w:val="0"/>
          <w:bCs w:val="0"/>
          <w:color w:val="000000"/>
          <w:spacing w:val="-10"/>
          <w:kern w:val="0"/>
          <w:sz w:val="32"/>
          <w:szCs w:val="32"/>
          <w:highlight w:val="none"/>
          <w:lang w:val="en-US" w:eastAsia="zh-CN" w:bidi="ar-SA"/>
        </w:rPr>
        <w:t>百姓园林导向下城市公园生态系统文化服务感知供需研究</w:t>
      </w:r>
    </w:p>
    <w:p w14:paraId="4DB62E84">
      <w:pPr>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bidi w:val="0"/>
        <w:spacing w:afterAutospacing="0" w:line="300" w:lineRule="auto"/>
        <w:ind w:left="0" w:leftChars="0" w:firstLine="0" w:firstLineChars="0"/>
        <w:jc w:val="center"/>
        <w:rPr>
          <w:rFonts w:hint="eastAsia" w:ascii="黑体" w:hAnsi="黑体" w:eastAsia="黑体" w:cs="方正兰亭中黑_GBK"/>
          <w:b w:val="0"/>
          <w:bCs w:val="0"/>
          <w:color w:val="000000"/>
          <w:spacing w:val="-10"/>
          <w:kern w:val="0"/>
          <w:sz w:val="32"/>
          <w:szCs w:val="32"/>
          <w:highlight w:val="none"/>
          <w:lang w:val="en-US" w:eastAsia="zh-CN" w:bidi="ar-SA"/>
        </w:rPr>
      </w:pPr>
      <w:r>
        <w:rPr>
          <w:rFonts w:hint="eastAsia" w:ascii="黑体" w:hAnsi="黑体" w:eastAsia="黑体" w:cs="方正兰亭中黑_GBK"/>
          <w:b w:val="0"/>
          <w:bCs w:val="0"/>
          <w:color w:val="000000"/>
          <w:spacing w:val="-10"/>
          <w:kern w:val="0"/>
          <w:sz w:val="32"/>
          <w:szCs w:val="32"/>
          <w:highlight w:val="none"/>
          <w:lang w:val="en-US" w:eastAsia="zh-CN" w:bidi="ar-SA"/>
        </w:rPr>
        <w:t>——以深圳市为例</w:t>
      </w:r>
    </w:p>
    <w:p w14:paraId="64D16DA2">
      <w:pPr>
        <w:keepNext w:val="0"/>
        <w:keepLines w:val="0"/>
        <w:pageBreakBefore w:val="0"/>
        <w:widowControl w:val="0"/>
        <w:suppressLineNumbers w:val="0"/>
        <w:kinsoku/>
        <w:wordWrap/>
        <w:overflowPunct/>
        <w:topLinePunct w:val="0"/>
        <w:autoSpaceDE/>
        <w:autoSpaceDN/>
        <w:bidi w:val="0"/>
        <w:adjustRightInd/>
        <w:snapToGrid/>
        <w:ind w:left="0" w:leftChars="0" w:firstLine="0" w:firstLineChars="0"/>
        <w:jc w:val="center"/>
        <w:textAlignment w:val="auto"/>
        <w:rPr>
          <w:rStyle w:val="18"/>
          <w:rFonts w:hint="default" w:ascii="Times New Roman" w:hAnsi="Times New Roman" w:eastAsia="Segoe UI" w:cs="Times New Roman"/>
          <w:i w:val="0"/>
          <w:iCs/>
          <w:caps w:val="0"/>
          <w:color w:val="0F1115"/>
          <w:spacing w:val="0"/>
          <w:sz w:val="36"/>
          <w:szCs w:val="36"/>
          <w:highlight w:val="none"/>
          <w:shd w:val="clear" w:fill="FFFFFF"/>
        </w:rPr>
      </w:pPr>
      <w:r>
        <w:rPr>
          <w:rStyle w:val="18"/>
          <w:rFonts w:hint="default" w:ascii="Times New Roman" w:hAnsi="Times New Roman" w:eastAsia="Segoe UI" w:cs="Times New Roman"/>
          <w:i w:val="0"/>
          <w:iCs/>
          <w:caps w:val="0"/>
          <w:color w:val="0F1115"/>
          <w:spacing w:val="0"/>
          <w:sz w:val="36"/>
          <w:szCs w:val="36"/>
          <w:highlight w:val="none"/>
          <w:shd w:val="clear" w:fill="FFFFFF"/>
        </w:rPr>
        <w:t>Research on the Perceived Supply and Demand of Cultural Ecosystem Services in Urban Parks under the People’s Garden Orientation: A Case Study of Shenzhen</w:t>
      </w:r>
    </w:p>
    <w:p w14:paraId="57D2BC23">
      <w:pPr>
        <w:keepNext w:val="0"/>
        <w:keepLines w:val="0"/>
        <w:pageBreakBefore w:val="0"/>
        <w:widowControl w:val="0"/>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eastAsia="宋体" w:cs="黑体"/>
          <w:kern w:val="2"/>
          <w:sz w:val="21"/>
          <w:szCs w:val="21"/>
          <w:highlight w:val="none"/>
          <w:lang w:val="zh-CN" w:eastAsia="zh-CN"/>
        </w:rPr>
      </w:pPr>
      <w:r>
        <w:rPr>
          <w:rFonts w:hint="default" w:ascii="Times New Roman" w:hAnsi="Times New Roman" w:eastAsia="宋体" w:cs="Times New Roman"/>
          <w:bCs/>
          <w:color w:val="000000" w:themeColor="text1"/>
          <w:kern w:val="0"/>
          <w:szCs w:val="21"/>
          <w:highlight w:val="none"/>
          <w14:textFill>
            <w14:solidFill>
              <w14:schemeClr w14:val="tx1"/>
            </w14:solidFill>
          </w14:textFill>
        </w:rPr>
        <w:t>摘要</w:t>
      </w:r>
      <w:r>
        <w:rPr>
          <w:rFonts w:hint="default" w:ascii="Times New Roman" w:hAnsi="Times New Roman" w:eastAsia="宋体" w:cs="Times New Roman"/>
          <w:bCs/>
          <w:color w:val="000000" w:themeColor="text1"/>
          <w:kern w:val="0"/>
          <w:szCs w:val="21"/>
          <w:highlight w:val="none"/>
          <w:lang w:eastAsia="zh-CN"/>
          <w14:textFill>
            <w14:solidFill>
              <w14:schemeClr w14:val="tx1"/>
            </w14:solidFill>
          </w14:textFill>
        </w:rPr>
        <w:t>：</w:t>
      </w:r>
      <w:r>
        <w:rPr>
          <w:rFonts w:hint="default" w:ascii="Times New Roman" w:hAnsi="Times New Roman" w:eastAsia="宋体" w:cs="Times New Roman"/>
          <w:color w:val="0070C0"/>
          <w:szCs w:val="21"/>
          <w:highlight w:val="none"/>
          <w:shd w:val="clear" w:color="auto" w:fill="FFFFFF"/>
        </w:rPr>
        <w:t>【目的】</w:t>
      </w:r>
      <w:r>
        <w:rPr>
          <w:rFonts w:hint="eastAsia" w:ascii="Times New Roman" w:hAnsi="Times New Roman" w:eastAsia="宋体" w:cs="黑体"/>
          <w:kern w:val="2"/>
          <w:sz w:val="21"/>
          <w:szCs w:val="21"/>
          <w:highlight w:val="none"/>
          <w:lang w:val="zh-CN" w:eastAsia="zh-CN"/>
        </w:rPr>
        <w:t>在深圳“千园之城”由增量建设转向品质提升、风景园林行业持续深化“百姓园林”实践背景下，如何使城市公园服务回应公众真实使用与日常获得</w:t>
      </w:r>
      <w:r>
        <w:rPr>
          <w:rFonts w:hint="eastAsia" w:ascii="Times New Roman" w:hAnsi="Times New Roman" w:eastAsia="宋体" w:cs="黑体"/>
          <w:kern w:val="2"/>
          <w:sz w:val="21"/>
          <w:szCs w:val="21"/>
          <w:highlight w:val="none"/>
          <w:lang w:val="en-US" w:eastAsia="zh-CN"/>
        </w:rPr>
        <w:t>需求</w:t>
      </w:r>
      <w:r>
        <w:rPr>
          <w:rFonts w:hint="eastAsia" w:ascii="Times New Roman" w:hAnsi="Times New Roman" w:eastAsia="宋体" w:cs="黑体"/>
          <w:kern w:val="2"/>
          <w:sz w:val="21"/>
          <w:szCs w:val="21"/>
          <w:highlight w:val="none"/>
          <w:lang w:val="zh-CN" w:eastAsia="zh-CN"/>
        </w:rPr>
        <w:t>，已成为公园精细化</w:t>
      </w:r>
      <w:r>
        <w:rPr>
          <w:rFonts w:hint="eastAsia" w:ascii="Times New Roman" w:hAnsi="Times New Roman" w:eastAsia="宋体" w:cs="黑体"/>
          <w:color w:val="auto"/>
          <w:kern w:val="2"/>
          <w:sz w:val="21"/>
          <w:szCs w:val="21"/>
          <w:highlight w:val="none"/>
          <w:lang w:val="zh-CN" w:eastAsia="zh-CN"/>
        </w:rPr>
        <w:t>治理与民生导向更新的重要议题。</w:t>
      </w:r>
      <w:r>
        <w:rPr>
          <w:rFonts w:hint="default" w:ascii="Times New Roman" w:hAnsi="Times New Roman" w:eastAsia="宋体" w:cs="Times New Roman"/>
          <w:color w:val="auto"/>
          <w:szCs w:val="21"/>
          <w:highlight w:val="none"/>
          <w:shd w:val="clear" w:color="auto" w:fill="FFFFFF"/>
        </w:rPr>
        <w:t>【方法】</w:t>
      </w:r>
      <w:r>
        <w:rPr>
          <w:rFonts w:hint="eastAsia" w:ascii="Times New Roman" w:hAnsi="Times New Roman" w:eastAsia="宋体" w:cs="黑体"/>
          <w:color w:val="auto"/>
          <w:kern w:val="2"/>
          <w:sz w:val="21"/>
          <w:szCs w:val="21"/>
          <w:highlight w:val="none"/>
          <w:lang w:val="zh-CN" w:eastAsia="zh-CN"/>
        </w:rPr>
        <w:t>以深圳市52座公园9624条网络评论为样本，以“百姓园林”为导向，以生态系统文化服务</w:t>
      </w:r>
      <w:r>
        <w:rPr>
          <w:rFonts w:hint="default" w:ascii="Times New Roman" w:hAnsi="Times New Roman" w:eastAsia="宋体" w:cs="Times New Roman"/>
          <w:color w:val="auto"/>
          <w:szCs w:val="21"/>
          <w:highlight w:val="none"/>
          <w:shd w:val="clear" w:color="auto" w:fill="FFFFFF"/>
        </w:rPr>
        <w:t>（cultural ecosystem services,CES）</w:t>
      </w:r>
      <w:r>
        <w:rPr>
          <w:rFonts w:hint="eastAsia" w:ascii="Times New Roman" w:hAnsi="Times New Roman" w:eastAsia="宋体" w:cs="黑体"/>
          <w:color w:val="auto"/>
          <w:kern w:val="2"/>
          <w:sz w:val="21"/>
          <w:szCs w:val="21"/>
          <w:highlight w:val="none"/>
          <w:lang w:val="en-US" w:eastAsia="zh-CN"/>
        </w:rPr>
        <w:t>为评估内容框架，共同</w:t>
      </w:r>
      <w:r>
        <w:rPr>
          <w:rFonts w:hint="eastAsia" w:ascii="Times New Roman" w:hAnsi="Times New Roman" w:eastAsia="宋体" w:cs="黑体"/>
          <w:color w:val="auto"/>
          <w:kern w:val="2"/>
          <w:sz w:val="21"/>
          <w:szCs w:val="21"/>
          <w:highlight w:val="none"/>
          <w:lang w:val="zh-CN" w:eastAsia="zh-CN"/>
        </w:rPr>
        <w:t>构</w:t>
      </w:r>
      <w:r>
        <w:rPr>
          <w:rFonts w:hint="eastAsia" w:ascii="Times New Roman" w:hAnsi="Times New Roman" w:eastAsia="宋体" w:cs="黑体"/>
          <w:kern w:val="2"/>
          <w:sz w:val="21"/>
          <w:szCs w:val="21"/>
          <w:highlight w:val="none"/>
          <w:lang w:val="zh-CN" w:eastAsia="zh-CN"/>
        </w:rPr>
        <w:t>建4维度10要素评价</w:t>
      </w:r>
      <w:r>
        <w:rPr>
          <w:rFonts w:hint="eastAsia" w:ascii="Times New Roman" w:hAnsi="Times New Roman" w:eastAsia="宋体" w:cs="黑体"/>
          <w:kern w:val="2"/>
          <w:sz w:val="21"/>
          <w:szCs w:val="21"/>
          <w:highlight w:val="none"/>
          <w:lang w:val="en-US" w:eastAsia="zh-CN"/>
        </w:rPr>
        <w:t>体系</w:t>
      </w:r>
      <w:r>
        <w:rPr>
          <w:rFonts w:hint="eastAsia" w:ascii="Times New Roman" w:hAnsi="Times New Roman" w:eastAsia="宋体" w:cs="黑体"/>
          <w:kern w:val="2"/>
          <w:sz w:val="21"/>
          <w:szCs w:val="21"/>
          <w:highlight w:val="none"/>
          <w:lang w:val="zh-CN" w:eastAsia="zh-CN"/>
        </w:rPr>
        <w:t>，以公众感知频率和感知倾向分别表征需求侧与供给侧，结合大语言模型、岭回归与重要性—绩效分析法（IPA）模型，分析不同类型公园CES感知供需特征及</w:t>
      </w:r>
      <w:r>
        <w:rPr>
          <w:rFonts w:hint="eastAsia" w:ascii="Times New Roman" w:hAnsi="Times New Roman" w:eastAsia="宋体" w:cs="黑体"/>
          <w:kern w:val="2"/>
          <w:sz w:val="21"/>
          <w:szCs w:val="21"/>
          <w:highlight w:val="none"/>
          <w:lang w:val="en-US" w:eastAsia="zh-CN"/>
        </w:rPr>
        <w:t>影响总体感知倾向的</w:t>
      </w:r>
      <w:r>
        <w:rPr>
          <w:rFonts w:hint="eastAsia" w:ascii="Times New Roman" w:hAnsi="Times New Roman" w:eastAsia="宋体" w:cs="黑体"/>
          <w:kern w:val="2"/>
          <w:sz w:val="21"/>
          <w:szCs w:val="21"/>
          <w:highlight w:val="none"/>
          <w:lang w:val="zh-CN" w:eastAsia="zh-CN"/>
        </w:rPr>
        <w:t>关键驱动。</w:t>
      </w:r>
      <w:r>
        <w:rPr>
          <w:rFonts w:hint="default" w:ascii="Times New Roman" w:hAnsi="Times New Roman" w:eastAsia="宋体" w:cs="Times New Roman"/>
          <w:color w:val="0070C0"/>
          <w:szCs w:val="21"/>
          <w:highlight w:val="none"/>
          <w:shd w:val="clear" w:color="auto" w:fill="FFFFFF"/>
        </w:rPr>
        <w:t>【结果】</w:t>
      </w:r>
      <w:r>
        <w:rPr>
          <w:rFonts w:hint="eastAsia" w:ascii="Times New Roman" w:hAnsi="Times New Roman" w:eastAsia="宋体" w:cs="黑体"/>
          <w:kern w:val="2"/>
          <w:sz w:val="21"/>
          <w:szCs w:val="21"/>
          <w:highlight w:val="none"/>
          <w:lang w:val="en-US" w:eastAsia="zh-CN"/>
        </w:rPr>
        <w:t>研究显示</w:t>
      </w:r>
      <w:r>
        <w:rPr>
          <w:rFonts w:hint="eastAsia" w:ascii="Times New Roman" w:hAnsi="Times New Roman" w:eastAsia="宋体" w:cs="黑体"/>
          <w:kern w:val="2"/>
          <w:sz w:val="21"/>
          <w:szCs w:val="21"/>
          <w:highlight w:val="none"/>
          <w:lang w:val="zh-CN" w:eastAsia="zh-CN"/>
        </w:rPr>
        <w:t>公园CES感知以美学与文化服务关注度最高，游憩与教育服务偏弱；基干公园感知倾向优于特色公园和自然公园，不同类型公园在</w:t>
      </w:r>
      <w:r>
        <w:rPr>
          <w:rFonts w:hint="eastAsia" w:ascii="Times New Roman" w:hAnsi="Times New Roman" w:eastAsia="宋体" w:cs="黑体"/>
          <w:kern w:val="2"/>
          <w:sz w:val="21"/>
          <w:szCs w:val="21"/>
          <w:highlight w:val="none"/>
          <w:lang w:val="en-US" w:eastAsia="zh-CN"/>
        </w:rPr>
        <w:t>感知倾向和感知频率</w:t>
      </w:r>
      <w:r>
        <w:rPr>
          <w:rFonts w:hint="eastAsia" w:ascii="Times New Roman" w:hAnsi="Times New Roman" w:eastAsia="宋体" w:cs="黑体"/>
          <w:kern w:val="2"/>
          <w:sz w:val="21"/>
          <w:szCs w:val="21"/>
          <w:highlight w:val="none"/>
          <w:lang w:val="zh-CN" w:eastAsia="zh-CN"/>
        </w:rPr>
        <w:t>方面存在差异；</w:t>
      </w:r>
      <w:r>
        <w:rPr>
          <w:rFonts w:hint="eastAsia" w:ascii="Times New Roman" w:hAnsi="Times New Roman" w:eastAsia="宋体" w:cs="黑体"/>
          <w:kern w:val="2"/>
          <w:sz w:val="21"/>
          <w:szCs w:val="21"/>
          <w:highlight w:val="none"/>
          <w:lang w:val="en-US" w:eastAsia="zh-CN"/>
        </w:rPr>
        <w:t>岭回归结果显示：</w:t>
      </w:r>
      <w:r>
        <w:rPr>
          <w:rFonts w:hint="eastAsia" w:ascii="Times New Roman" w:hAnsi="Times New Roman" w:eastAsia="宋体" w:cs="黑体"/>
          <w:kern w:val="2"/>
          <w:sz w:val="21"/>
          <w:szCs w:val="21"/>
          <w:highlight w:val="none"/>
          <w:lang w:val="zh-CN" w:eastAsia="zh-CN"/>
        </w:rPr>
        <w:t>文化遗产服务与空间开敞与通行服务对总体感知倾向具有显著正向作用，可达性与保障服务呈显著负向作用，是制约整体体验质量的突出短板。</w:t>
      </w:r>
      <w:r>
        <w:rPr>
          <w:rFonts w:hint="eastAsia" w:ascii="Times New Roman" w:hAnsi="Times New Roman" w:cs="黑体"/>
          <w:kern w:val="2"/>
          <w:sz w:val="21"/>
          <w:szCs w:val="21"/>
          <w:highlight w:val="none"/>
          <w:lang w:val="en-US" w:eastAsia="zh-CN"/>
        </w:rPr>
        <w:t>IPA结果显示</w:t>
      </w:r>
      <w:r>
        <w:rPr>
          <w:rFonts w:hint="eastAsia" w:ascii="Times New Roman" w:hAnsi="Times New Roman" w:eastAsia="宋体" w:cs="黑体"/>
          <w:kern w:val="2"/>
          <w:sz w:val="21"/>
          <w:szCs w:val="21"/>
          <w:highlight w:val="none"/>
          <w:lang w:val="zh-CN" w:eastAsia="zh-CN"/>
        </w:rPr>
        <w:t>多数要素</w:t>
      </w:r>
      <w:r>
        <w:rPr>
          <w:rFonts w:hint="eastAsia" w:ascii="Times New Roman" w:hAnsi="Times New Roman" w:eastAsia="宋体" w:cs="黑体"/>
          <w:kern w:val="2"/>
          <w:sz w:val="21"/>
          <w:szCs w:val="21"/>
          <w:highlight w:val="none"/>
          <w:lang w:val="en-US" w:eastAsia="zh-CN"/>
        </w:rPr>
        <w:t>为保持优势或低优先观察</w:t>
      </w:r>
      <w:r>
        <w:rPr>
          <w:rFonts w:hint="eastAsia" w:ascii="Times New Roman" w:hAnsi="Times New Roman" w:eastAsia="宋体" w:cs="黑体"/>
          <w:kern w:val="2"/>
          <w:sz w:val="21"/>
          <w:szCs w:val="21"/>
          <w:highlight w:val="none"/>
          <w:lang w:val="zh-CN" w:eastAsia="zh-CN"/>
        </w:rPr>
        <w:t>；可达性与保障服务处于高需低供区，</w:t>
      </w:r>
      <w:r>
        <w:rPr>
          <w:rFonts w:hint="eastAsia" w:ascii="Times New Roman" w:hAnsi="Times New Roman" w:eastAsia="宋体" w:cs="黑体"/>
          <w:kern w:val="2"/>
          <w:sz w:val="21"/>
          <w:szCs w:val="21"/>
          <w:highlight w:val="none"/>
          <w:lang w:val="en-US" w:eastAsia="zh-CN"/>
        </w:rPr>
        <w:t>为</w:t>
      </w:r>
      <w:r>
        <w:rPr>
          <w:rFonts w:hint="eastAsia" w:ascii="Times New Roman" w:hAnsi="Times New Roman" w:eastAsia="宋体" w:cs="黑体"/>
          <w:kern w:val="2"/>
          <w:sz w:val="21"/>
          <w:szCs w:val="21"/>
          <w:highlight w:val="none"/>
          <w:lang w:val="zh-CN" w:eastAsia="zh-CN"/>
        </w:rPr>
        <w:t>优先补齐短板；生态健康指标和体验地形服务处于低需高供区，后续宜通过解说展示、自然教育提升公众感知度。</w:t>
      </w:r>
      <w:r>
        <w:rPr>
          <w:rFonts w:hint="default" w:ascii="Times New Roman" w:hAnsi="Times New Roman" w:eastAsia="宋体" w:cs="Times New Roman"/>
          <w:color w:val="0070C0"/>
          <w:szCs w:val="21"/>
          <w:highlight w:val="none"/>
          <w:shd w:val="clear" w:color="auto" w:fill="FFFFFF"/>
        </w:rPr>
        <w:t>【结论】</w:t>
      </w:r>
      <w:r>
        <w:rPr>
          <w:rFonts w:hint="eastAsia" w:ascii="Times New Roman" w:hAnsi="Times New Roman" w:eastAsia="宋体" w:cs="黑体"/>
          <w:kern w:val="2"/>
          <w:sz w:val="21"/>
          <w:szCs w:val="21"/>
          <w:highlight w:val="none"/>
          <w:lang w:val="zh-CN" w:eastAsia="zh-CN"/>
        </w:rPr>
        <w:t>深圳城市公园分类治理与</w:t>
      </w:r>
      <w:r>
        <w:rPr>
          <w:rFonts w:hint="eastAsia" w:ascii="Times New Roman" w:hAnsi="Times New Roman" w:eastAsia="宋体" w:cs="黑体"/>
          <w:kern w:val="2"/>
          <w:sz w:val="21"/>
          <w:szCs w:val="21"/>
          <w:highlight w:val="none"/>
          <w:lang w:val="en-US" w:eastAsia="zh-CN"/>
        </w:rPr>
        <w:t>关键</w:t>
      </w:r>
      <w:r>
        <w:rPr>
          <w:rFonts w:hint="eastAsia" w:ascii="Times New Roman" w:hAnsi="Times New Roman" w:eastAsia="宋体" w:cs="黑体"/>
          <w:kern w:val="2"/>
          <w:sz w:val="21"/>
          <w:szCs w:val="21"/>
          <w:highlight w:val="none"/>
          <w:lang w:val="zh-CN" w:eastAsia="zh-CN"/>
        </w:rPr>
        <w:t>要素更新，应在优先</w:t>
      </w:r>
      <w:r>
        <w:rPr>
          <w:rFonts w:hint="eastAsia" w:ascii="Times New Roman" w:hAnsi="Times New Roman" w:eastAsia="宋体" w:cs="黑体"/>
          <w:kern w:val="2"/>
          <w:sz w:val="21"/>
          <w:szCs w:val="21"/>
          <w:highlight w:val="none"/>
          <w:lang w:val="en-US" w:eastAsia="zh-CN"/>
        </w:rPr>
        <w:t>改善</w:t>
      </w:r>
      <w:r>
        <w:rPr>
          <w:rFonts w:hint="eastAsia" w:ascii="Times New Roman" w:hAnsi="Times New Roman" w:eastAsia="宋体" w:cs="黑体"/>
          <w:kern w:val="2"/>
          <w:sz w:val="21"/>
          <w:szCs w:val="21"/>
          <w:highlight w:val="none"/>
          <w:lang w:val="zh-CN" w:eastAsia="zh-CN"/>
        </w:rPr>
        <w:t>停车、如厕和无障碍等基础保障短板的同时，强化文化表达与空间组织协同，使评价来源于公众表达，并进一步转化为公共空间品质提升与“百姓园林”实践路径。</w:t>
      </w:r>
    </w:p>
    <w:p w14:paraId="0D8D9DAB">
      <w:pPr>
        <w:spacing w:line="300" w:lineRule="auto"/>
        <w:ind w:firstLine="0" w:firstLineChars="0"/>
        <w:rPr>
          <w:rFonts w:hint="default" w:ascii="Times New Roman" w:hAnsi="Times New Roman" w:eastAsia="宋体" w:cs="Times New Roman"/>
          <w:szCs w:val="21"/>
          <w:highlight w:val="none"/>
          <w:shd w:val="clear" w:color="auto" w:fill="FFFFFF"/>
          <w:lang w:val="en-US" w:eastAsia="zh-CN"/>
        </w:rPr>
      </w:pPr>
      <w:r>
        <w:rPr>
          <w:rFonts w:hint="eastAsia" w:ascii="Times New Roman" w:hAnsi="Times New Roman" w:eastAsia="宋体" w:cs="Times New Roman"/>
          <w:szCs w:val="21"/>
          <w:highlight w:val="none"/>
          <w:shd w:val="clear" w:color="auto" w:fill="FFFFFF"/>
          <w:lang w:val="zh-CN" w:eastAsia="zh-CN"/>
        </w:rPr>
        <w:t>关键词：生态系统文化服务；城市公园；</w:t>
      </w:r>
      <w:r>
        <w:rPr>
          <w:rFonts w:hint="eastAsia" w:ascii="Times New Roman" w:hAnsi="Times New Roman" w:eastAsia="宋体" w:cs="Times New Roman"/>
          <w:szCs w:val="21"/>
          <w:highlight w:val="none"/>
          <w:shd w:val="clear" w:color="auto" w:fill="FFFFFF"/>
          <w:lang w:val="en-US" w:eastAsia="zh-CN"/>
        </w:rPr>
        <w:t>个体感知供需</w:t>
      </w:r>
      <w:r>
        <w:rPr>
          <w:rFonts w:hint="eastAsia" w:ascii="Times New Roman" w:hAnsi="Times New Roman" w:eastAsia="宋体" w:cs="Times New Roman"/>
          <w:szCs w:val="21"/>
          <w:highlight w:val="none"/>
          <w:shd w:val="clear" w:color="auto" w:fill="FFFFFF"/>
          <w:lang w:val="zh-CN" w:eastAsia="zh-CN"/>
        </w:rPr>
        <w:t>；</w:t>
      </w:r>
      <w:r>
        <w:rPr>
          <w:rFonts w:hint="eastAsia" w:ascii="Times New Roman" w:hAnsi="Times New Roman" w:eastAsia="宋体" w:cs="Times New Roman"/>
          <w:szCs w:val="21"/>
          <w:highlight w:val="none"/>
          <w:shd w:val="clear" w:color="auto" w:fill="FFFFFF"/>
          <w:lang w:val="en-US" w:eastAsia="zh-CN"/>
        </w:rPr>
        <w:t>百姓园林</w:t>
      </w:r>
      <w:r>
        <w:rPr>
          <w:rFonts w:hint="eastAsia" w:ascii="Times New Roman" w:hAnsi="Times New Roman" w:eastAsia="宋体" w:cs="Times New Roman"/>
          <w:szCs w:val="21"/>
          <w:highlight w:val="none"/>
          <w:shd w:val="clear" w:color="auto" w:fill="FFFFFF"/>
          <w:lang w:val="zh-CN" w:eastAsia="zh-CN"/>
        </w:rPr>
        <w:t>；</w:t>
      </w:r>
      <w:r>
        <w:rPr>
          <w:rFonts w:hint="eastAsia" w:ascii="Times New Roman" w:hAnsi="Times New Roman" w:eastAsia="宋体" w:cs="Times New Roman"/>
          <w:szCs w:val="21"/>
          <w:highlight w:val="none"/>
          <w:shd w:val="clear" w:color="auto" w:fill="FFFFFF"/>
          <w:lang w:val="en-US" w:eastAsia="zh-CN"/>
        </w:rPr>
        <w:t>大语言模型；景观规划</w:t>
      </w:r>
    </w:p>
    <w:p w14:paraId="4E3CA1DA">
      <w:pPr>
        <w:keepNext w:val="0"/>
        <w:keepLines w:val="0"/>
        <w:pageBreakBefore w:val="0"/>
        <w:widowControl w:val="0"/>
        <w:kinsoku/>
        <w:wordWrap/>
        <w:overflowPunct/>
        <w:topLinePunct w:val="0"/>
        <w:autoSpaceDE/>
        <w:autoSpaceDN/>
        <w:bidi w:val="0"/>
        <w:spacing w:beforeAutospacing="0" w:afterAutospacing="0"/>
        <w:ind w:left="0" w:leftChars="0" w:firstLine="0" w:firstLineChars="0"/>
        <w:textAlignment w:val="auto"/>
        <w:rPr>
          <w:rFonts w:hint="default" w:ascii="Times New Roman" w:hAnsi="Times New Roman" w:eastAsia="宋体" w:cs="Times New Roman"/>
          <w:sz w:val="21"/>
          <w:szCs w:val="21"/>
          <w:highlight w:val="none"/>
          <w:lang w:eastAsia="zh-CN"/>
        </w:rPr>
      </w:pPr>
      <w:r>
        <w:rPr>
          <w:rFonts w:hint="default" w:ascii="Times New Roman" w:hAnsi="Times New Roman" w:eastAsia="宋体" w:cs="Times New Roman"/>
          <w:sz w:val="21"/>
          <w:szCs w:val="21"/>
          <w:highlight w:val="none"/>
        </w:rPr>
        <w:t>Abstract</w:t>
      </w:r>
      <w:r>
        <w:rPr>
          <w:rFonts w:hint="default" w:ascii="Times New Roman" w:hAnsi="Times New Roman" w:eastAsia="宋体" w:cs="Times New Roman"/>
          <w:sz w:val="21"/>
          <w:szCs w:val="21"/>
          <w:highlight w:val="none"/>
          <w:lang w:eastAsia="zh-CN"/>
        </w:rPr>
        <w:t>：</w:t>
      </w:r>
    </w:p>
    <w:p w14:paraId="0B7BF0CF">
      <w:pPr>
        <w:pStyle w:val="42"/>
        <w:bidi w:val="0"/>
        <w:rPr>
          <w:rFonts w:hint="default"/>
          <w:highlight w:val="none"/>
          <w:lang w:val="en-US" w:eastAsia="zh-CN"/>
        </w:rPr>
      </w:pPr>
      <w:commentRangeStart w:id="15"/>
      <w:r>
        <w:rPr>
          <w:highlight w:val="yellow"/>
        </w:rPr>
        <w:t>[Objective] Against</w:t>
      </w:r>
      <w:commentRangeEnd w:id="15"/>
      <w:r>
        <w:rPr>
          <w:rStyle w:val="CommentReference"/>
        </w:rPr>
        <w:commentReference w:id="15"/>
      </w:r>
      <w:r>
        <w:t xml:space="preserve"> the background of Shenzhen’s transformation as a “City of a Thousand Parks” from incremental park construction toward quality-oriented improvement, and in the context of the landscape architecture discipline’s continued advancement of the practice of “People’s Garden Orientation,” how urban park services can more effectively respond to the public’s actual patterns of use and everyday needs for accessible benefits has become an important issue in refined park governance and livelihood-oriented urban renewal. This shift indicates that the evaluation and improvement of urban parks should no longer be confined to the expansion of green space quantity, spatial coverage, or facility provision. Instead, greater attention should be paid to whether park services can be perceived, used, shared, and continuously obtained by ordinary residents in their daily lives. In this sense, urban parks are not merely ecological or recreational spaces, but also public service carriers that connect environmental quality, cultural experience, social interaction, physical and mental well-being, and urban governance. Therefore, exploring the perceived supply and demand of urban park services from the perspective of public experience provides a practical basis for improving park quality, optimizing service allocation, and promoting more equitable and responsive landscape architecture practices.</w:t>
      </w:r>
    </w:p>
    <w:p w14:paraId="3614A888">
      <w:pPr>
        <w:pStyle w:val="42"/>
        <w:bidi w:val="0"/>
        <w:rPr>
          <w:rFonts w:hint="default"/>
          <w:highlight w:val="none"/>
          <w:lang w:val="en-US" w:eastAsia="zh-CN"/>
        </w:rPr>
      </w:pPr>
      <w:commentRangeStart w:id="16"/>
      <w:r>
        <w:rPr>
          <w:highlight w:val="yellow"/>
        </w:rPr>
        <w:t>[Methods] Taking</w:t>
      </w:r>
      <w:commentRangeEnd w:id="16"/>
      <w:r>
        <w:rPr>
          <w:rStyle w:val="CommentReference"/>
        </w:rPr>
        <w:commentReference w:id="16"/>
      </w:r>
      <w:r>
        <w:t xml:space="preserve"> 9,624 online reviews of 52 urban parks in Shenzhen as the empirical sample, this study adopts “People’s Garden Orientation” as its guiding perspective and uses cultural ecosystem services (CES) as the substantive framework for assessment. On this basis, an evaluation system comprising four dimensions and ten indicators is jointly constructed to capture the multiple non-material benefits generated by urban parks in everyday use. Public perceived frequency is employed to represent the demand side, reflecting the extent to which specific CES elements are mentioned and attended to by park users, while perceived tendency is used to characterize the supply side, indicating users’ affective evaluation of the corresponding service performance. Methodologically, the study integrates large language models, ridge regression, and the Importance–Performance Analysis (IPA) model to examine the perceived supply–demand characteristics of CES across different types of urban parks. It further identifies the key driving factors that influence overall perceived tendency. Through this analytical framework, the study seeks to reveal how urban park services are experienced, evaluated, and differentiated by the public, thereby providing empirical support for refined park governance and quality-oriented improvement.</w:t>
      </w:r>
    </w:p>
    <w:p w14:paraId="162F09DC">
      <w:pPr>
        <w:pStyle w:val="42"/>
        <w:bidi w:val="0"/>
        <w:rPr>
          <w:rFonts w:hint="default"/>
          <w:highlight w:val="none"/>
          <w:lang w:val="en-US" w:eastAsia="zh-CN"/>
        </w:rPr>
      </w:pPr>
      <w:r>
        <w:rPr>
          <w:rFonts w:hint="default" w:ascii="Times New Roman" w:hAnsi="Times New Roman" w:eastAsia="宋体" w:cs="Times New Roman"/>
          <w:bCs/>
          <w:color w:val="0070C0"/>
          <w:kern w:val="2"/>
          <w:sz w:val="21"/>
          <w:szCs w:val="21"/>
          <w:highlight w:val="none"/>
          <w:shd w:val="clear"/>
          <w:lang w:val="en-US" w:eastAsia="zh-CN" w:bidi="ar-SA"/>
        </w:rPr>
        <w:t>[Results]</w:t>
      </w:r>
      <w:r>
        <w:rPr>
          <w:rFonts w:hint="default"/>
          <w:highlight w:val="none"/>
          <w:lang w:val="en-US" w:eastAsia="zh-CN"/>
        </w:rPr>
        <w:t>The results indicate that the public perception of cultural ecosystem services (CES) in urban parks is most strongly concentrated on aesthetic and cultural services, whereas recreational and educational services remain relatively weak in terms of perceived attention and experiential performance. In terms of park types, basic parks demonstrate a higher perceived tendency than both specialized parks and natural parks, suggesting that parks closely associated with daily public use and routine leisure activities are more likely to generate stable and positive user evaluations. Meanwhile, evident differences exist among different types of parks in both perceived tendency and perceived frequency, indicating that CES perception is shaped not only by the objective attributes of park spaces, but also by their functional orientation, service population, accessibility conditions, and everyday use scenarios.</w:t>
      </w:r>
    </w:p>
    <w:p w14:paraId="53347DF1">
      <w:pPr>
        <w:pStyle w:val="42"/>
        <w:bidi w:val="0"/>
        <w:rPr>
          <w:rFonts w:hint="default"/>
          <w:highlight w:val="none"/>
          <w:lang w:val="en-US" w:eastAsia="zh-CN"/>
        </w:rPr>
      </w:pPr>
      <w:r>
        <w:rPr>
          <w:rFonts w:hint="default"/>
          <w:highlight w:val="none"/>
          <w:lang w:val="en-US" w:eastAsia="zh-CN"/>
        </w:rPr>
        <w:t>The ridge regression results further reveal that cultural heritage services and spatial openness services exert significant positive effects on overall perceived tendency. These findings suggest that place-based cultural expression, urban memory, spatial inclusiveness, and open public activity environments play an important role in enhancing users’ overall evaluation of park experience. By contrast, accessibility and supporting services show a significant negative effect, indicating that problems related to transportation convenience, entrance accessibility, guidance systems, service facilities, safety management, and basic operational support constitute prominent constraints on the overall quality of park experience.</w:t>
      </w:r>
    </w:p>
    <w:p w14:paraId="2453C386">
      <w:pPr>
        <w:pStyle w:val="42"/>
        <w:bidi w:val="0"/>
        <w:rPr>
          <w:rFonts w:hint="default"/>
          <w:highlight w:val="none"/>
          <w:lang w:val="en-US" w:eastAsia="zh-CN"/>
        </w:rPr>
      </w:pPr>
      <w:r>
        <w:rPr>
          <w:rFonts w:hint="default"/>
          <w:highlight w:val="none"/>
          <w:lang w:val="en-US" w:eastAsia="zh-CN"/>
        </w:rPr>
        <w:t>The IPA results show that most CES elements fall into the categories of “maintaining existing advantages” or “low-priority observation.” However, accessibility and supporting services are located in the high-demand but low-supply quadrant, making them the priority area for improvement. Ecological health indicators and experiential topography services are located in the low-demand but high-supply quadrant; therefore, future optimization should enhance public perception through interpretive displays, environmental education, guided routes, and more explicit communication of ecological and topographical values.</w:t>
      </w:r>
    </w:p>
    <w:p w14:paraId="184B8147">
      <w:pPr>
        <w:pStyle w:val="42"/>
        <w:bidi w:val="0"/>
        <w:rPr>
          <w:rFonts w:hint="default"/>
          <w:highlight w:val="none"/>
          <w:lang w:val="en-US" w:eastAsia="zh-CN"/>
        </w:rPr>
      </w:pPr>
      <w:r>
        <w:rPr>
          <w:rFonts w:hint="default" w:ascii="Times New Roman" w:hAnsi="Times New Roman" w:eastAsia="宋体" w:cs="Times New Roman"/>
          <w:bCs/>
          <w:color w:val="0070C0"/>
          <w:kern w:val="2"/>
          <w:sz w:val="21"/>
          <w:szCs w:val="21"/>
          <w:highlight w:val="none"/>
          <w:shd w:val="clear"/>
          <w:lang w:val="en-US" w:eastAsia="zh-CN" w:bidi="ar-SA"/>
        </w:rPr>
        <w:t>[Conclusion]</w:t>
      </w:r>
      <w:r>
        <w:rPr>
          <w:rFonts w:hint="default"/>
          <w:highlight w:val="none"/>
          <w:lang w:val="en-US" w:eastAsia="zh-CN"/>
        </w:rPr>
        <w:t xml:space="preserve">For the classified governance of Shenzhen’s urban parks and the renewal of specific service elements, priority should be given to addressing deficits in basic supporting services, including parking provision, public toilets, barrier-free access, guidance systems, and other facilities closely related to everyday use. At the same time, cultural expression should be strengthened in coordination with spatial organization, so that urban parks can better integrate local memory, public activities, landscape experience, and inclusive access. Rather than relying solely on top-down facility standards or physical indicators, park evaluation should be grounded in public expressions and everyday user perceptions. In this way, the assessment results can be translated into practical strategies for improving the quality of public space and advancing the implementation of </w:t>
      </w:r>
      <w:r>
        <w:rPr>
          <w:rFonts w:hint="eastAsia"/>
          <w:highlight w:val="none"/>
          <w:lang w:val="en-US" w:eastAsia="zh-CN"/>
        </w:rPr>
        <w:t>People’s Garden Orientation</w:t>
      </w:r>
      <w:r>
        <w:rPr>
          <w:rFonts w:hint="default"/>
          <w:highlight w:val="none"/>
          <w:lang w:val="en-US" w:eastAsia="zh-CN"/>
        </w:rPr>
        <w:t>.</w:t>
      </w:r>
    </w:p>
    <w:p w14:paraId="246AA857">
      <w:pPr>
        <w:pStyle w:val="42"/>
        <w:bidi w:val="0"/>
        <w:rPr>
          <w:rFonts w:hint="eastAsia"/>
          <w:highlight w:val="none"/>
          <w:lang w:val="en-US" w:eastAsia="zh-CN"/>
        </w:rPr>
      </w:pPr>
      <w:r>
        <w:rPr>
          <w:rFonts w:hint="default"/>
          <w:highlight w:val="none"/>
          <w:shd w:val="clear"/>
          <w:lang w:val="en-US" w:eastAsia="zh-CN"/>
        </w:rPr>
        <w:t>[Keywords]c</w:t>
      </w:r>
      <w:r>
        <w:rPr>
          <w:rFonts w:hint="default"/>
          <w:highlight w:val="none"/>
          <w:lang w:val="en-US" w:eastAsia="zh-CN"/>
        </w:rPr>
        <w:t xml:space="preserve">ultural ecosystem services; urban parks; perceived supply–demand at the individual level; </w:t>
      </w:r>
      <w:r>
        <w:rPr>
          <w:rFonts w:hint="eastAsia"/>
          <w:highlight w:val="none"/>
          <w:lang w:val="en-US" w:eastAsia="zh-CN"/>
        </w:rPr>
        <w:t>People’s Garden Orientation</w:t>
      </w:r>
      <w:r>
        <w:rPr>
          <w:rFonts w:hint="default"/>
          <w:highlight w:val="none"/>
          <w:lang w:val="en-US" w:eastAsia="zh-CN"/>
        </w:rPr>
        <w:t>; large language models; landscape planning</w:t>
      </w:r>
    </w:p>
    <w:p w14:paraId="4CDFD13B">
      <w:pPr>
        <w:widowControl/>
        <w:jc w:val="left"/>
        <w:rPr>
          <w:rFonts w:ascii="Times New Roman" w:hAnsi="Times New Roman" w:eastAsia="宋体" w:cs="Times New Roman"/>
          <w:highlight w:val="none"/>
        </w:rPr>
      </w:pPr>
      <w:r>
        <w:rPr>
          <w:rFonts w:ascii="Times New Roman" w:hAnsi="Times New Roman" w:eastAsia="宋体" w:cs="Times New Roman"/>
          <w:highlight w:val="none"/>
        </w:rPr>
        <w:t>在高密度城市发展背景下，城市公园已由单一游憩绿地转向承载休闲、交往、健康、文化展示与民生服务的复合公共空间</w:t>
      </w:r>
      <w:r>
        <w:rPr>
          <w:rStyle w:val="44"/>
          <w:rFonts w:hint="default"/>
          <w:color w:val="C00000"/>
          <w:highlight w:val="none"/>
          <w:lang w:val="en-US"/>
        </w:rPr>
        <w:fldChar w:fldCharType="begin"/>
      </w:r>
      <w:r>
        <w:rPr>
          <w:rStyle w:val="44"/>
          <w:color w:val="C00000"/>
          <w:highlight w:val="none"/>
        </w:rPr>
        <w:instrText xml:space="preserve"> REF _Ref18951 \r \h  \* MERGEFORMAT</w:instrText>
      </w:r>
      <w:r>
        <w:rPr>
          <w:rStyle w:val="44"/>
          <w:rFonts w:hint="default"/>
          <w:color w:val="C00000"/>
          <w:highlight w:val="none"/>
          <w:lang w:val="en-US"/>
        </w:rPr>
        <w:fldChar w:fldCharType="separate"/>
      </w:r>
      <w:r>
        <w:rPr>
          <w:rStyle w:val="44"/>
          <w:rFonts w:hint="default"/>
          <w:color w:val="C00000"/>
          <w:highlight w:val="none"/>
          <w:lang w:val="en-US"/>
        </w:rPr>
        <w:t>[1</w:t>
      </w:r>
      <w:r>
        <w:rPr>
          <w:rStyle w:val="44"/>
          <w:rFonts w:hint="default"/>
          <w:color w:val="C00000"/>
          <w:highlight w:val="none"/>
          <w:lang w:val="en-US"/>
        </w:rPr>
        <w:fldChar w:fldCharType="end"/>
      </w:r>
      <w:r>
        <w:rPr>
          <w:rStyle w:val="44"/>
          <w:rFonts w:hint="default"/>
          <w:color w:val="C00000"/>
          <w:highlight w:val="none"/>
          <w:lang w:val="en-US"/>
        </w:rPr>
        <w:fldChar w:fldCharType="begin"/>
      </w:r>
      <w:r>
        <w:rPr>
          <w:rStyle w:val="44"/>
          <w:color w:val="C00000"/>
          <w:highlight w:val="none"/>
        </w:rPr>
        <w:instrText xml:space="preserve"> REF _Ref29364 \r \h  \* MERGEFORMAT</w:instrText>
      </w:r>
      <w:r>
        <w:rPr>
          <w:rStyle w:val="44"/>
          <w:rFonts w:hint="default"/>
          <w:color w:val="C00000"/>
          <w:highlight w:val="none"/>
          <w:lang w:val="en-US"/>
        </w:rPr>
        <w:fldChar w:fldCharType="separate"/>
      </w:r>
      <w:r>
        <w:rPr>
          <w:rStyle w:val="44"/>
          <w:rFonts w:hint="default"/>
          <w:color w:val="C00000"/>
          <w:highlight w:val="none"/>
          <w:lang w:val="en-US"/>
        </w:rPr>
        <w:t>]</w:t>
      </w:r>
      <w:r>
        <w:rPr>
          <w:rStyle w:val="44"/>
          <w:rFonts w:hint="default"/>
          <w:color w:val="C00000"/>
          <w:highlight w:val="none"/>
          <w:lang w:val="en-US"/>
        </w:rPr>
        <w:fldChar w:fldCharType="end"/>
      </w:r>
      <w:r>
        <w:rPr>
          <w:rFonts w:ascii="Times New Roman" w:hAnsi="Times New Roman" w:eastAsia="宋体" w:cs="Times New Roman"/>
          <w:highlight w:val="none"/>
        </w:rPr>
        <w:t>。深圳“千园之城”推动公园数量快速增长，但服务品质与体验提升并不同步</w:t>
      </w:r>
      <w:r>
        <w:rPr>
          <w:rStyle w:val="44"/>
          <w:rFonts w:hint="default"/>
          <w:color w:val="C00000"/>
          <w:highlight w:val="none"/>
          <w:lang w:val="en-US"/>
        </w:rPr>
        <w:fldChar w:fldCharType="begin"/>
      </w:r>
      <w:r>
        <w:rPr>
          <w:rStyle w:val="44"/>
          <w:color w:val="C00000"/>
          <w:highlight w:val="none"/>
        </w:rPr>
        <w:instrText xml:space="preserve"> REF _Ref19046 \r \h  \* MERGEFORMAT</w:instrText>
      </w:r>
      <w:r>
        <w:rPr>
          <w:rStyle w:val="44"/>
          <w:rFonts w:hint="default"/>
          <w:color w:val="C00000"/>
          <w:highlight w:val="none"/>
          <w:lang w:val="en-US"/>
        </w:rPr>
        <w:fldChar w:fldCharType="separate"/>
      </w:r>
      <w:r>
        <w:rPr>
          <w:rStyle w:val="44"/>
          <w:rFonts w:hint="default"/>
          <w:color w:val="C00000"/>
          <w:highlight w:val="none"/>
          <w:lang w:val="en-US"/>
        </w:rPr>
        <w:t>[2]</w:t>
      </w:r>
      <w:r>
        <w:rPr>
          <w:rStyle w:val="44"/>
          <w:rFonts w:hint="default"/>
          <w:color w:val="C00000"/>
          <w:highlight w:val="none"/>
          <w:lang w:val="en-US"/>
        </w:rPr>
        <w:fldChar w:fldCharType="end"/>
      </w:r>
      <w:r>
        <w:rPr>
          <w:rFonts w:ascii="Times New Roman" w:hAnsi="Times New Roman" w:eastAsia="宋体" w:cs="Times New Roman"/>
          <w:highlight w:val="none"/>
        </w:rPr>
        <w:t>，设施冗余、景观同质、文化表达不足和基础保障不均衡等问题仍然存在</w:t>
      </w:r>
      <w:r>
        <w:rPr>
          <w:rStyle w:val="44"/>
          <w:rFonts w:hint="default"/>
          <w:color w:val="C00000"/>
          <w:highlight w:val="none"/>
          <w:lang w:val="en-US"/>
        </w:rPr>
        <w:fldChar w:fldCharType="begin"/>
      </w:r>
      <w:r>
        <w:rPr>
          <w:rStyle w:val="44"/>
          <w:color w:val="C00000"/>
          <w:highlight w:val="none"/>
        </w:rPr>
        <w:instrText xml:space="preserve"> REF _Ref19046 \r \h  \* MERGEFORMAT</w:instrText>
      </w:r>
      <w:r>
        <w:rPr>
          <w:rStyle w:val="44"/>
          <w:rFonts w:hint="default"/>
          <w:color w:val="C00000"/>
          <w:highlight w:val="none"/>
          <w:lang w:val="en-US"/>
        </w:rPr>
        <w:fldChar w:fldCharType="separate"/>
      </w:r>
      <w:r>
        <w:rPr>
          <w:rStyle w:val="44"/>
          <w:rFonts w:hint="default"/>
          <w:color w:val="C00000"/>
          <w:highlight w:val="none"/>
          <w:lang w:val="en-US"/>
        </w:rPr>
        <w:t>[3]</w:t>
      </w:r>
      <w:r>
        <w:rPr>
          <w:rStyle w:val="44"/>
          <w:rFonts w:hint="default"/>
          <w:color w:val="C00000"/>
          <w:highlight w:val="none"/>
          <w:lang w:val="en-US"/>
        </w:rPr>
        <w:fldChar w:fldCharType="end"/>
      </w:r>
      <w:r>
        <w:rPr>
          <w:rFonts w:ascii="Times New Roman" w:hAnsi="Times New Roman" w:eastAsia="宋体" w:cs="Times New Roman"/>
          <w:highlight w:val="none"/>
        </w:rPr>
        <w:t>。如何将物质供给转化为</w:t>
      </w:r>
      <w:r>
        <w:rPr>
          <w:rFonts w:hint="eastAsia" w:ascii="Times New Roman" w:hAnsi="Times New Roman" w:eastAsia="宋体" w:cs="Times New Roman"/>
          <w:highlight w:val="none"/>
          <w:lang w:eastAsia="zh-CN"/>
        </w:rPr>
        <w:t>公众</w:t>
      </w:r>
      <w:r>
        <w:rPr>
          <w:rFonts w:ascii="Times New Roman" w:hAnsi="Times New Roman" w:eastAsia="宋体" w:cs="Times New Roman"/>
          <w:highlight w:val="none"/>
        </w:rPr>
        <w:t>可感知、可共享的非物质收益，成为深圳公园更新的关键议题。</w:t>
      </w:r>
    </w:p>
    <w:p w14:paraId="46AF4CF9">
      <w:pPr>
        <w:widowControl/>
        <w:jc w:val="left"/>
        <w:rPr>
          <w:rFonts w:ascii="Times New Roman" w:hAnsi="Times New Roman" w:eastAsia="宋体" w:cs="Times New Roman"/>
          <w:highlight w:val="none"/>
        </w:rPr>
      </w:pPr>
      <w:r>
        <w:rPr>
          <w:rFonts w:ascii="Times New Roman" w:hAnsi="Times New Roman" w:eastAsia="宋体" w:cs="Times New Roman"/>
          <w:highlight w:val="none"/>
        </w:rPr>
        <w:t>“百姓园林”是人民城市理念在风景园林领域的重要表达，强调园林服务人民日常生活，体现普惠共享、文化传承、</w:t>
      </w:r>
      <w:r>
        <w:rPr>
          <w:rFonts w:hint="eastAsia" w:ascii="Times New Roman" w:hAnsi="Times New Roman" w:eastAsia="宋体" w:cs="Times New Roman"/>
          <w:highlight w:val="none"/>
          <w:lang w:eastAsia="zh-CN"/>
        </w:rPr>
        <w:t>公众</w:t>
      </w:r>
      <w:r>
        <w:rPr>
          <w:rFonts w:ascii="Times New Roman" w:hAnsi="Times New Roman" w:eastAsia="宋体" w:cs="Times New Roman"/>
          <w:highlight w:val="none"/>
        </w:rPr>
        <w:t>参与和全龄友好等特征</w:t>
      </w:r>
      <w:r>
        <w:rPr>
          <w:rStyle w:val="44"/>
          <w:rFonts w:hint="default"/>
          <w:highlight w:val="none"/>
          <w:lang w:val="en-US"/>
        </w:rPr>
        <w:fldChar w:fldCharType="begin"/>
      </w:r>
      <w:r>
        <w:rPr>
          <w:rStyle w:val="44"/>
          <w:highlight w:val="none"/>
        </w:rPr>
        <w:instrText xml:space="preserve"> REF _Ref19052 \r \h  \* MERGEFORMAT</w:instrText>
      </w:r>
      <w:r>
        <w:rPr>
          <w:rStyle w:val="44"/>
          <w:rFonts w:hint="default"/>
          <w:highlight w:val="none"/>
          <w:lang w:val="en-US"/>
        </w:rPr>
        <w:fldChar w:fldCharType="separate"/>
      </w:r>
      <w:r>
        <w:rPr>
          <w:rStyle w:val="44"/>
          <w:rFonts w:hint="default"/>
          <w:highlight w:val="none"/>
          <w:lang w:val="en-US"/>
        </w:rPr>
        <w:t>[4</w:t>
      </w:r>
      <w:r>
        <w:rPr>
          <w:rStyle w:val="44"/>
          <w:rFonts w:hint="default"/>
          <w:highlight w:val="none"/>
          <w:lang w:val="en-US"/>
        </w:rPr>
        <w:fldChar w:fldCharType="end"/>
      </w:r>
      <w:r>
        <w:rPr>
          <w:rStyle w:val="44"/>
          <w:rFonts w:hint="default"/>
          <w:highlight w:val="none"/>
          <w:lang w:val="en-US"/>
        </w:rPr>
        <w:fldChar w:fldCharType="begin"/>
      </w:r>
      <w:r>
        <w:rPr>
          <w:rStyle w:val="44"/>
          <w:highlight w:val="none"/>
        </w:rPr>
        <w:instrText xml:space="preserve"> REF _Ref19072 \r \h  \* MERGEFORMAT</w:instrText>
      </w:r>
      <w:r>
        <w:rPr>
          <w:rStyle w:val="44"/>
          <w:rFonts w:hint="default"/>
          <w:highlight w:val="none"/>
          <w:lang w:val="en-US"/>
        </w:rPr>
        <w:fldChar w:fldCharType="separate"/>
      </w:r>
      <w:r>
        <w:rPr>
          <w:rStyle w:val="44"/>
          <w:rFonts w:hint="eastAsia"/>
          <w:highlight w:val="none"/>
          <w:lang w:val="en-US" w:eastAsia="zh-CN"/>
        </w:rPr>
        <w:t>-</w:t>
      </w:r>
      <w:r>
        <w:rPr>
          <w:rStyle w:val="44"/>
          <w:rFonts w:hint="default"/>
          <w:highlight w:val="none"/>
          <w:lang w:val="en-US"/>
        </w:rPr>
        <w:t>5]</w:t>
      </w:r>
      <w:r>
        <w:rPr>
          <w:rStyle w:val="44"/>
          <w:rFonts w:hint="default"/>
          <w:highlight w:val="none"/>
          <w:lang w:val="en-US"/>
        </w:rPr>
        <w:fldChar w:fldCharType="end"/>
      </w:r>
      <w:r>
        <w:rPr>
          <w:rFonts w:ascii="Times New Roman" w:hAnsi="Times New Roman" w:eastAsia="宋体" w:cs="Times New Roman"/>
          <w:highlight w:val="none"/>
        </w:rPr>
        <w:t>。从城市公园更新角度看，“百姓园林”关注的核心不只是公园是否建成、设施是否配置，更在于公众是否能够便捷进入、舒适停留、平等使用、形成认同并参与公共空间生活。现有“百姓园林”研究多从理念阐释、实践路径和共建共治共享机制展开，对公众真实使用如何被识别、现有公园服务是否充分、更新优先级如何判定等问题回应仍不充分。其关键难点在于，如何将普惠共享、文化传承、全龄友好和</w:t>
      </w:r>
      <w:r>
        <w:rPr>
          <w:rFonts w:hint="eastAsia" w:ascii="Times New Roman" w:hAnsi="Times New Roman" w:eastAsia="宋体" w:cs="Times New Roman"/>
          <w:highlight w:val="none"/>
          <w:lang w:eastAsia="zh-CN"/>
        </w:rPr>
        <w:t>公众</w:t>
      </w:r>
      <w:r>
        <w:rPr>
          <w:rFonts w:ascii="Times New Roman" w:hAnsi="Times New Roman" w:eastAsia="宋体" w:cs="Times New Roman"/>
          <w:highlight w:val="none"/>
        </w:rPr>
        <w:t>参与等价值要求，转化为可测度的服务要素和可比较的空间诊断结果。</w:t>
      </w:r>
    </w:p>
    <w:p w14:paraId="4E35F207">
      <w:pPr>
        <w:widowControl/>
        <w:jc w:val="left"/>
        <w:rPr>
          <w:rFonts w:ascii="Times New Roman" w:hAnsi="Times New Roman" w:eastAsia="宋体" w:cs="Times New Roman"/>
          <w:highlight w:val="none"/>
        </w:rPr>
      </w:pPr>
      <w:r>
        <w:rPr>
          <w:rFonts w:ascii="Times New Roman" w:hAnsi="Times New Roman" w:eastAsia="宋体" w:cs="Times New Roman"/>
          <w:highlight w:val="none"/>
        </w:rPr>
        <w:t>生态系统文化服务（Cultural ecosystem services;CES）强调生态系统对人类福祉的非物质收益</w:t>
      </w:r>
      <w:r>
        <w:rPr>
          <w:rStyle w:val="44"/>
          <w:rFonts w:hint="default"/>
          <w:highlight w:val="none"/>
          <w:lang w:val="en-US"/>
        </w:rPr>
        <w:fldChar w:fldCharType="begin"/>
      </w:r>
      <w:r>
        <w:rPr>
          <w:rStyle w:val="44"/>
          <w:highlight w:val="none"/>
        </w:rPr>
        <w:instrText xml:space="preserve"> REF _Ref19078 \r \h  \* MERGEFORMAT</w:instrText>
      </w:r>
      <w:r>
        <w:rPr>
          <w:rStyle w:val="44"/>
          <w:rFonts w:hint="default"/>
          <w:highlight w:val="none"/>
          <w:lang w:val="en-US"/>
        </w:rPr>
        <w:fldChar w:fldCharType="separate"/>
      </w:r>
      <w:r>
        <w:rPr>
          <w:rStyle w:val="44"/>
          <w:rFonts w:hint="default"/>
          <w:highlight w:val="none"/>
          <w:lang w:val="en-US"/>
        </w:rPr>
        <w:t>[6</w:t>
      </w:r>
      <w:r>
        <w:rPr>
          <w:rStyle w:val="44"/>
          <w:rFonts w:hint="default"/>
          <w:highlight w:val="none"/>
          <w:lang w:val="en-US"/>
        </w:rPr>
        <w:fldChar w:fldCharType="end"/>
      </w:r>
      <w:r>
        <w:rPr>
          <w:rStyle w:val="44"/>
          <w:rFonts w:hint="default"/>
          <w:highlight w:val="none"/>
          <w:lang w:val="en-US"/>
        </w:rPr>
        <w:fldChar w:fldCharType="begin"/>
      </w:r>
      <w:r>
        <w:rPr>
          <w:rStyle w:val="44"/>
          <w:highlight w:val="none"/>
        </w:rPr>
        <w:instrText xml:space="preserve"> REF _Ref4360 \r \h  \* MERGEFORMAT</w:instrText>
      </w:r>
      <w:r>
        <w:rPr>
          <w:rStyle w:val="44"/>
          <w:rFonts w:hint="default"/>
          <w:highlight w:val="none"/>
          <w:lang w:val="en-US"/>
        </w:rPr>
        <w:fldChar w:fldCharType="separate"/>
      </w:r>
      <w:r>
        <w:rPr>
          <w:rStyle w:val="44"/>
          <w:rFonts w:hint="default"/>
          <w:highlight w:val="none"/>
          <w:lang w:val="en-US"/>
        </w:rPr>
        <w:t>]</w:t>
      </w:r>
      <w:r>
        <w:rPr>
          <w:rStyle w:val="44"/>
          <w:rFonts w:hint="default"/>
          <w:highlight w:val="none"/>
          <w:lang w:val="en-US"/>
        </w:rPr>
        <w:fldChar w:fldCharType="end"/>
      </w:r>
      <w:r>
        <w:rPr>
          <w:rFonts w:ascii="Times New Roman" w:hAnsi="Times New Roman" w:eastAsia="宋体" w:cs="Times New Roman"/>
          <w:highlight w:val="none"/>
        </w:rPr>
        <w:t>，对于城市公园而言，CES关注公众从公园中获得的审美、游憩、社交、教育和地方认同等体验，可将“百姓园林”所强调的真实使用、共享体验、文化认同和情感获得转化为可识别、可比较的评价内容。基于此，本文尝试形成</w:t>
      </w:r>
      <w:r>
        <w:rPr>
          <w:rFonts w:hint="eastAsia" w:ascii="Times New Roman" w:hAnsi="Times New Roman" w:eastAsia="宋体" w:cs="Times New Roman"/>
          <w:highlight w:val="none"/>
          <w:lang w:val="en-US" w:eastAsia="zh-CN"/>
        </w:rPr>
        <w:t>百姓园林与CES的</w:t>
      </w:r>
      <w:r>
        <w:rPr>
          <w:rFonts w:ascii="Times New Roman" w:hAnsi="Times New Roman" w:eastAsia="宋体" w:cs="Times New Roman"/>
          <w:highlight w:val="none"/>
        </w:rPr>
        <w:t>“价值导向—服务框架—供需测度—治理转译”的研究逻辑：以百姓园林提出评价目标，以CES组织评价内容，以公众文本中的感知频率和感知倾向构建供需诊断，并进一步转化为公园更新优先级。</w:t>
      </w:r>
    </w:p>
    <w:p w14:paraId="06C532DE">
      <w:pPr>
        <w:widowControl/>
        <w:jc w:val="left"/>
        <w:rPr>
          <w:rFonts w:ascii="Times New Roman" w:hAnsi="Times New Roman" w:eastAsia="宋体" w:cs="Times New Roman"/>
          <w:highlight w:val="none"/>
        </w:rPr>
      </w:pPr>
      <w:r>
        <w:rPr>
          <w:rFonts w:ascii="Times New Roman" w:hAnsi="Times New Roman" w:eastAsia="宋体" w:cs="Times New Roman"/>
          <w:highlight w:val="none"/>
        </w:rPr>
        <w:t>目前，</w:t>
      </w:r>
      <w:r>
        <w:rPr>
          <w:rFonts w:hint="eastAsia" w:ascii="Times New Roman" w:hAnsi="Times New Roman" w:eastAsia="宋体" w:cs="Times New Roman"/>
          <w:highlight w:val="none"/>
          <w:lang w:val="en-US" w:eastAsia="zh-CN"/>
        </w:rPr>
        <w:t>城市公园</w:t>
      </w:r>
      <w:r>
        <w:rPr>
          <w:rFonts w:ascii="Times New Roman" w:hAnsi="Times New Roman" w:eastAsia="宋体" w:cs="Times New Roman"/>
          <w:highlight w:val="none"/>
        </w:rPr>
        <w:t>CES研究已尝试利用网络评论识别公众偏好</w:t>
      </w:r>
      <w:r>
        <w:rPr>
          <w:rFonts w:hint="eastAsia" w:ascii="Times New Roman" w:hAnsi="Times New Roman" w:eastAsia="宋体" w:cs="Times New Roman"/>
          <w:highlight w:val="none"/>
          <w:lang w:eastAsia="zh-CN"/>
        </w:rPr>
        <w:t>，</w:t>
      </w:r>
      <w:r>
        <w:rPr>
          <w:rFonts w:hint="eastAsia" w:ascii="Times New Roman" w:hAnsi="Times New Roman" w:eastAsia="宋体" w:cs="Times New Roman"/>
          <w:highlight w:val="none"/>
          <w:lang w:val="en-US" w:eastAsia="zh-CN"/>
        </w:rPr>
        <w:t>然而</w:t>
      </w:r>
      <w:r>
        <w:rPr>
          <w:rFonts w:ascii="Times New Roman" w:hAnsi="Times New Roman" w:eastAsia="宋体" w:cs="Times New Roman"/>
          <w:highlight w:val="none"/>
        </w:rPr>
        <w:t>评价对象和方法偏重单一服务类型与数值化表征，较多延续物质性生态系统服务的量化逻辑，对</w:t>
      </w:r>
      <w:r>
        <w:rPr>
          <w:rFonts w:hint="eastAsia" w:ascii="Times New Roman" w:hAnsi="Times New Roman" w:eastAsia="宋体" w:cs="Times New Roman"/>
          <w:highlight w:val="none"/>
          <w:lang w:eastAsia="zh-CN"/>
        </w:rPr>
        <w:t>公众</w:t>
      </w:r>
      <w:r>
        <w:rPr>
          <w:rFonts w:ascii="Times New Roman" w:hAnsi="Times New Roman" w:eastAsia="宋体" w:cs="Times New Roman"/>
          <w:highlight w:val="none"/>
        </w:rPr>
        <w:t>体验过程、感知差异及具体空间问题的解释不足，导致研究结果较难直接转化为规划设计策略。现有城市公园CES已有研究以</w:t>
      </w:r>
      <w:r>
        <w:rPr>
          <w:rFonts w:hint="eastAsia" w:ascii="Times New Roman" w:hAnsi="Times New Roman" w:eastAsia="宋体" w:cs="Times New Roman"/>
          <w:highlight w:val="none"/>
          <w:lang w:val="en-US" w:eastAsia="zh-CN"/>
        </w:rPr>
        <w:t>网络评论数据</w:t>
      </w:r>
      <w:r>
        <w:rPr>
          <w:rFonts w:ascii="Times New Roman" w:hAnsi="Times New Roman" w:eastAsia="宋体" w:cs="Times New Roman"/>
          <w:highlight w:val="none"/>
        </w:rPr>
        <w:t>构建</w:t>
      </w:r>
      <w:r>
        <w:rPr>
          <w:rFonts w:hint="eastAsia" w:ascii="Times New Roman" w:hAnsi="Times New Roman" w:eastAsia="宋体" w:cs="Times New Roman"/>
          <w:highlight w:val="none"/>
          <w:lang w:val="en-US" w:eastAsia="zh-CN"/>
        </w:rPr>
        <w:t>公众感知的</w:t>
      </w:r>
      <w:r>
        <w:rPr>
          <w:rFonts w:ascii="Times New Roman" w:hAnsi="Times New Roman" w:eastAsia="宋体" w:cs="Times New Roman"/>
          <w:highlight w:val="none"/>
        </w:rPr>
        <w:t>“感知频率—感知倾向”对应</w:t>
      </w:r>
      <w:r>
        <w:rPr>
          <w:rFonts w:hint="eastAsia" w:ascii="Times New Roman" w:hAnsi="Times New Roman" w:eastAsia="宋体" w:cs="Times New Roman"/>
          <w:highlight w:val="none"/>
          <w:lang w:val="en-US" w:eastAsia="zh-CN"/>
        </w:rPr>
        <w:t>CES</w:t>
      </w:r>
      <w:r>
        <w:rPr>
          <w:rFonts w:ascii="Times New Roman" w:hAnsi="Times New Roman" w:eastAsia="宋体" w:cs="Times New Roman"/>
          <w:highlight w:val="none"/>
        </w:rPr>
        <w:t>重要性与满意度</w:t>
      </w:r>
      <w:r>
        <w:rPr>
          <w:rStyle w:val="44"/>
          <w:rFonts w:hint="default"/>
          <w:highlight w:val="none"/>
          <w:lang w:val="en-US"/>
        </w:rPr>
        <w:fldChar w:fldCharType="begin"/>
      </w:r>
      <w:r>
        <w:rPr>
          <w:rStyle w:val="44"/>
          <w:highlight w:val="none"/>
        </w:rPr>
        <w:instrText xml:space="preserve"> REF _Ref4360 \r \h  \* MERGEFORMAT</w:instrText>
      </w:r>
      <w:r>
        <w:rPr>
          <w:rStyle w:val="44"/>
          <w:rFonts w:hint="default"/>
          <w:highlight w:val="none"/>
          <w:lang w:val="en-US"/>
        </w:rPr>
        <w:fldChar w:fldCharType="separate"/>
      </w:r>
      <w:r>
        <w:rPr>
          <w:rStyle w:val="44"/>
          <w:rFonts w:hint="default"/>
          <w:highlight w:val="none"/>
          <w:lang w:val="en-US"/>
        </w:rPr>
        <w:t>[7</w:t>
      </w:r>
      <w:r>
        <w:rPr>
          <w:rStyle w:val="44"/>
          <w:rFonts w:hint="default"/>
          <w:highlight w:val="none"/>
          <w:lang w:val="en-US"/>
        </w:rPr>
        <w:fldChar w:fldCharType="end"/>
      </w:r>
      <w:r>
        <w:rPr>
          <w:rStyle w:val="44"/>
          <w:rFonts w:hint="default"/>
          <w:highlight w:val="none"/>
          <w:lang w:val="en-US"/>
        </w:rPr>
        <w:fldChar w:fldCharType="begin"/>
      </w:r>
      <w:r>
        <w:rPr>
          <w:rStyle w:val="44"/>
          <w:highlight w:val="none"/>
        </w:rPr>
        <w:instrText xml:space="preserve"> REF _Ref4360 \n \h  \* MERGEFORMAT</w:instrText>
      </w:r>
      <w:r>
        <w:rPr>
          <w:rStyle w:val="44"/>
          <w:rFonts w:hint="default"/>
          <w:highlight w:val="none"/>
          <w:lang w:val="en-US"/>
        </w:rPr>
        <w:fldChar w:fldCharType="separate"/>
      </w:r>
      <w:r>
        <w:rPr>
          <w:rStyle w:val="44"/>
          <w:rFonts w:hint="eastAsia"/>
          <w:highlight w:val="none"/>
          <w:lang w:val="en-US" w:eastAsia="zh-CN"/>
        </w:rPr>
        <w:t>-</w:t>
      </w:r>
      <w:r>
        <w:rPr>
          <w:rStyle w:val="44"/>
          <w:rFonts w:hint="default"/>
          <w:highlight w:val="none"/>
          <w:lang w:val="en-US"/>
        </w:rPr>
        <w:t>8]</w:t>
      </w:r>
      <w:r>
        <w:rPr>
          <w:rStyle w:val="44"/>
          <w:rFonts w:hint="default"/>
          <w:highlight w:val="none"/>
          <w:lang w:val="en-US"/>
        </w:rPr>
        <w:fldChar w:fldCharType="end"/>
      </w:r>
      <w:r>
        <w:rPr>
          <w:rFonts w:ascii="Times New Roman" w:hAnsi="Times New Roman" w:eastAsia="宋体" w:cs="Times New Roman"/>
          <w:highlight w:val="none"/>
        </w:rPr>
        <w:t>；或沿用</w:t>
      </w:r>
      <w:r>
        <w:rPr>
          <w:rFonts w:hint="eastAsia" w:ascii="Times New Roman" w:hAnsi="Times New Roman" w:eastAsia="宋体" w:cs="Times New Roman"/>
          <w:highlight w:val="none"/>
          <w:lang w:val="en-US" w:eastAsia="zh-CN"/>
        </w:rPr>
        <w:t>CES</w:t>
      </w:r>
      <w:r>
        <w:rPr>
          <w:rFonts w:ascii="Times New Roman" w:hAnsi="Times New Roman" w:eastAsia="宋体" w:cs="Times New Roman"/>
          <w:highlight w:val="none"/>
        </w:rPr>
        <w:t>“重要性—满意度”</w:t>
      </w:r>
      <w:r>
        <w:rPr>
          <w:rFonts w:hint="eastAsia" w:ascii="Times New Roman" w:hAnsi="Times New Roman" w:eastAsia="宋体" w:cs="Times New Roman"/>
          <w:highlight w:val="none"/>
          <w:lang w:val="en-US" w:eastAsia="zh-CN"/>
        </w:rPr>
        <w:t>对应CES的需求与供给</w:t>
      </w:r>
      <w:r>
        <w:rPr>
          <w:rStyle w:val="44"/>
          <w:rFonts w:hint="default"/>
          <w:highlight w:val="none"/>
          <w:lang w:val="en-US"/>
        </w:rPr>
        <w:fldChar w:fldCharType="begin"/>
      </w:r>
      <w:r>
        <w:rPr>
          <w:rStyle w:val="44"/>
          <w:highlight w:val="none"/>
        </w:rPr>
        <w:instrText xml:space="preserve"> REF _Ref4389 \r \h  \* MERGEFORMAT</w:instrText>
      </w:r>
      <w:r>
        <w:rPr>
          <w:rStyle w:val="44"/>
          <w:rFonts w:hint="default"/>
          <w:highlight w:val="none"/>
          <w:lang w:val="en-US"/>
        </w:rPr>
        <w:fldChar w:fldCharType="separate"/>
      </w:r>
      <w:r>
        <w:rPr>
          <w:rStyle w:val="44"/>
          <w:rFonts w:hint="default"/>
          <w:highlight w:val="none"/>
          <w:lang w:val="en-US"/>
        </w:rPr>
        <w:t>[</w:t>
      </w:r>
      <w:r>
        <w:rPr>
          <w:rStyle w:val="44"/>
          <w:rFonts w:hint="eastAsia"/>
          <w:highlight w:val="none"/>
          <w:lang w:val="en-US"/>
        </w:rPr>
        <w:t>9</w:t>
      </w:r>
      <w:r>
        <w:rPr>
          <w:rStyle w:val="44"/>
          <w:rFonts w:hint="default"/>
          <w:highlight w:val="none"/>
          <w:lang w:val="en-US"/>
        </w:rPr>
        <w:fldChar w:fldCharType="end"/>
      </w:r>
      <w:r>
        <w:rPr>
          <w:rStyle w:val="44"/>
          <w:rFonts w:hint="default"/>
          <w:highlight w:val="none"/>
          <w:lang w:val="en-US"/>
        </w:rPr>
        <w:fldChar w:fldCharType="begin"/>
      </w:r>
      <w:r>
        <w:rPr>
          <w:rStyle w:val="44"/>
          <w:highlight w:val="none"/>
        </w:rPr>
        <w:instrText xml:space="preserve"> REF _Ref19333 \r \h  \* MERGEFORMAT</w:instrText>
      </w:r>
      <w:r>
        <w:rPr>
          <w:rStyle w:val="44"/>
          <w:rFonts w:hint="default"/>
          <w:highlight w:val="none"/>
          <w:lang w:val="en-US"/>
        </w:rPr>
        <w:fldChar w:fldCharType="separate"/>
      </w:r>
      <w:r>
        <w:rPr>
          <w:rStyle w:val="44"/>
          <w:rFonts w:hint="default"/>
          <w:highlight w:val="none"/>
          <w:lang w:val="en-US"/>
        </w:rPr>
        <w:t>]</w:t>
      </w:r>
      <w:r>
        <w:rPr>
          <w:rStyle w:val="44"/>
          <w:rFonts w:hint="default"/>
          <w:highlight w:val="none"/>
          <w:lang w:val="en-US"/>
        </w:rPr>
        <w:fldChar w:fldCharType="end"/>
      </w:r>
      <w:r>
        <w:rPr>
          <w:rFonts w:hint="eastAsia" w:ascii="Times New Roman" w:hAnsi="Times New Roman" w:eastAsia="宋体" w:cs="Times New Roman"/>
          <w:highlight w:val="none"/>
          <w:lang w:val="en-US"/>
        </w:rPr>
        <w:t>等框架</w:t>
      </w:r>
      <w:r>
        <w:rPr>
          <w:rFonts w:ascii="Times New Roman" w:hAnsi="Times New Roman" w:eastAsia="宋体" w:cs="Times New Roman"/>
          <w:highlight w:val="none"/>
        </w:rPr>
        <w:t>。</w:t>
      </w:r>
      <w:r>
        <w:rPr>
          <w:rFonts w:hint="eastAsia" w:ascii="Times New Roman" w:hAnsi="Times New Roman" w:eastAsia="宋体" w:cs="Times New Roman"/>
          <w:highlight w:val="none"/>
          <w:lang w:val="en-US" w:eastAsia="zh-CN"/>
        </w:rPr>
        <w:t>然而未</w:t>
      </w:r>
      <w:r>
        <w:rPr>
          <w:rFonts w:ascii="Times New Roman" w:hAnsi="Times New Roman" w:eastAsia="宋体" w:cs="Times New Roman"/>
          <w:highlight w:val="none"/>
        </w:rPr>
        <w:t>将线上评论中的提及强度、情感反馈与供需</w:t>
      </w:r>
      <w:r>
        <w:rPr>
          <w:rFonts w:hint="eastAsia" w:ascii="Times New Roman" w:hAnsi="Times New Roman" w:eastAsia="宋体" w:cs="Times New Roman"/>
          <w:highlight w:val="none"/>
          <w:lang w:val="en-US"/>
        </w:rPr>
        <w:t>直接</w:t>
      </w:r>
      <w:r>
        <w:rPr>
          <w:rFonts w:ascii="Times New Roman" w:hAnsi="Times New Roman" w:eastAsia="宋体" w:cs="Times New Roman"/>
          <w:highlight w:val="none"/>
        </w:rPr>
        <w:t>逻辑贯通起来</w:t>
      </w:r>
      <w:r>
        <w:rPr>
          <w:rFonts w:hint="eastAsia" w:ascii="Times New Roman" w:hAnsi="Times New Roman" w:eastAsia="宋体" w:cs="Times New Roman"/>
          <w:highlight w:val="none"/>
          <w:lang w:eastAsia="zh-CN"/>
        </w:rPr>
        <w:t>，</w:t>
      </w:r>
      <w:r>
        <w:rPr>
          <w:rFonts w:ascii="Times New Roman" w:hAnsi="Times New Roman" w:eastAsia="宋体" w:cs="Times New Roman"/>
          <w:highlight w:val="none"/>
        </w:rPr>
        <w:t>研究难以比较，</w:t>
      </w:r>
      <w:r>
        <w:rPr>
          <w:rFonts w:hint="eastAsia" w:ascii="Times New Roman" w:hAnsi="Times New Roman" w:eastAsia="宋体" w:cs="Times New Roman"/>
          <w:highlight w:val="none"/>
          <w:lang w:val="en-US"/>
        </w:rPr>
        <w:t>供需评价</w:t>
      </w:r>
      <w:r>
        <w:rPr>
          <w:rFonts w:ascii="Times New Roman" w:hAnsi="Times New Roman" w:eastAsia="宋体" w:cs="Times New Roman"/>
          <w:highlight w:val="none"/>
        </w:rPr>
        <w:t>也容易停留在总体描述。</w:t>
      </w:r>
    </w:p>
    <w:p w14:paraId="078B7AFF">
      <w:pPr>
        <w:widowControl/>
        <w:jc w:val="left"/>
        <w:rPr>
          <w:rFonts w:ascii="Times New Roman" w:hAnsi="Times New Roman" w:eastAsia="宋体" w:cs="Times New Roman"/>
          <w:highlight w:val="none"/>
        </w:rPr>
      </w:pPr>
      <w:r>
        <w:rPr>
          <w:rFonts w:ascii="Times New Roman" w:hAnsi="Times New Roman" w:eastAsia="宋体" w:cs="Times New Roman"/>
          <w:highlight w:val="none"/>
        </w:rPr>
        <w:t>本文旨在从</w:t>
      </w:r>
      <w:r>
        <w:rPr>
          <w:rFonts w:hint="eastAsia" w:ascii="Times New Roman" w:hAnsi="Times New Roman" w:eastAsia="宋体" w:cs="Times New Roman"/>
          <w:highlight w:val="none"/>
          <w:lang w:eastAsia="zh-CN"/>
        </w:rPr>
        <w:t>公众</w:t>
      </w:r>
      <w:r>
        <w:rPr>
          <w:rFonts w:ascii="Times New Roman" w:hAnsi="Times New Roman" w:eastAsia="宋体" w:cs="Times New Roman"/>
          <w:highlight w:val="none"/>
        </w:rPr>
        <w:t>个体感知出发，构建CES供需评价方法，将</w:t>
      </w:r>
      <w:r>
        <w:rPr>
          <w:rFonts w:hint="eastAsia" w:ascii="Times New Roman" w:hAnsi="Times New Roman" w:eastAsia="宋体" w:cs="Times New Roman"/>
          <w:highlight w:val="none"/>
          <w:lang w:eastAsia="zh-CN"/>
        </w:rPr>
        <w:t>公众</w:t>
      </w:r>
      <w:r>
        <w:rPr>
          <w:rFonts w:ascii="Times New Roman" w:hAnsi="Times New Roman" w:eastAsia="宋体" w:cs="Times New Roman"/>
          <w:highlight w:val="none"/>
        </w:rPr>
        <w:t>日常使用中的关注与反馈转化为</w:t>
      </w:r>
      <w:r>
        <w:rPr>
          <w:rFonts w:hint="eastAsia" w:ascii="Times New Roman" w:hAnsi="Times New Roman" w:eastAsia="宋体" w:cs="Times New Roman"/>
          <w:highlight w:val="none"/>
        </w:rPr>
        <w:t>城市公园“百姓园林”服务</w:t>
      </w:r>
      <w:r>
        <w:rPr>
          <w:rFonts w:ascii="Times New Roman" w:hAnsi="Times New Roman" w:eastAsia="宋体" w:cs="Times New Roman"/>
          <w:highlight w:val="none"/>
        </w:rPr>
        <w:t>诊断依据。研究围绕3个问题展开：</w:t>
      </w:r>
      <w:r>
        <w:rPr>
          <w:rFonts w:hint="eastAsia" w:ascii="Times New Roman" w:hAnsi="Times New Roman" w:eastAsia="宋体" w:cs="Times New Roman"/>
          <w:highlight w:val="none"/>
          <w:lang w:eastAsia="zh-CN"/>
        </w:rPr>
        <w:t>（</w:t>
      </w:r>
      <w:r>
        <w:rPr>
          <w:rFonts w:hint="eastAsia" w:ascii="Times New Roman" w:hAnsi="Times New Roman" w:eastAsia="宋体" w:cs="Times New Roman"/>
          <w:highlight w:val="none"/>
          <w:lang w:val="en-US" w:eastAsia="zh-CN"/>
        </w:rPr>
        <w:t>1）</w:t>
      </w:r>
      <w:r>
        <w:rPr>
          <w:rFonts w:ascii="Times New Roman" w:hAnsi="Times New Roman" w:eastAsia="宋体" w:cs="Times New Roman"/>
          <w:highlight w:val="none"/>
        </w:rPr>
        <w:t>百姓园林导向下，深圳城市公园CES在公众感知层面呈现何种供需特征；</w:t>
      </w:r>
      <w:r>
        <w:rPr>
          <w:rFonts w:hint="eastAsia" w:ascii="Times New Roman" w:hAnsi="Times New Roman" w:eastAsia="宋体" w:cs="Times New Roman"/>
          <w:highlight w:val="none"/>
          <w:lang w:eastAsia="zh-CN"/>
        </w:rPr>
        <w:t>（</w:t>
      </w:r>
      <w:r>
        <w:rPr>
          <w:rFonts w:hint="eastAsia" w:ascii="Times New Roman" w:hAnsi="Times New Roman" w:eastAsia="宋体" w:cs="Times New Roman"/>
          <w:highlight w:val="none"/>
          <w:lang w:val="en-US" w:eastAsia="zh-CN"/>
        </w:rPr>
        <w:t>2）</w:t>
      </w:r>
      <w:r>
        <w:rPr>
          <w:rFonts w:ascii="Times New Roman" w:hAnsi="Times New Roman" w:eastAsia="宋体" w:cs="Times New Roman"/>
          <w:highlight w:val="none"/>
        </w:rPr>
        <w:t>影响总体感知倾向的关键CES要素是什么，供需错配集中在哪些服务环节；</w:t>
      </w:r>
      <w:r>
        <w:rPr>
          <w:rFonts w:hint="eastAsia" w:ascii="Times New Roman" w:hAnsi="Times New Roman" w:eastAsia="宋体" w:cs="Times New Roman"/>
          <w:highlight w:val="none"/>
          <w:lang w:eastAsia="zh-CN"/>
        </w:rPr>
        <w:t>（</w:t>
      </w:r>
      <w:r>
        <w:rPr>
          <w:rFonts w:hint="eastAsia" w:ascii="Times New Roman" w:hAnsi="Times New Roman" w:eastAsia="宋体" w:cs="Times New Roman"/>
          <w:highlight w:val="none"/>
          <w:lang w:val="en-US" w:eastAsia="zh-CN"/>
        </w:rPr>
        <w:t>3）</w:t>
      </w:r>
      <w:r>
        <w:rPr>
          <w:rFonts w:ascii="Times New Roman" w:hAnsi="Times New Roman" w:eastAsia="宋体" w:cs="Times New Roman"/>
          <w:highlight w:val="none"/>
        </w:rPr>
        <w:t>如何将CES供需诊断结果转化为面向普惠共享、文化传承、全龄友好和日常使用的公园更新策略。本文以深圳市52座城市公园为对象，融合</w:t>
      </w:r>
      <w:r>
        <w:rPr>
          <w:rFonts w:hint="eastAsia" w:ascii="Times New Roman" w:hAnsi="Times New Roman" w:eastAsia="宋体" w:cs="Times New Roman"/>
          <w:highlight w:val="none"/>
          <w:lang w:val="en-US" w:eastAsia="zh-CN"/>
        </w:rPr>
        <w:t>线上平台</w:t>
      </w:r>
      <w:r>
        <w:rPr>
          <w:rFonts w:ascii="Times New Roman" w:hAnsi="Times New Roman" w:eastAsia="宋体" w:cs="Times New Roman"/>
          <w:highlight w:val="none"/>
        </w:rPr>
        <w:t>9624条网络评论，以“百姓园林”为价值导向，以CES为评价内容框架，构建“四维度—十要素”的城市公园CES感知评价体系。研究将感知频率作为需求侧关注强度的代理变量，将感知倾向作为供给侧感知反馈的代理变量，结合大语言模型语义识别、情感分析、岭回归和IPA模型，识别深圳城市公园CES的感知供需特征、关键驱动要素与错配类型。为深圳公园从增量建设转向品质提升提供可操作的</w:t>
      </w:r>
      <w:r>
        <w:rPr>
          <w:rFonts w:hint="eastAsia" w:ascii="Times New Roman" w:hAnsi="Times New Roman" w:eastAsia="宋体" w:cs="Times New Roman"/>
          <w:highlight w:val="none"/>
        </w:rPr>
        <w:t>“百姓园林”</w:t>
      </w:r>
      <w:r>
        <w:rPr>
          <w:rFonts w:ascii="Times New Roman" w:hAnsi="Times New Roman" w:eastAsia="宋体" w:cs="Times New Roman"/>
          <w:highlight w:val="none"/>
        </w:rPr>
        <w:t>评价路径。</w:t>
      </w:r>
    </w:p>
    <w:tbl>
      <w:tblPr>
        <w:tblStyle w:val="15"/>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3"/>
      </w:tblGrid>
      <w:tr w14:paraId="5C97D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6" w:hRule="atLeast"/>
        </w:trPr>
        <w:tc>
          <w:tcPr>
            <w:tcW w:w="8500" w:type="dxa"/>
          </w:tcPr>
          <w:p w14:paraId="4730EAA3">
            <w:pPr>
              <w:ind w:left="0" w:leftChars="0" w:firstLine="0" w:firstLineChars="0"/>
              <w:jc w:val="both"/>
              <w:rPr>
                <w:rFonts w:hint="eastAsia" w:ascii="Times New Roman" w:hAnsi="Times New Roman" w:eastAsia="宋体" w:cs="Times New Roman"/>
                <w:highlight w:val="none"/>
                <w:lang w:eastAsia="zh-CN"/>
              </w:rPr>
            </w:pPr>
            <w:r>
              <w:rPr>
                <w:rFonts w:eastAsia="宋体" w:cs="Times New Roman"/>
                <w:color w:val="auto"/>
                <w:kern w:val="2"/>
                <w:sz w:val="24"/>
                <w:szCs w:val="24"/>
                <w:highlight w:val="none"/>
              </w:rPr>
              <w:drawing>
                <wp:inline distT="0" distB="0" distL="114300" distR="114300">
                  <wp:extent cx="5268595" cy="3080385"/>
                  <wp:effectExtent l="0" t="0" r="0" b="0"/>
                  <wp:docPr id="16" name="图片 16" descr="ChatGPT Image 2026年5月31日 16_26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hatGPT Image 2026年5月31日 16_26_25"/>
                          <pic:cNvPicPr>
                            <a:picLocks noChangeAspect="1"/>
                          </pic:cNvPicPr>
                        </pic:nvPicPr>
                        <pic:blipFill>
                          <a:blip r:embed="rId12"/>
                          <a:srcRect t="5158" b="16889"/>
                          <a:stretch>
                            <a:fillRect/>
                          </a:stretch>
                        </pic:blipFill>
                        <pic:spPr>
                          <a:xfrm>
                            <a:off x="0" y="0"/>
                            <a:ext cx="5268595" cy="3080385"/>
                          </a:xfrm>
                          <a:prstGeom prst="rect">
                            <a:avLst/>
                          </a:prstGeom>
                        </pic:spPr>
                      </pic:pic>
                    </a:graphicData>
                  </a:graphic>
                </wp:inline>
              </w:drawing>
            </w:r>
          </w:p>
        </w:tc>
      </w:tr>
      <w:tr w14:paraId="42920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8500" w:type="dxa"/>
          </w:tcPr>
          <w:p w14:paraId="18C286CA">
            <w:pPr>
              <w:widowControl/>
              <w:jc w:val="center"/>
              <w:rPr>
                <w:rFonts w:ascii="Times New Roman" w:hAnsi="Times New Roman" w:eastAsia="宋体" w:cs="Times New Roman"/>
                <w:highlight w:val="none"/>
              </w:rPr>
            </w:pPr>
            <w:r>
              <w:rPr>
                <w:rFonts w:ascii="Times New Roman" w:hAnsi="Times New Roman" w:eastAsia="宋体" w:cs="Times New Roman"/>
                <w:highlight w:val="none"/>
              </w:rPr>
              <w:t>图</w:t>
            </w:r>
            <w:r>
              <w:rPr>
                <w:rFonts w:hint="eastAsia" w:ascii="Times New Roman" w:hAnsi="Times New Roman" w:eastAsia="宋体" w:cs="Times New Roman"/>
                <w:highlight w:val="none"/>
                <w:lang w:val="en-US" w:eastAsia="zh-CN"/>
              </w:rPr>
              <w:t>1</w:t>
            </w:r>
            <w:r>
              <w:rPr>
                <w:rFonts w:ascii="Times New Roman" w:hAnsi="Times New Roman" w:eastAsia="宋体" w:cs="Times New Roman"/>
                <w:highlight w:val="none"/>
              </w:rPr>
              <w:t xml:space="preserve"> 分析流程图</w:t>
            </w:r>
          </w:p>
          <w:p w14:paraId="1DD22BEB">
            <w:pPr>
              <w:widowControl/>
              <w:jc w:val="center"/>
              <w:rPr>
                <w:rFonts w:ascii="Times New Roman" w:hAnsi="Times New Roman" w:eastAsia="宋体" w:cs="Times New Roman"/>
                <w:highlight w:val="none"/>
              </w:rPr>
            </w:pPr>
            <w:commentRangeStart w:id="17"/>
            <w:r>
              <w:rPr>
                <w:highlight w:val="yellow"/>
              </w:rPr>
              <w:t>Fig. 1</w:t>
            </w:r>
            <w:commentRangeEnd w:id="17"/>
            <w:r>
              <w:rPr>
                <w:rStyle w:val="CommentReference"/>
              </w:rPr>
              <w:commentReference w:id="17"/>
            </w:r>
            <w:r>
              <w:t xml:space="preserve"> analysis flow chart</w:t>
            </w:r>
          </w:p>
        </w:tc>
      </w:tr>
    </w:tbl>
    <w:p w14:paraId="3676C974">
      <w:pPr>
        <w:widowControl/>
        <w:jc w:val="left"/>
        <w:rPr>
          <w:rFonts w:ascii="Times New Roman" w:hAnsi="Times New Roman" w:eastAsia="宋体" w:cs="Times New Roman"/>
          <w:highlight w:val="none"/>
        </w:rPr>
      </w:pPr>
    </w:p>
    <w:p w14:paraId="00B6E14D">
      <w:pPr>
        <w:widowControl/>
        <w:jc w:val="left"/>
        <w:rPr>
          <w:rFonts w:ascii="Times New Roman" w:hAnsi="Times New Roman" w:eastAsia="宋体" w:cs="Times New Roman"/>
          <w:highlight w:val="none"/>
        </w:rPr>
      </w:pPr>
    </w:p>
    <w:p w14:paraId="562306D6">
      <w:pPr>
        <w:pStyle w:val="2"/>
        <w:spacing w:line="300" w:lineRule="auto"/>
        <w:ind w:firstLine="0" w:firstLineChars="0"/>
        <w:rPr>
          <w:rFonts w:ascii="Times New Roman" w:hAnsi="Times New Roman" w:cs="Times New Roman"/>
          <w:highlight w:val="none"/>
        </w:rPr>
      </w:pPr>
      <w:r>
        <w:rPr>
          <w:rFonts w:ascii="Times New Roman" w:hAnsi="Times New Roman" w:cs="Times New Roman"/>
          <w:highlight w:val="none"/>
        </w:rPr>
        <w:t>1研究对象和方法</w:t>
      </w:r>
    </w:p>
    <w:p w14:paraId="7E309247">
      <w:pPr>
        <w:pStyle w:val="33"/>
        <w:bidi w:val="0"/>
        <w:rPr>
          <w:highlight w:val="none"/>
        </w:rPr>
      </w:pPr>
      <w:r>
        <w:rPr>
          <w:highlight w:val="none"/>
        </w:rPr>
        <w:t>1.1公园选址和分类</w:t>
      </w:r>
    </w:p>
    <w:p w14:paraId="7652744C">
      <w:pPr>
        <w:widowControl/>
        <w:jc w:val="both"/>
        <w:rPr>
          <w:rFonts w:ascii="Times New Roman" w:hAnsi="Times New Roman" w:cs="Times New Roman"/>
          <w:highlight w:val="none"/>
        </w:rPr>
      </w:pPr>
      <w:r>
        <w:rPr>
          <w:rFonts w:ascii="Times New Roman" w:hAnsi="Times New Roman" w:cs="Times New Roman"/>
          <w:highlight w:val="none"/>
        </w:rPr>
        <w:t>考虑到深圳公园类型多样、官方分类口径与研究目的并不完全一致，</w:t>
      </w:r>
      <w:r>
        <w:rPr>
          <w:rFonts w:hint="eastAsia" w:ascii="Times New Roman" w:hAnsi="Times New Roman" w:cs="Times New Roman"/>
          <w:highlight w:val="none"/>
        </w:rPr>
        <w:t>在公园分类方面，研究选取的5</w:t>
      </w:r>
      <w:r>
        <w:rPr>
          <w:rFonts w:hint="eastAsia" w:ascii="Times New Roman" w:hAnsi="Times New Roman" w:cs="Times New Roman"/>
          <w:highlight w:val="none"/>
          <w:lang w:val="en-US" w:eastAsia="zh-CN"/>
        </w:rPr>
        <w:t>2</w:t>
      </w:r>
      <w:r>
        <w:rPr>
          <w:rFonts w:hint="eastAsia" w:ascii="Times New Roman" w:hAnsi="Times New Roman" w:cs="Times New Roman"/>
          <w:highlight w:val="none"/>
        </w:rPr>
        <w:t>个公园基本呈现</w:t>
      </w:r>
      <w:r>
        <w:rPr>
          <w:rFonts w:hint="eastAsia" w:ascii="Times New Roman" w:hAnsi="Times New Roman" w:cs="Times New Roman"/>
          <w:highlight w:val="none"/>
          <w:lang w:val="en-US" w:eastAsia="zh-CN"/>
        </w:rPr>
        <w:t>3</w:t>
      </w:r>
      <w:r>
        <w:rPr>
          <w:rFonts w:hint="eastAsia" w:ascii="Times New Roman" w:hAnsi="Times New Roman" w:cs="Times New Roman"/>
          <w:highlight w:val="none"/>
        </w:rPr>
        <w:t>类别：森林公园，综合公园，以及有特色的公园如儿童公园</w:t>
      </w:r>
      <w:r>
        <w:rPr>
          <w:rFonts w:hint="eastAsia" w:ascii="Times New Roman" w:hAnsi="Times New Roman" w:cs="Times New Roman"/>
          <w:highlight w:val="none"/>
          <w:lang w:val="en-US" w:eastAsia="zh-CN"/>
        </w:rPr>
        <w:t>、音乐公园</w:t>
      </w:r>
      <w:r>
        <w:rPr>
          <w:rFonts w:hint="eastAsia" w:ascii="Times New Roman" w:hAnsi="Times New Roman" w:cs="Times New Roman"/>
          <w:highlight w:val="none"/>
        </w:rPr>
        <w:t>等。中国城市绿地分类标准侧重于详细分级，</w:t>
      </w:r>
      <w:r>
        <w:rPr>
          <w:rFonts w:hint="eastAsia" w:ascii="Times New Roman" w:hAnsi="Times New Roman" w:cs="Times New Roman"/>
          <w:highlight w:val="none"/>
          <w:lang w:val="en-US" w:eastAsia="zh-CN"/>
        </w:rPr>
        <w:t>然而本文</w:t>
      </w:r>
      <w:r>
        <w:rPr>
          <w:rFonts w:hint="eastAsia" w:ascii="Times New Roman" w:hAnsi="Times New Roman" w:cs="Times New Roman"/>
          <w:highlight w:val="none"/>
          <w:lang w:eastAsia="zh-CN"/>
        </w:rPr>
        <w:t>参考日本公园分类系统，侧重于对公园类型的划分，</w:t>
      </w:r>
      <w:r>
        <w:rPr>
          <w:rFonts w:hint="eastAsia" w:ascii="Times New Roman" w:hAnsi="Times New Roman" w:cs="Times New Roman"/>
          <w:highlight w:val="none"/>
          <w:lang w:val="en-US" w:eastAsia="zh-CN"/>
        </w:rPr>
        <w:t>特此</w:t>
      </w:r>
      <w:r>
        <w:rPr>
          <w:rFonts w:hint="eastAsia" w:ascii="Times New Roman" w:hAnsi="Times New Roman" w:cs="Times New Roman"/>
          <w:highlight w:val="none"/>
          <w:lang w:eastAsia="zh-CN"/>
        </w:rPr>
        <w:t>将研究对象划分为自然公园、基干公园、特色公园3种类别</w:t>
      </w:r>
      <w:r>
        <w:rPr>
          <w:rStyle w:val="44"/>
          <w:rFonts w:hint="eastAsia"/>
          <w:highlight w:val="none"/>
          <w:lang w:eastAsia="zh-CN"/>
        </w:rPr>
        <w:fldChar w:fldCharType="begin"/>
      </w:r>
      <w:r>
        <w:rPr>
          <w:rStyle w:val="44"/>
          <w:highlight w:val="none"/>
        </w:rPr>
        <w:instrText xml:space="preserve"> REF _Ref28779 \n \h  \* MERGEFORMAT</w:instrText>
      </w:r>
      <w:r>
        <w:rPr>
          <w:rStyle w:val="44"/>
          <w:rFonts w:hint="eastAsia"/>
          <w:highlight w:val="none"/>
          <w:lang w:eastAsia="zh-CN"/>
        </w:rPr>
        <w:fldChar w:fldCharType="separate"/>
      </w:r>
      <w:r>
        <w:rPr>
          <w:rStyle w:val="44"/>
          <w:rFonts w:hint="eastAsia"/>
          <w:highlight w:val="none"/>
          <w:lang w:eastAsia="zh-CN"/>
        </w:rPr>
        <w:t>[10</w:t>
      </w:r>
      <w:r>
        <w:rPr>
          <w:rStyle w:val="44"/>
          <w:rFonts w:hint="eastAsia"/>
          <w:highlight w:val="none"/>
          <w:lang w:val="en-US" w:eastAsia="zh-CN"/>
        </w:rPr>
        <w:t>-</w:t>
      </w:r>
      <w:r>
        <w:rPr>
          <w:rStyle w:val="44"/>
          <w:rFonts w:hint="eastAsia"/>
          <w:highlight w:val="none"/>
          <w:lang w:eastAsia="zh-CN"/>
        </w:rPr>
        <w:fldChar w:fldCharType="end"/>
      </w:r>
      <w:r>
        <w:rPr>
          <w:rStyle w:val="44"/>
          <w:rFonts w:hint="default"/>
          <w:highlight w:val="none"/>
          <w:lang w:val="en-US"/>
        </w:rPr>
        <w:fldChar w:fldCharType="begin"/>
      </w:r>
      <w:r>
        <w:rPr>
          <w:rStyle w:val="44"/>
          <w:highlight w:val="none"/>
        </w:rPr>
        <w:instrText xml:space="preserve"> REF _Ref19473 \r \h  \* MERGEFORMAT</w:instrText>
      </w:r>
      <w:r>
        <w:rPr>
          <w:rStyle w:val="44"/>
          <w:rFonts w:hint="default"/>
          <w:highlight w:val="none"/>
          <w:lang w:val="en-US"/>
        </w:rPr>
        <w:fldChar w:fldCharType="separate"/>
      </w:r>
      <w:r>
        <w:rPr>
          <w:rStyle w:val="44"/>
          <w:rFonts w:hint="default"/>
          <w:highlight w:val="none"/>
          <w:lang w:val="en-US"/>
        </w:rPr>
        <w:t>11]</w:t>
      </w:r>
      <w:r>
        <w:rPr>
          <w:rStyle w:val="44"/>
          <w:rFonts w:hint="default"/>
          <w:highlight w:val="none"/>
          <w:lang w:val="en-US"/>
        </w:rPr>
        <w:fldChar w:fldCharType="end"/>
      </w:r>
      <w:r>
        <w:rPr>
          <w:rFonts w:ascii="Times New Roman" w:hAnsi="Times New Roman" w:cs="Times New Roman"/>
          <w:highlight w:val="none"/>
        </w:rPr>
        <w:t>，具体而言，将以生态保育和自然游憩为主的样本归为自然公园，将承担日常公共服务和基础休闲功能的样本归为基干公园，将以主题场景、特定活动或特定人群服务为主的样本归为特色公园（表1）。该归并方式主要服务于跨类型比较分析。</w:t>
      </w:r>
    </w:p>
    <w:p w14:paraId="05EA8066">
      <w:pPr>
        <w:widowControl/>
        <w:jc w:val="center"/>
        <w:rPr>
          <w:rFonts w:ascii="Times New Roman" w:hAnsi="Times New Roman" w:eastAsia="宋体" w:cs="Times New Roman"/>
          <w:highlight w:val="none"/>
        </w:rPr>
      </w:pPr>
      <w:r>
        <w:rPr>
          <w:rFonts w:hint="eastAsia" w:ascii="Times New Roman" w:hAnsi="Times New Roman" w:eastAsia="宋体" w:cs="Times New Roman"/>
          <w:highlight w:val="none"/>
          <w:lang w:val="en-US" w:eastAsia="zh-CN"/>
        </w:rPr>
        <w:t>表</w:t>
      </w:r>
      <w:r>
        <w:rPr>
          <w:rFonts w:ascii="Times New Roman" w:hAnsi="Times New Roman" w:eastAsia="宋体" w:cs="Times New Roman"/>
          <w:highlight w:val="none"/>
        </w:rPr>
        <w:t xml:space="preserve">1 </w:t>
      </w:r>
      <w:r>
        <w:rPr>
          <w:rFonts w:hint="eastAsia" w:ascii="Times New Roman" w:hAnsi="Times New Roman" w:eastAsia="宋体" w:cs="Times New Roman"/>
          <w:highlight w:val="none"/>
          <w:lang w:val="en-US" w:eastAsia="zh-CN"/>
        </w:rPr>
        <w:t>深圳市52个</w:t>
      </w:r>
      <w:r>
        <w:rPr>
          <w:rFonts w:ascii="Times New Roman" w:hAnsi="Times New Roman" w:eastAsia="宋体" w:cs="Times New Roman"/>
          <w:highlight w:val="none"/>
        </w:rPr>
        <w:t>公园类型划分</w:t>
      </w:r>
    </w:p>
    <w:p w14:paraId="4A585ABA">
      <w:pPr>
        <w:jc w:val="center"/>
        <w:rPr>
          <w:rFonts w:hint="eastAsia" w:ascii="Times New Roman" w:hAnsi="Times New Roman" w:cs="Times New Roman"/>
          <w:highlight w:val="none"/>
          <w:lang w:eastAsia="zh-CN"/>
        </w:rPr>
      </w:pPr>
      <w:commentRangeStart w:id="18"/>
      <w:r>
        <w:rPr>
          <w:highlight w:val="yellow"/>
        </w:rPr>
        <w:t>Table 1</w:t>
      </w:r>
      <w:commentRangeEnd w:id="18"/>
      <w:r>
        <w:rPr>
          <w:rStyle w:val="CommentReference"/>
        </w:rPr>
        <w:commentReference w:id="18"/>
      </w:r>
      <w:r>
        <w:t xml:space="preserve"> Classification of 52 Parks in Shenzhen</w:t>
      </w:r>
    </w:p>
    <w:tbl>
      <w:tblPr>
        <w:tblStyle w:val="14"/>
        <w:tblW w:w="8253"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80" w:type="dxa"/>
          <w:left w:w="128" w:type="dxa"/>
          <w:bottom w:w="80" w:type="dxa"/>
          <w:right w:w="128" w:type="dxa"/>
        </w:tblCellMar>
      </w:tblPr>
      <w:tblGrid>
        <w:gridCol w:w="835"/>
        <w:gridCol w:w="2430"/>
        <w:gridCol w:w="4988"/>
      </w:tblGrid>
      <w:tr w14:paraId="26FB37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80" w:type="dxa"/>
            <w:left w:w="128" w:type="dxa"/>
            <w:bottom w:w="80" w:type="dxa"/>
            <w:right w:w="128" w:type="dxa"/>
          </w:tblCellMar>
        </w:tblPrEx>
        <w:trPr>
          <w:trHeight w:val="0" w:hRule="atLeast"/>
          <w:tblHeader/>
          <w:jc w:val="center"/>
        </w:trPr>
        <w:tc>
          <w:tcPr>
            <w:tcW w:w="835" w:type="dxa"/>
            <w:tcBorders>
              <w:bottom w:val="single" w:color="auto" w:sz="4" w:space="0"/>
            </w:tcBorders>
            <w:vAlign w:val="center"/>
          </w:tcPr>
          <w:p w14:paraId="6E729773">
            <w:pPr>
              <w:keepNext w:val="0"/>
              <w:keepLines w:val="0"/>
              <w:pageBreakBefore w:val="0"/>
              <w:widowControl/>
              <w:kinsoku/>
              <w:overflowPunct/>
              <w:topLinePunct w:val="0"/>
              <w:bidi w:val="0"/>
              <w:snapToGrid w:val="0"/>
              <w:spacing w:line="240" w:lineRule="auto"/>
              <w:ind w:left="0" w:leftChars="0" w:right="0" w:rightChars="0" w:firstLine="0" w:firstLineChars="0"/>
              <w:jc w:val="center"/>
              <w:textAlignment w:val="center"/>
              <w:rPr>
                <w:rFonts w:hint="eastAsia" w:ascii="宋体" w:hAnsi="宋体" w:eastAsia="宋体" w:cs="宋体"/>
                <w:b/>
                <w:bCs/>
                <w:color w:val="000000"/>
                <w:sz w:val="13"/>
                <w:szCs w:val="13"/>
                <w:highlight w:val="none"/>
              </w:rPr>
            </w:pPr>
            <w:r>
              <w:rPr>
                <w:rFonts w:hint="eastAsia" w:ascii="宋体" w:hAnsi="宋体" w:eastAsia="宋体" w:cs="宋体"/>
                <w:b/>
                <w:bCs/>
                <w:color w:val="000000"/>
                <w:kern w:val="0"/>
                <w:sz w:val="13"/>
                <w:szCs w:val="13"/>
                <w:highlight w:val="none"/>
                <w:lang w:bidi="ar"/>
              </w:rPr>
              <w:t>公园类型</w:t>
            </w:r>
          </w:p>
        </w:tc>
        <w:tc>
          <w:tcPr>
            <w:tcW w:w="2430" w:type="dxa"/>
            <w:tcBorders>
              <w:bottom w:val="single" w:color="auto" w:sz="4" w:space="0"/>
            </w:tcBorders>
            <w:vAlign w:val="center"/>
          </w:tcPr>
          <w:p w14:paraId="5D3886B0">
            <w:pPr>
              <w:keepNext w:val="0"/>
              <w:keepLines w:val="0"/>
              <w:pageBreakBefore w:val="0"/>
              <w:widowControl/>
              <w:kinsoku/>
              <w:overflowPunct/>
              <w:topLinePunct w:val="0"/>
              <w:bidi w:val="0"/>
              <w:snapToGrid w:val="0"/>
              <w:spacing w:line="240" w:lineRule="auto"/>
              <w:ind w:left="0" w:leftChars="0" w:right="0" w:rightChars="0" w:firstLine="0" w:firstLineChars="0"/>
              <w:jc w:val="center"/>
              <w:textAlignment w:val="center"/>
              <w:rPr>
                <w:rFonts w:hint="eastAsia" w:ascii="宋体" w:hAnsi="宋体" w:eastAsia="宋体" w:cs="宋体"/>
                <w:b/>
                <w:bCs/>
                <w:color w:val="000000"/>
                <w:sz w:val="13"/>
                <w:szCs w:val="13"/>
                <w:highlight w:val="none"/>
              </w:rPr>
            </w:pPr>
            <w:r>
              <w:rPr>
                <w:rFonts w:hint="eastAsia" w:ascii="宋体" w:hAnsi="宋体" w:eastAsia="宋体" w:cs="宋体"/>
                <w:b/>
                <w:bCs/>
                <w:color w:val="000000"/>
                <w:kern w:val="0"/>
                <w:sz w:val="13"/>
                <w:szCs w:val="13"/>
                <w:highlight w:val="none"/>
                <w:lang w:bidi="ar"/>
              </w:rPr>
              <w:t>分类依据</w:t>
            </w:r>
          </w:p>
        </w:tc>
        <w:tc>
          <w:tcPr>
            <w:tcW w:w="4988" w:type="dxa"/>
            <w:tcBorders>
              <w:bottom w:val="single" w:color="auto" w:sz="4" w:space="0"/>
            </w:tcBorders>
            <w:vAlign w:val="center"/>
          </w:tcPr>
          <w:p w14:paraId="6CAAC7F4">
            <w:pPr>
              <w:keepNext w:val="0"/>
              <w:keepLines w:val="0"/>
              <w:pageBreakBefore w:val="0"/>
              <w:widowControl/>
              <w:kinsoku/>
              <w:overflowPunct/>
              <w:topLinePunct w:val="0"/>
              <w:bidi w:val="0"/>
              <w:snapToGrid w:val="0"/>
              <w:spacing w:line="240" w:lineRule="auto"/>
              <w:ind w:left="0" w:leftChars="0" w:right="0" w:rightChars="0" w:firstLine="0" w:firstLineChars="0"/>
              <w:jc w:val="center"/>
              <w:textAlignment w:val="center"/>
              <w:rPr>
                <w:rFonts w:hint="eastAsia" w:ascii="宋体" w:hAnsi="宋体" w:eastAsia="宋体" w:cs="宋体"/>
                <w:b/>
                <w:bCs/>
                <w:color w:val="000000"/>
                <w:sz w:val="13"/>
                <w:szCs w:val="13"/>
                <w:highlight w:val="none"/>
              </w:rPr>
            </w:pPr>
            <w:r>
              <w:rPr>
                <w:rFonts w:hint="eastAsia" w:ascii="宋体" w:hAnsi="宋体" w:eastAsia="宋体" w:cs="宋体"/>
                <w:b/>
                <w:bCs/>
                <w:color w:val="000000"/>
                <w:kern w:val="0"/>
                <w:sz w:val="13"/>
                <w:szCs w:val="13"/>
                <w:highlight w:val="none"/>
                <w:lang w:bidi="ar"/>
              </w:rPr>
              <w:t>公园名称</w:t>
            </w:r>
          </w:p>
        </w:tc>
      </w:tr>
      <w:tr w14:paraId="09D0D0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80" w:type="dxa"/>
            <w:left w:w="128" w:type="dxa"/>
            <w:bottom w:w="80" w:type="dxa"/>
            <w:right w:w="128" w:type="dxa"/>
          </w:tblCellMar>
        </w:tblPrEx>
        <w:trPr>
          <w:trHeight w:val="0" w:hRule="atLeast"/>
          <w:jc w:val="center"/>
        </w:trPr>
        <w:tc>
          <w:tcPr>
            <w:tcW w:w="835" w:type="dxa"/>
            <w:tcBorders>
              <w:top w:val="single" w:color="auto" w:sz="4" w:space="0"/>
            </w:tcBorders>
            <w:vAlign w:val="center"/>
          </w:tcPr>
          <w:p w14:paraId="47592EF8">
            <w:pPr>
              <w:snapToGrid w:val="0"/>
              <w:ind w:left="0" w:leftChars="0" w:right="0" w:rightChars="0" w:firstLine="0" w:firstLineChars="0"/>
              <w:jc w:val="center"/>
              <w:rPr>
                <w:rFonts w:hint="eastAsia" w:ascii="宋体" w:hAnsi="宋体" w:eastAsia="宋体" w:cs="宋体"/>
                <w:sz w:val="10"/>
                <w:szCs w:val="2"/>
                <w:highlight w:val="none"/>
              </w:rPr>
            </w:pPr>
            <w:r>
              <w:rPr>
                <w:rFonts w:hint="eastAsia" w:ascii="宋体" w:hAnsi="宋体" w:eastAsia="宋体" w:cs="宋体"/>
                <w:sz w:val="10"/>
                <w:szCs w:val="10"/>
                <w:highlight w:val="none"/>
              </w:rPr>
              <w:t>自然公园</w:t>
            </w:r>
          </w:p>
        </w:tc>
        <w:tc>
          <w:tcPr>
            <w:tcW w:w="2430" w:type="dxa"/>
            <w:tcBorders>
              <w:top w:val="single" w:color="auto" w:sz="4" w:space="0"/>
            </w:tcBorders>
            <w:vAlign w:val="center"/>
          </w:tcPr>
          <w:p w14:paraId="22B620FD">
            <w:pPr>
              <w:snapToGrid w:val="0"/>
              <w:ind w:left="0" w:leftChars="0" w:right="0" w:rightChars="0" w:firstLine="0" w:firstLineChars="0"/>
              <w:jc w:val="both"/>
              <w:rPr>
                <w:rFonts w:hint="eastAsia" w:ascii="宋体" w:hAnsi="宋体" w:eastAsia="宋体" w:cs="宋体"/>
                <w:sz w:val="10"/>
                <w:szCs w:val="2"/>
                <w:highlight w:val="none"/>
              </w:rPr>
            </w:pPr>
            <w:r>
              <w:rPr>
                <w:rFonts w:hint="eastAsia" w:ascii="宋体" w:hAnsi="宋体" w:eastAsia="宋体" w:cs="宋体"/>
                <w:sz w:val="10"/>
                <w:szCs w:val="10"/>
                <w:highlight w:val="none"/>
              </w:rPr>
              <w:t>以自然生态为核心（如森林公园、湿地公园）,强调生态保护和较大规模的自然活动。</w:t>
            </w:r>
          </w:p>
        </w:tc>
        <w:tc>
          <w:tcPr>
            <w:tcW w:w="4988" w:type="dxa"/>
            <w:tcBorders>
              <w:top w:val="single" w:color="auto" w:sz="4" w:space="0"/>
            </w:tcBorders>
            <w:vAlign w:val="center"/>
          </w:tcPr>
          <w:p w14:paraId="436A5E73">
            <w:pPr>
              <w:snapToGrid w:val="0"/>
              <w:ind w:left="0" w:leftChars="0" w:right="0" w:rightChars="0" w:firstLine="0" w:firstLineChars="0"/>
              <w:jc w:val="both"/>
              <w:rPr>
                <w:rFonts w:hint="eastAsia" w:ascii="宋体" w:hAnsi="宋体" w:eastAsia="宋体" w:cs="宋体"/>
                <w:sz w:val="10"/>
                <w:szCs w:val="2"/>
                <w:highlight w:val="none"/>
              </w:rPr>
            </w:pPr>
            <w:r>
              <w:rPr>
                <w:rFonts w:hint="eastAsia" w:ascii="宋体" w:hAnsi="宋体" w:eastAsia="宋体" w:cs="宋体"/>
                <w:sz w:val="10"/>
                <w:szCs w:val="10"/>
                <w:highlight w:val="none"/>
              </w:rPr>
              <w:t>马峦山郊野公园、燕晗山郊野公园、罗田森林公园、观澜河湿地公园、五指耙公园、深圳坝光银叶树湿地园、九祥岭湿地公园、恩上湿地公园、红树林海滨生态公园、福田红树林生态公园、东部华侨城茶溪谷、阳台山森林公园、宝安西湾红树林公园、铁仔山公园、梅林山公园、大岭鼓公园、平湖生态公园（总数17）</w:t>
            </w:r>
          </w:p>
        </w:tc>
      </w:tr>
      <w:tr w14:paraId="01EC18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80" w:type="dxa"/>
            <w:left w:w="128" w:type="dxa"/>
            <w:bottom w:w="80" w:type="dxa"/>
            <w:right w:w="128" w:type="dxa"/>
          </w:tblCellMar>
        </w:tblPrEx>
        <w:trPr>
          <w:trHeight w:val="0" w:hRule="atLeast"/>
          <w:jc w:val="center"/>
        </w:trPr>
        <w:tc>
          <w:tcPr>
            <w:tcW w:w="835" w:type="dxa"/>
            <w:vAlign w:val="center"/>
          </w:tcPr>
          <w:p w14:paraId="234A7897">
            <w:pPr>
              <w:snapToGrid w:val="0"/>
              <w:ind w:left="0" w:leftChars="0" w:right="0" w:rightChars="0" w:firstLine="0" w:firstLineChars="0"/>
              <w:jc w:val="center"/>
              <w:rPr>
                <w:rFonts w:hint="eastAsia" w:ascii="宋体" w:hAnsi="宋体" w:eastAsia="宋体" w:cs="宋体"/>
                <w:sz w:val="10"/>
                <w:szCs w:val="2"/>
                <w:highlight w:val="none"/>
              </w:rPr>
            </w:pPr>
            <w:r>
              <w:rPr>
                <w:rFonts w:hint="eastAsia" w:ascii="宋体" w:hAnsi="宋体" w:eastAsia="宋体" w:cs="宋体"/>
                <w:sz w:val="10"/>
                <w:szCs w:val="10"/>
                <w:highlight w:val="none"/>
              </w:rPr>
              <w:t>基干公园</w:t>
            </w:r>
          </w:p>
        </w:tc>
        <w:tc>
          <w:tcPr>
            <w:tcW w:w="2430" w:type="dxa"/>
            <w:vAlign w:val="center"/>
          </w:tcPr>
          <w:p w14:paraId="006351AE">
            <w:pPr>
              <w:snapToGrid w:val="0"/>
              <w:ind w:left="0" w:leftChars="0" w:right="0" w:rightChars="0" w:firstLine="0" w:firstLineChars="0"/>
              <w:jc w:val="both"/>
              <w:rPr>
                <w:rFonts w:hint="eastAsia" w:ascii="宋体" w:hAnsi="宋体" w:eastAsia="宋体" w:cs="宋体"/>
                <w:sz w:val="10"/>
                <w:szCs w:val="2"/>
                <w:highlight w:val="none"/>
              </w:rPr>
            </w:pPr>
            <w:r>
              <w:rPr>
                <w:rFonts w:hint="eastAsia" w:ascii="宋体" w:hAnsi="宋体" w:eastAsia="宋体" w:cs="宋体"/>
                <w:sz w:val="10"/>
                <w:szCs w:val="10"/>
                <w:highlight w:val="none"/>
              </w:rPr>
              <w:t>作为城市基础绿地，提供日常服务，满足</w:t>
            </w:r>
            <w:r>
              <w:rPr>
                <w:rFonts w:hint="eastAsia" w:ascii="宋体" w:hAnsi="宋体" w:eastAsia="宋体" w:cs="宋体"/>
                <w:sz w:val="10"/>
                <w:szCs w:val="10"/>
                <w:highlight w:val="none"/>
                <w:lang w:eastAsia="zh-CN"/>
              </w:rPr>
              <w:t>公众</w:t>
            </w:r>
            <w:r>
              <w:rPr>
                <w:rFonts w:hint="eastAsia" w:ascii="宋体" w:hAnsi="宋体" w:eastAsia="宋体" w:cs="宋体"/>
                <w:sz w:val="10"/>
                <w:szCs w:val="10"/>
                <w:highlight w:val="none"/>
              </w:rPr>
              <w:t>日常休闲需求，注重可达性和基本设施。</w:t>
            </w:r>
          </w:p>
        </w:tc>
        <w:tc>
          <w:tcPr>
            <w:tcW w:w="4988" w:type="dxa"/>
            <w:vAlign w:val="center"/>
          </w:tcPr>
          <w:p w14:paraId="10F41B58">
            <w:pPr>
              <w:snapToGrid w:val="0"/>
              <w:ind w:left="0" w:leftChars="0" w:right="0" w:rightChars="0" w:firstLine="0" w:firstLineChars="0"/>
              <w:jc w:val="both"/>
              <w:rPr>
                <w:rFonts w:hint="eastAsia" w:ascii="宋体" w:hAnsi="宋体" w:eastAsia="宋体" w:cs="宋体"/>
                <w:kern w:val="0"/>
                <w:sz w:val="10"/>
                <w:szCs w:val="2"/>
                <w:highlight w:val="none"/>
                <w:lang w:bidi="ar"/>
              </w:rPr>
            </w:pPr>
            <w:r>
              <w:rPr>
                <w:rFonts w:hint="eastAsia" w:ascii="宋体" w:hAnsi="宋体" w:eastAsia="宋体" w:cs="宋体"/>
                <w:sz w:val="10"/>
                <w:szCs w:val="10"/>
                <w:highlight w:val="none"/>
              </w:rPr>
              <w:t>莲花山公园、东湖公园、洪湖公园、笔架山公园、深圳中心公园、中山公园、荔香公园、海山公园、盐田中央公园、龙城公园、龙潭公园、翠竹公园、求水山公园、立新湖公园、桂湾公园、深圳湾公园（总数16）</w:t>
            </w:r>
          </w:p>
        </w:tc>
      </w:tr>
      <w:tr w14:paraId="6AA934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80" w:type="dxa"/>
            <w:left w:w="128" w:type="dxa"/>
            <w:bottom w:w="80" w:type="dxa"/>
            <w:right w:w="128" w:type="dxa"/>
          </w:tblCellMar>
        </w:tblPrEx>
        <w:trPr>
          <w:trHeight w:val="0" w:hRule="atLeast"/>
          <w:jc w:val="center"/>
        </w:trPr>
        <w:tc>
          <w:tcPr>
            <w:tcW w:w="835" w:type="dxa"/>
            <w:vAlign w:val="center"/>
          </w:tcPr>
          <w:p w14:paraId="7E6C05D1">
            <w:pPr>
              <w:snapToGrid w:val="0"/>
              <w:ind w:left="0" w:leftChars="0" w:right="0" w:rightChars="0" w:firstLine="0" w:firstLineChars="0"/>
              <w:jc w:val="center"/>
              <w:rPr>
                <w:rFonts w:hint="eastAsia" w:ascii="宋体" w:hAnsi="宋体" w:eastAsia="宋体" w:cs="宋体"/>
                <w:sz w:val="10"/>
                <w:szCs w:val="2"/>
                <w:highlight w:val="none"/>
              </w:rPr>
            </w:pPr>
            <w:r>
              <w:rPr>
                <w:rFonts w:hint="eastAsia" w:ascii="宋体" w:hAnsi="宋体" w:eastAsia="宋体" w:cs="宋体"/>
                <w:sz w:val="10"/>
                <w:szCs w:val="10"/>
                <w:highlight w:val="none"/>
              </w:rPr>
              <w:t>特色公园</w:t>
            </w:r>
          </w:p>
        </w:tc>
        <w:tc>
          <w:tcPr>
            <w:tcW w:w="2430" w:type="dxa"/>
            <w:vAlign w:val="center"/>
          </w:tcPr>
          <w:p w14:paraId="5845A3AB">
            <w:pPr>
              <w:snapToGrid w:val="0"/>
              <w:ind w:left="0" w:leftChars="0" w:right="0" w:rightChars="0" w:firstLine="0" w:firstLineChars="0"/>
              <w:jc w:val="both"/>
              <w:rPr>
                <w:rFonts w:hint="eastAsia" w:ascii="宋体" w:hAnsi="宋体" w:eastAsia="宋体" w:cs="宋体"/>
                <w:sz w:val="10"/>
                <w:szCs w:val="2"/>
                <w:highlight w:val="none"/>
              </w:rPr>
            </w:pPr>
            <w:r>
              <w:rPr>
                <w:rFonts w:hint="eastAsia" w:ascii="宋体" w:hAnsi="宋体" w:eastAsia="宋体" w:cs="宋体"/>
                <w:sz w:val="10"/>
                <w:szCs w:val="10"/>
                <w:highlight w:val="none"/>
              </w:rPr>
              <w:t>针对特定人群或主题设计（如儿童公园、文化主题公园），通过独特主题或设施吸引特定人群（如亲子、文化体验）。</w:t>
            </w:r>
          </w:p>
        </w:tc>
        <w:tc>
          <w:tcPr>
            <w:tcW w:w="4988" w:type="dxa"/>
            <w:vAlign w:val="center"/>
          </w:tcPr>
          <w:p w14:paraId="3A3D9E7D">
            <w:pPr>
              <w:snapToGrid w:val="0"/>
              <w:ind w:left="0" w:leftChars="0" w:right="0" w:rightChars="0" w:firstLine="0" w:firstLineChars="0"/>
              <w:jc w:val="both"/>
              <w:rPr>
                <w:rFonts w:hint="eastAsia" w:ascii="宋体" w:hAnsi="宋体" w:eastAsia="宋体" w:cs="宋体"/>
                <w:kern w:val="0"/>
                <w:sz w:val="10"/>
                <w:szCs w:val="2"/>
                <w:highlight w:val="none"/>
                <w:lang w:bidi="ar"/>
              </w:rPr>
            </w:pPr>
            <w:r>
              <w:rPr>
                <w:rFonts w:hint="eastAsia" w:ascii="宋体" w:hAnsi="宋体" w:eastAsia="宋体" w:cs="宋体"/>
                <w:sz w:val="10"/>
                <w:szCs w:val="10"/>
                <w:highlight w:val="none"/>
              </w:rPr>
              <w:t>龙岗儿童公园、鹏飞公园、深圳人才公园、白石龙音乐主题公园、灯塔纪念台地、红花岭公园、大沙河生态长廊、龙岗区大运公园、虹桥公园、香蜜公园、荔枝公园、女娲滨海公园、云海公园、玉龙公园、大顶岭绿道、南山公园、月亮湾公园、观音山公园、科学公园（总数19）</w:t>
            </w:r>
          </w:p>
        </w:tc>
      </w:tr>
    </w:tbl>
    <w:p w14:paraId="0BD40F9D">
      <w:pPr>
        <w:keepNext w:val="0"/>
        <w:keepLines w:val="0"/>
        <w:pageBreakBefore w:val="0"/>
        <w:widowControl w:val="0"/>
        <w:kinsoku/>
        <w:overflowPunct/>
        <w:topLinePunct w:val="0"/>
        <w:autoSpaceDE w:val="0"/>
        <w:autoSpaceDN w:val="0"/>
        <w:bidi w:val="0"/>
        <w:adjustRightInd w:val="0"/>
        <w:spacing w:line="324" w:lineRule="auto"/>
        <w:ind w:left="0" w:leftChars="0" w:firstLine="0" w:firstLineChars="0"/>
        <w:jc w:val="both"/>
        <w:textAlignment w:val="center"/>
        <w:rPr>
          <w:rFonts w:hint="eastAsia" w:ascii="Times New Roman" w:hAnsi="Times New Roman" w:eastAsia="宋体" w:cs="Times New Roman"/>
          <w:b/>
          <w:color w:val="000000" w:themeColor="text1"/>
          <w:kern w:val="2"/>
          <w:sz w:val="21"/>
          <w:szCs w:val="21"/>
          <w:highlight w:val="none"/>
          <w:lang w:val="zh-CN" w:eastAsia="zh-CN" w:bidi="ar-SA"/>
          <w14:textFill>
            <w14:solidFill>
              <w14:schemeClr w14:val="tx1"/>
            </w14:solidFill>
          </w14:textFill>
        </w:rPr>
      </w:pPr>
      <w:r>
        <w:rPr>
          <w:rFonts w:hint="eastAsia" w:ascii="Times New Roman" w:hAnsi="Times New Roman" w:eastAsia="宋体" w:cs="Times New Roman"/>
          <w:b/>
          <w:color w:val="000000" w:themeColor="text1"/>
          <w:kern w:val="2"/>
          <w:sz w:val="21"/>
          <w:szCs w:val="21"/>
          <w:highlight w:val="none"/>
          <w:lang w:val="en-US" w:eastAsia="zh-CN" w:bidi="ar-SA"/>
          <w14:textFill>
            <w14:solidFill>
              <w14:schemeClr w14:val="tx1"/>
            </w14:solidFill>
          </w14:textFill>
        </w:rPr>
        <w:t>1.2</w:t>
      </w:r>
      <w:r>
        <w:rPr>
          <w:rFonts w:hint="eastAsia" w:ascii="Times New Roman" w:hAnsi="Times New Roman" w:eastAsia="宋体" w:cs="Times New Roman"/>
          <w:b/>
          <w:color w:val="000000" w:themeColor="text1"/>
          <w:kern w:val="2"/>
          <w:sz w:val="21"/>
          <w:szCs w:val="21"/>
          <w:highlight w:val="none"/>
          <w:lang w:val="zh-CN" w:eastAsia="zh-CN" w:bidi="ar-SA"/>
          <w14:textFill>
            <w14:solidFill>
              <w14:schemeClr w14:val="tx1"/>
            </w14:solidFill>
          </w14:textFill>
        </w:rPr>
        <w:t>研究框架与指标体系</w:t>
      </w:r>
    </w:p>
    <w:p w14:paraId="0AD7B351">
      <w:pPr>
        <w:pStyle w:val="33"/>
        <w:bidi w:val="0"/>
        <w:rPr>
          <w:rFonts w:hint="eastAsia"/>
          <w:highlight w:val="none"/>
        </w:rPr>
      </w:pPr>
      <w:r>
        <w:rPr>
          <w:rFonts w:hint="eastAsia"/>
          <w:highlight w:val="none"/>
          <w:lang w:val="en-US" w:eastAsia="zh-CN"/>
        </w:rPr>
        <w:t>1.2.1 研究框架</w:t>
      </w:r>
    </w:p>
    <w:p w14:paraId="2EF8A3DA">
      <w:pPr>
        <w:pStyle w:val="34"/>
        <w:bidi w:val="0"/>
        <w:rPr>
          <w:rFonts w:hint="default"/>
          <w:highlight w:val="none"/>
          <w:lang w:val="zh-TW" w:eastAsia="zh-CN"/>
        </w:rPr>
      </w:pPr>
      <w:r>
        <w:rPr>
          <w:rFonts w:hint="default"/>
          <w:highlight w:val="none"/>
          <w:lang w:val="zh-TW" w:eastAsia="zh-CN"/>
        </w:rPr>
        <w:t>研究框架包括</w:t>
      </w:r>
      <w:r>
        <w:rPr>
          <w:rFonts w:hint="eastAsia"/>
          <w:highlight w:val="none"/>
          <w:lang w:val="en-US" w:eastAsia="zh-CN"/>
        </w:rPr>
        <w:t>以下</w:t>
      </w:r>
      <w:r>
        <w:rPr>
          <w:rFonts w:hint="default"/>
          <w:highlight w:val="none"/>
          <w:lang w:val="zh-TW" w:eastAsia="zh-CN"/>
        </w:rPr>
        <w:t>步骤：</w:t>
      </w:r>
      <w:r>
        <w:rPr>
          <w:rFonts w:hint="eastAsia"/>
          <w:highlight w:val="none"/>
          <w:lang w:val="en-US" w:eastAsia="zh-CN"/>
        </w:rPr>
        <w:t>1</w:t>
      </w:r>
      <w:r>
        <w:rPr>
          <w:rFonts w:hint="eastAsia"/>
          <w:highlight w:val="none"/>
          <w:lang w:val="zh-TW" w:eastAsia="zh-CN"/>
        </w:rPr>
        <w:t>）</w:t>
      </w:r>
      <w:r>
        <w:rPr>
          <w:rFonts w:hint="eastAsia"/>
          <w:highlight w:val="none"/>
          <w:lang w:val="en-US" w:eastAsia="zh-CN"/>
        </w:rPr>
        <w:t>建立“百姓园林”取向与CES感知融合后的维度要素；2）</w:t>
      </w:r>
      <w:r>
        <w:rPr>
          <w:rFonts w:hint="default"/>
          <w:highlight w:val="none"/>
          <w:lang w:val="zh-TW" w:eastAsia="zh-CN"/>
        </w:rPr>
        <w:t>采集并清洗大众点评与携程评论，形成双平台网络文本数据库；</w:t>
      </w:r>
      <w:r>
        <w:rPr>
          <w:rFonts w:hint="eastAsia"/>
          <w:highlight w:val="none"/>
          <w:lang w:val="en-US" w:eastAsia="zh-CN"/>
        </w:rPr>
        <w:t>3</w:t>
      </w:r>
      <w:r>
        <w:rPr>
          <w:rFonts w:hint="eastAsia"/>
          <w:highlight w:val="none"/>
          <w:lang w:val="zh-TW" w:eastAsia="zh-CN"/>
        </w:rPr>
        <w:t>）</w:t>
      </w:r>
      <w:r>
        <w:rPr>
          <w:rFonts w:hint="default"/>
          <w:highlight w:val="none"/>
          <w:lang w:val="zh-TW" w:eastAsia="zh-CN"/>
        </w:rPr>
        <w:t>基于本地化词典和少样本提示框架，对评论进行CES要素识别并计算感知频率；</w:t>
      </w:r>
      <w:r>
        <w:rPr>
          <w:rFonts w:hint="eastAsia"/>
          <w:highlight w:val="none"/>
          <w:lang w:val="en-US" w:eastAsia="zh-CN"/>
        </w:rPr>
        <w:t>4</w:t>
      </w:r>
      <w:r>
        <w:rPr>
          <w:rFonts w:hint="eastAsia"/>
          <w:highlight w:val="none"/>
          <w:lang w:val="zh-TW" w:eastAsia="zh-CN"/>
        </w:rPr>
        <w:t>）</w:t>
      </w:r>
      <w:r>
        <w:rPr>
          <w:rFonts w:hint="default"/>
          <w:highlight w:val="none"/>
          <w:lang w:val="zh-TW" w:eastAsia="zh-CN"/>
        </w:rPr>
        <w:t>调用百度智能云API量化评论情感倾向</w:t>
      </w:r>
      <w:r>
        <w:rPr>
          <w:rStyle w:val="44"/>
          <w:rFonts w:hint="eastAsia"/>
          <w:highlight w:val="none"/>
          <w:lang w:val="zh-TW" w:eastAsia="zh-TW"/>
        </w:rPr>
        <w:fldChar w:fldCharType="begin"/>
      </w:r>
      <w:r>
        <w:instrText xml:space="preserve"> REF _Ref20234 \r \h  \* MERGEFORMAT</w:instrText>
      </w:r>
      <w:r>
        <w:rPr>
          <w:rStyle w:val="44"/>
          <w:rFonts w:hint="eastAsia"/>
          <w:highlight w:val="none"/>
          <w:lang w:val="zh-TW" w:eastAsia="zh-TW"/>
        </w:rPr>
        <w:fldChar w:fldCharType="separate"/>
      </w:r>
      <w:r>
        <w:rPr>
          <w:rStyle w:val="44"/>
          <w:rFonts w:hint="eastAsia"/>
          <w:highlight w:val="none"/>
          <w:lang w:val="zh-TW" w:eastAsia="zh-TW"/>
        </w:rPr>
        <w:t>[12]</w:t>
      </w:r>
      <w:r>
        <w:rPr>
          <w:rStyle w:val="44"/>
          <w:rFonts w:hint="eastAsia"/>
          <w:highlight w:val="none"/>
          <w:lang w:val="zh-TW" w:eastAsia="zh-TW"/>
        </w:rPr>
        <w:fldChar w:fldCharType="end"/>
      </w:r>
      <w:r>
        <w:rPr>
          <w:rFonts w:hint="default"/>
          <w:highlight w:val="none"/>
          <w:lang w:val="zh-TW" w:eastAsia="zh-CN"/>
        </w:rPr>
        <w:t>，形成</w:t>
      </w:r>
      <w:r>
        <w:rPr>
          <w:rFonts w:hint="eastAsia"/>
          <w:highlight w:val="none"/>
          <w:lang w:val="en-US" w:eastAsia="zh-CN"/>
        </w:rPr>
        <w:t>供给</w:t>
      </w:r>
      <w:r>
        <w:rPr>
          <w:rFonts w:hint="default"/>
          <w:highlight w:val="none"/>
          <w:lang w:val="zh-TW" w:eastAsia="zh-CN"/>
        </w:rPr>
        <w:t>侧</w:t>
      </w:r>
      <w:r>
        <w:rPr>
          <w:rFonts w:hint="eastAsia"/>
          <w:highlight w:val="none"/>
          <w:lang w:val="en-US" w:eastAsia="zh-CN"/>
        </w:rPr>
        <w:t>、需求侧指数</w:t>
      </w:r>
      <w:r>
        <w:rPr>
          <w:rStyle w:val="44"/>
          <w:rFonts w:hint="eastAsia"/>
          <w:highlight w:val="none"/>
          <w:lang w:val="zh-TW" w:eastAsia="zh-TW"/>
        </w:rPr>
        <w:fldChar w:fldCharType="begin"/>
      </w:r>
      <w:r>
        <w:instrText xml:space="preserve"> REF _Ref20244 \r \h  \* MERGEFORMAT</w:instrText>
      </w:r>
      <w:r>
        <w:rPr>
          <w:rStyle w:val="44"/>
          <w:rFonts w:hint="eastAsia"/>
          <w:highlight w:val="none"/>
          <w:lang w:val="zh-TW" w:eastAsia="zh-TW"/>
        </w:rPr>
        <w:fldChar w:fldCharType="separate"/>
      </w:r>
      <w:r>
        <w:rPr>
          <w:rStyle w:val="44"/>
          <w:rFonts w:hint="eastAsia"/>
          <w:highlight w:val="none"/>
          <w:lang w:val="zh-TW" w:eastAsia="zh-TW"/>
        </w:rPr>
        <w:t>[13]</w:t>
      </w:r>
      <w:r>
        <w:rPr>
          <w:rStyle w:val="44"/>
          <w:rFonts w:hint="eastAsia"/>
          <w:highlight w:val="none"/>
          <w:lang w:val="zh-TW" w:eastAsia="zh-TW"/>
        </w:rPr>
        <w:fldChar w:fldCharType="end"/>
      </w:r>
      <w:r>
        <w:rPr>
          <w:rFonts w:hint="default"/>
          <w:highlight w:val="none"/>
          <w:lang w:val="zh-TW" w:eastAsia="zh-CN"/>
        </w:rPr>
        <w:t>；</w:t>
      </w:r>
      <w:r>
        <w:rPr>
          <w:rFonts w:hint="eastAsia"/>
          <w:highlight w:val="none"/>
          <w:lang w:val="en-US" w:eastAsia="zh-CN"/>
        </w:rPr>
        <w:t>5</w:t>
      </w:r>
      <w:r>
        <w:rPr>
          <w:rFonts w:hint="eastAsia"/>
          <w:highlight w:val="none"/>
          <w:lang w:val="zh-TW" w:eastAsia="zh-CN"/>
        </w:rPr>
        <w:t>）</w:t>
      </w:r>
      <w:r>
        <w:rPr>
          <w:rFonts w:hint="default"/>
          <w:highlight w:val="none"/>
          <w:lang w:val="zh-TW" w:eastAsia="zh-CN"/>
        </w:rPr>
        <w:t>结合相关分析、岭回归与IPA模型</w:t>
      </w:r>
      <w:r>
        <w:rPr>
          <w:rStyle w:val="44"/>
          <w:rFonts w:hint="eastAsia"/>
          <w:highlight w:val="none"/>
          <w:lang w:val="zh-TW" w:eastAsia="zh-TW"/>
        </w:rPr>
        <w:fldChar w:fldCharType="begin"/>
      </w:r>
      <w:r>
        <w:instrText xml:space="preserve"> REF _Ref20247 \r \h  \* MERGEFORMAT</w:instrText>
      </w:r>
      <w:r>
        <w:rPr>
          <w:rStyle w:val="44"/>
          <w:rFonts w:hint="eastAsia"/>
          <w:highlight w:val="none"/>
          <w:lang w:val="zh-TW" w:eastAsia="zh-TW"/>
        </w:rPr>
        <w:fldChar w:fldCharType="separate"/>
      </w:r>
      <w:r>
        <w:rPr>
          <w:rStyle w:val="44"/>
          <w:rFonts w:hint="eastAsia"/>
          <w:highlight w:val="none"/>
          <w:lang w:val="zh-TW" w:eastAsia="zh-TW"/>
        </w:rPr>
        <w:t>[14</w:t>
      </w:r>
      <w:r>
        <w:rPr>
          <w:rStyle w:val="44"/>
          <w:rFonts w:hint="eastAsia"/>
          <w:highlight w:val="none"/>
          <w:lang w:val="zh-TW" w:eastAsia="zh-TW"/>
        </w:rPr>
        <w:fldChar w:fldCharType="end"/>
      </w:r>
      <w:r>
        <w:rPr>
          <w:rStyle w:val="44"/>
          <w:rFonts w:hint="eastAsia"/>
          <w:highlight w:val="none"/>
          <w:lang w:val="zh-TW" w:eastAsia="zh-TW"/>
        </w:rPr>
        <w:fldChar w:fldCharType="begin"/>
      </w:r>
      <w:r>
        <w:instrText xml:space="preserve"> REF _Ref8271 \r \h  \* MERGEFORMAT</w:instrText>
      </w:r>
      <w:r>
        <w:rPr>
          <w:rStyle w:val="44"/>
          <w:rFonts w:hint="eastAsia"/>
          <w:highlight w:val="none"/>
          <w:lang w:val="zh-TW" w:eastAsia="zh-TW"/>
        </w:rPr>
        <w:fldChar w:fldCharType="separate"/>
      </w:r>
      <w:r>
        <w:rPr>
          <w:rStyle w:val="44"/>
          <w:rFonts w:hint="eastAsia"/>
          <w:highlight w:val="none"/>
          <w:lang w:val="en-US" w:eastAsia="zh-CN"/>
        </w:rPr>
        <w:t>-</w:t>
      </w:r>
      <w:r>
        <w:rPr>
          <w:rStyle w:val="44"/>
          <w:rFonts w:hint="eastAsia"/>
          <w:highlight w:val="none"/>
          <w:lang w:val="zh-TW" w:eastAsia="zh-TW"/>
        </w:rPr>
        <w:t>15]</w:t>
      </w:r>
      <w:r>
        <w:rPr>
          <w:rStyle w:val="44"/>
          <w:rFonts w:hint="eastAsia"/>
          <w:highlight w:val="none"/>
          <w:lang w:val="zh-TW" w:eastAsia="zh-TW"/>
        </w:rPr>
        <w:fldChar w:fldCharType="end"/>
      </w:r>
      <w:r>
        <w:rPr>
          <w:rFonts w:hint="default"/>
          <w:highlight w:val="none"/>
          <w:lang w:val="zh-TW" w:eastAsia="zh-CN"/>
        </w:rPr>
        <w:t>，识别关键驱动要素，比较不同类型</w:t>
      </w:r>
      <w:r>
        <w:rPr>
          <w:rFonts w:hint="eastAsia"/>
          <w:highlight w:val="none"/>
          <w:lang w:val="en-US" w:eastAsia="zh-CN"/>
        </w:rPr>
        <w:t>CES</w:t>
      </w:r>
      <w:r>
        <w:rPr>
          <w:rFonts w:hint="default"/>
          <w:highlight w:val="none"/>
          <w:lang w:val="zh-TW" w:eastAsia="zh-CN"/>
        </w:rPr>
        <w:t>感知供需匹配特征，并据此提出优化策略。</w:t>
      </w:r>
      <w:r>
        <w:rPr>
          <w:rFonts w:hint="eastAsia"/>
          <w:highlight w:val="none"/>
          <w:lang w:val="zh-TW" w:eastAsia="zh-CN"/>
        </w:rPr>
        <w:t>研究</w:t>
      </w:r>
      <w:r>
        <w:rPr>
          <w:rFonts w:hint="default"/>
          <w:highlight w:val="none"/>
          <w:lang w:val="zh-TW" w:eastAsia="zh-CN"/>
        </w:rPr>
        <w:t>使用</w:t>
      </w:r>
      <w:r>
        <w:rPr>
          <w:rFonts w:hint="eastAsia"/>
          <w:highlight w:val="none"/>
          <w:lang w:val="zh-TW" w:eastAsia="zh-CN"/>
        </w:rPr>
        <w:t>网络评论数据</w:t>
      </w:r>
      <w:r>
        <w:rPr>
          <w:rFonts w:hint="default"/>
          <w:highlight w:val="none"/>
          <w:lang w:val="zh-TW" w:eastAsia="zh-CN"/>
        </w:rPr>
        <w:t>，旨在识别</w:t>
      </w:r>
      <w:r>
        <w:rPr>
          <w:rFonts w:hint="eastAsia"/>
          <w:highlight w:val="none"/>
          <w:lang w:val="zh-TW" w:eastAsia="zh-CN"/>
        </w:rPr>
        <w:t>公众</w:t>
      </w:r>
      <w:r>
        <w:rPr>
          <w:rFonts w:hint="default"/>
          <w:highlight w:val="none"/>
          <w:lang w:val="zh-TW" w:eastAsia="zh-CN"/>
        </w:rPr>
        <w:t>感知层面的CES供需匹配关系，而不直接测度</w:t>
      </w:r>
      <w:r>
        <w:rPr>
          <w:rFonts w:ascii="宋体" w:hAnsi="宋体" w:eastAsia="宋体" w:cs="宋体"/>
          <w:sz w:val="24"/>
          <w:szCs w:val="24"/>
          <w:highlight w:val="none"/>
        </w:rPr>
        <w:t>物</w:t>
      </w:r>
      <w:r>
        <w:rPr>
          <w:rFonts w:hint="default"/>
          <w:highlight w:val="none"/>
          <w:lang w:val="zh-TW" w:eastAsia="zh-CN"/>
        </w:rPr>
        <w:t>质空间意义上的客观供需总量</w:t>
      </w:r>
      <w:r>
        <w:rPr>
          <w:rFonts w:hint="eastAsia"/>
          <w:highlight w:val="none"/>
          <w:lang w:val="zh-TW" w:eastAsia="zh-CN"/>
        </w:rPr>
        <w:t>。</w:t>
      </w:r>
    </w:p>
    <w:p w14:paraId="5860C8EC">
      <w:pPr>
        <w:pStyle w:val="33"/>
        <w:bidi w:val="0"/>
        <w:rPr>
          <w:rFonts w:hint="eastAsia"/>
          <w:highlight w:val="none"/>
          <w:lang w:val="en-US" w:eastAsia="zh-CN"/>
        </w:rPr>
      </w:pPr>
      <w:r>
        <w:rPr>
          <w:rFonts w:hint="eastAsia"/>
          <w:highlight w:val="none"/>
          <w:lang w:val="en-US" w:eastAsia="zh-CN"/>
        </w:rPr>
        <w:t>1</w:t>
      </w:r>
      <w:r>
        <w:rPr>
          <w:rFonts w:hint="eastAsia"/>
          <w:highlight w:val="none"/>
          <w:lang w:val="zh-CN" w:eastAsia="zh-CN"/>
        </w:rPr>
        <w:t>.</w:t>
      </w:r>
      <w:r>
        <w:rPr>
          <w:rFonts w:hint="eastAsia"/>
          <w:highlight w:val="none"/>
          <w:lang w:val="en-US" w:eastAsia="zh-CN"/>
        </w:rPr>
        <w:t>2</w:t>
      </w:r>
      <w:r>
        <w:rPr>
          <w:rFonts w:hint="eastAsia"/>
          <w:highlight w:val="none"/>
          <w:lang w:val="zh-CN" w:eastAsia="zh-CN"/>
        </w:rPr>
        <w:t>.</w:t>
      </w:r>
      <w:r>
        <w:rPr>
          <w:rFonts w:hint="eastAsia"/>
          <w:highlight w:val="none"/>
          <w:lang w:val="en-US" w:eastAsia="zh-CN"/>
        </w:rPr>
        <w:t>2</w:t>
      </w:r>
      <w:r>
        <w:rPr>
          <w:rFonts w:hint="eastAsia"/>
          <w:highlight w:val="none"/>
          <w:lang w:val="zh-CN" w:eastAsia="zh-CN"/>
        </w:rPr>
        <w:t xml:space="preserve">  </w:t>
      </w:r>
      <w:r>
        <w:rPr>
          <w:rFonts w:hint="eastAsia"/>
          <w:highlight w:val="none"/>
          <w:lang w:val="en-US" w:eastAsia="zh-CN"/>
        </w:rPr>
        <w:t>CES指标定义与“百姓园林”转译</w:t>
      </w:r>
    </w:p>
    <w:p w14:paraId="7B602946">
      <w:pPr>
        <w:pStyle w:val="34"/>
        <w:bidi w:val="0"/>
        <w:rPr>
          <w:highlight w:val="none"/>
        </w:rPr>
      </w:pPr>
      <w:r>
        <w:t>研究通过系统梳理国内外CES研究进展，研究在类别设定上参考主流生态系统服务分类框架与CES测度实践，如</w:t>
      </w:r>
      <w:commentRangeStart w:id="20"/>
      <w:r>
        <w:rPr>
          <w:highlight w:val="yellow"/>
        </w:rPr>
        <w:t>Costanza 等[16]、Hernández-Morcillo 等[17]</w:t>
      </w:r>
      <w:commentRangeEnd w:id="20"/>
      <w:r>
        <w:rPr>
          <w:rStyle w:val="CommentReference"/>
        </w:rPr>
        <w:commentReference w:id="20"/>
      </w:r>
      <w:r>
        <w:t>研究，以公众感知与景观要素可识别性为导向形成候选类别，形成涵盖游憩、旅游、美学、文化遗产、教育、精神宗教与场所感等内容的候选类别。同时，考虑“百姓园林”所强调的日常生活导向、公共共享、普惠友好、文化传承与公众参与等价值取向[4]，研究在指标本地化过程中吸收了与城市公园公众感知密切相关的内容，以增强评价框架对现实使用情境的解释力。</w:t>
      </w:r>
      <w:commentRangeStart w:id="24"/>
      <w:r>
        <w:rPr>
          <w:highlight w:val="yellow"/>
        </w:rPr>
        <w:t>[39-42]</w:t>
      </w:r>
      <w:commentRangeEnd w:id="24"/>
      <w:r>
        <w:rPr>
          <w:rStyle w:val="CommentReference"/>
        </w:rPr>
        <w:commentReference w:id="24"/>
      </w:r>
    </w:p>
    <w:p w14:paraId="2537AF82">
      <w:pPr>
        <w:jc w:val="both"/>
        <w:rPr>
          <w:highlight w:val="none"/>
        </w:rPr>
      </w:pPr>
      <w:r>
        <w:rPr>
          <w:highlight w:val="none"/>
        </w:rPr>
        <w:t>研究在保留传统CES核心内涵的基础上，结合“百姓园林”所强调的文化记忆与公众审美</w:t>
      </w:r>
      <w:r>
        <w:rPr>
          <w:rFonts w:hint="eastAsia"/>
          <w:highlight w:val="none"/>
          <w:lang w:val="en-US"/>
        </w:rPr>
        <w:t>等取向</w:t>
      </w:r>
      <w:r>
        <w:rPr>
          <w:rStyle w:val="44"/>
          <w:rFonts w:hint="default"/>
          <w:highlight w:val="none"/>
          <w:lang w:val="en-US"/>
        </w:rPr>
        <w:fldChar w:fldCharType="begin"/>
      </w:r>
      <w:r>
        <w:instrText xml:space="preserve"> REF _Ref30733 \r \h  \* MERGEFORMAT</w:instrText>
      </w:r>
      <w:r>
        <w:rPr>
          <w:rStyle w:val="44"/>
          <w:rFonts w:hint="default"/>
          <w:highlight w:val="none"/>
          <w:lang w:val="en-US"/>
        </w:rPr>
        <w:fldChar w:fldCharType="separate"/>
      </w:r>
      <w:r>
        <w:rPr>
          <w:rStyle w:val="44"/>
          <w:rFonts w:hint="default"/>
          <w:highlight w:val="none"/>
          <w:lang w:val="en-US"/>
        </w:rPr>
        <w:t>[4</w:t>
      </w:r>
      <w:r>
        <w:rPr>
          <w:rStyle w:val="44"/>
          <w:rFonts w:hint="eastAsia"/>
          <w:highlight w:val="none"/>
          <w:lang w:val="en-US"/>
        </w:rPr>
        <w:t>-</w:t>
      </w:r>
      <w:r>
        <w:rPr>
          <w:rStyle w:val="44"/>
          <w:rFonts w:hint="default"/>
          <w:highlight w:val="none"/>
          <w:lang w:val="en-US"/>
        </w:rPr>
        <w:fldChar w:fldCharType="end"/>
      </w:r>
      <w:r>
        <w:rPr>
          <w:rStyle w:val="44"/>
          <w:rFonts w:hint="default"/>
          <w:highlight w:val="none"/>
          <w:lang w:val="en-US"/>
        </w:rPr>
        <w:fldChar w:fldCharType="begin"/>
      </w:r>
      <w:r>
        <w:instrText xml:space="preserve"> REF _Ref9136 \r \h  \* MERGEFORMAT</w:instrText>
      </w:r>
      <w:r>
        <w:rPr>
          <w:rStyle w:val="44"/>
          <w:rFonts w:hint="default"/>
          <w:highlight w:val="none"/>
          <w:lang w:val="en-US"/>
        </w:rPr>
        <w:fldChar w:fldCharType="separate"/>
      </w:r>
      <w:r>
        <w:rPr>
          <w:rStyle w:val="44"/>
          <w:rFonts w:hint="default"/>
          <w:highlight w:val="none"/>
          <w:lang w:val="en-US"/>
        </w:rPr>
        <w:t>5]</w:t>
      </w:r>
      <w:r>
        <w:rPr>
          <w:rStyle w:val="44"/>
          <w:rFonts w:hint="default"/>
          <w:highlight w:val="none"/>
          <w:lang w:val="en-US"/>
        </w:rPr>
        <w:fldChar w:fldCharType="end"/>
      </w:r>
      <w:r>
        <w:rPr>
          <w:highlight w:val="none"/>
        </w:rPr>
        <w:t>，对相关类别进行整合</w:t>
      </w:r>
      <w:r>
        <w:rPr>
          <w:rFonts w:hint="eastAsia"/>
          <w:highlight w:val="none"/>
          <w:lang w:val="en-US"/>
        </w:rPr>
        <w:t>出</w:t>
      </w:r>
      <w:r>
        <w:rPr>
          <w:highlight w:val="none"/>
        </w:rPr>
        <w:t>“美学与文化服务”</w:t>
      </w:r>
      <w:r>
        <w:rPr>
          <w:rFonts w:hint="eastAsia"/>
          <w:highlight w:val="none"/>
          <w:lang w:val="en-US"/>
        </w:rPr>
        <w:t>、</w:t>
      </w:r>
      <w:r>
        <w:rPr>
          <w:highlight w:val="none"/>
        </w:rPr>
        <w:t>“游憩与</w:t>
      </w:r>
      <w:r>
        <w:rPr>
          <w:rFonts w:hint="eastAsia"/>
          <w:highlight w:val="none"/>
          <w:lang w:val="en-US"/>
        </w:rPr>
        <w:t>教育服务</w:t>
      </w:r>
      <w:r>
        <w:rPr>
          <w:highlight w:val="none"/>
        </w:rPr>
        <w:t>”</w:t>
      </w:r>
      <w:r>
        <w:rPr>
          <w:rFonts w:hint="eastAsia"/>
          <w:highlight w:val="none"/>
          <w:lang w:val="en-US"/>
        </w:rPr>
        <w:t>、</w:t>
      </w:r>
      <w:r>
        <w:rPr>
          <w:highlight w:val="none"/>
        </w:rPr>
        <w:t>“环境感知与恢复性服务”</w:t>
      </w:r>
      <w:r>
        <w:rPr>
          <w:rFonts w:hint="eastAsia"/>
          <w:highlight w:val="none"/>
          <w:lang w:val="en-US"/>
        </w:rPr>
        <w:t>、</w:t>
      </w:r>
      <w:r>
        <w:rPr>
          <w:highlight w:val="none"/>
        </w:rPr>
        <w:t>“空间承载服务”</w:t>
      </w:r>
      <w:r>
        <w:rPr>
          <w:rFonts w:hint="eastAsia"/>
          <w:highlight w:val="none"/>
          <w:lang w:val="en-US"/>
        </w:rPr>
        <w:t>4大维度，并且根据其自身特点发展出10项要素，</w:t>
      </w:r>
      <w:r>
        <w:rPr>
          <w:highlight w:val="none"/>
        </w:rPr>
        <w:t>最终形成</w:t>
      </w:r>
      <w:r>
        <w:rPr>
          <w:rFonts w:hint="eastAsia"/>
          <w:highlight w:val="none"/>
          <w:lang w:val="en-US"/>
        </w:rPr>
        <w:t>与</w:t>
      </w:r>
      <w:r>
        <w:rPr>
          <w:rFonts w:hint="eastAsia"/>
          <w:highlight w:val="none"/>
        </w:rPr>
        <w:t>“</w:t>
      </w:r>
      <w:r>
        <w:rPr>
          <w:rFonts w:hint="eastAsia"/>
          <w:highlight w:val="none"/>
          <w:lang w:val="en-US"/>
        </w:rPr>
        <w:t>百姓园林”结合</w:t>
      </w:r>
      <w:r>
        <w:rPr>
          <w:highlight w:val="none"/>
        </w:rPr>
        <w:t>的CES评价体系</w:t>
      </w:r>
      <w:r>
        <w:rPr>
          <w:rFonts w:hint="eastAsia"/>
          <w:highlight w:val="none"/>
        </w:rPr>
        <w:t>（</w:t>
      </w:r>
      <w:r>
        <w:rPr>
          <w:rFonts w:hint="eastAsia"/>
          <w:highlight w:val="none"/>
          <w:lang w:val="en-US"/>
        </w:rPr>
        <w:t>表2</w:t>
      </w:r>
      <w:r>
        <w:rPr>
          <w:rFonts w:hint="eastAsia"/>
          <w:highlight w:val="none"/>
        </w:rPr>
        <w:t>）</w:t>
      </w:r>
      <w:r>
        <w:rPr>
          <w:highlight w:val="none"/>
        </w:rPr>
        <w:t>。其中评价维度指CES的宏观服务类型，用于组织解释维度层面统计；评价要素指在</w:t>
      </w:r>
      <w:r>
        <w:rPr>
          <w:rFonts w:hint="eastAsia"/>
          <w:highlight w:val="none"/>
        </w:rPr>
        <w:t>网络评论数据</w:t>
      </w:r>
      <w:r>
        <w:rPr>
          <w:highlight w:val="none"/>
        </w:rPr>
        <w:t>中可被稳定识别的体验主题，是后续岭回归与IPA诊断的基本分析</w:t>
      </w:r>
      <w:r>
        <w:rPr>
          <w:rFonts w:hint="eastAsia"/>
          <w:highlight w:val="none"/>
          <w:lang w:val="en-US"/>
        </w:rPr>
        <w:t>指标</w:t>
      </w:r>
      <w:r>
        <w:rPr>
          <w:rFonts w:hint="eastAsia"/>
          <w:highlight w:val="none"/>
        </w:rPr>
        <w:t>。</w:t>
      </w:r>
      <w:r>
        <w:rPr>
          <w:highlight w:val="none"/>
        </w:rPr>
        <w:t>该指标体系的目的并非对“百姓园林”整体价值作全面评价，而是将其关于文化传承、日常使用、生命在场</w:t>
      </w:r>
      <w:r>
        <w:rPr>
          <w:rFonts w:hint="eastAsia"/>
          <w:highlight w:val="none"/>
          <w:lang w:val="en-US" w:eastAsia="zh-CN"/>
        </w:rPr>
        <w:t>等取向</w:t>
      </w:r>
      <w:r>
        <w:rPr>
          <w:highlight w:val="none"/>
        </w:rPr>
        <w:t>转化为可识别、可比较的公园CES感知内容。</w:t>
      </w:r>
    </w:p>
    <w:p w14:paraId="193EF4B1">
      <w:pPr>
        <w:jc w:val="center"/>
        <w:rPr>
          <w:rFonts w:ascii="Times New Roman" w:hAnsi="Times New Roman" w:eastAsia="宋体" w:cs="Times New Roman"/>
          <w:highlight w:val="none"/>
        </w:rPr>
      </w:pPr>
      <w:r>
        <w:rPr>
          <w:rFonts w:ascii="Times New Roman" w:hAnsi="Times New Roman" w:eastAsia="宋体" w:cs="Times New Roman"/>
          <w:highlight w:val="none"/>
        </w:rPr>
        <w:t>表</w:t>
      </w:r>
      <w:r>
        <w:rPr>
          <w:rFonts w:hint="eastAsia" w:ascii="Times New Roman" w:hAnsi="Times New Roman" w:eastAsia="宋体" w:cs="Times New Roman"/>
          <w:highlight w:val="none"/>
          <w:lang w:val="en-US" w:eastAsia="zh-CN"/>
        </w:rPr>
        <w:t>2</w:t>
      </w:r>
      <w:r>
        <w:rPr>
          <w:rFonts w:ascii="Times New Roman" w:hAnsi="Times New Roman" w:eastAsia="宋体" w:cs="Times New Roman"/>
          <w:highlight w:val="none"/>
        </w:rPr>
        <w:t xml:space="preserve"> </w:t>
      </w:r>
      <w:r>
        <w:rPr>
          <w:rFonts w:ascii="宋体" w:hAnsi="宋体" w:eastAsia="宋体" w:cs="宋体"/>
          <w:sz w:val="24"/>
          <w:szCs w:val="24"/>
          <w:highlight w:val="none"/>
        </w:rPr>
        <w:t>百姓园林导向下城市公园CES评价体系构建</w:t>
      </w:r>
    </w:p>
    <w:p w14:paraId="15051D38">
      <w:pPr>
        <w:pStyle w:val="34"/>
        <w:bidi w:val="0"/>
        <w:jc w:val="center"/>
        <w:rPr>
          <w:rFonts w:hint="eastAsia" w:ascii="Times New Roman" w:hAnsi="Times New Roman" w:eastAsia="宋体" w:cs="Times New Roman"/>
          <w:highlight w:val="none"/>
          <w:lang w:eastAsia="zh-CN"/>
        </w:rPr>
      </w:pPr>
      <w:commentRangeStart w:id="19"/>
      <w:r>
        <w:rPr>
          <w:highlight w:val="yellow"/>
        </w:rPr>
        <w:t>Table 2</w:t>
      </w:r>
      <w:commentRangeEnd w:id="19"/>
      <w:r>
        <w:rPr>
          <w:rStyle w:val="CommentReference"/>
        </w:rPr>
        <w:commentReference w:id="19"/>
      </w:r>
      <w:r>
        <w:t xml:space="preserve"> Constructing a CES Evaluation System for Urban Parks from the Perspective of People’s Garden Orientation</w:t>
      </w:r>
    </w:p>
    <w:tbl>
      <w:tblPr>
        <w:tblStyle w:val="14"/>
        <w:tblW w:w="8500" w:type="dxa"/>
        <w:jc w:val="center"/>
        <w:tblLayout w:type="fixed"/>
        <w:tblCellMar>
          <w:top w:w="45" w:type="dxa"/>
          <w:left w:w="96" w:type="dxa"/>
          <w:bottom w:w="45" w:type="dxa"/>
          <w:right w:w="96" w:type="dxa"/>
        </w:tblCellMar>
      </w:tblPr>
      <w:tblGrid>
        <w:gridCol w:w="1203"/>
        <w:gridCol w:w="881"/>
        <w:gridCol w:w="1181"/>
        <w:gridCol w:w="1360"/>
        <w:gridCol w:w="1631"/>
        <w:gridCol w:w="1985"/>
      </w:tblGrid>
      <w:tr w14:paraId="7C347A5A">
        <w:tblPrEx>
          <w:tblCellMar>
            <w:top w:w="45" w:type="dxa"/>
            <w:left w:w="96" w:type="dxa"/>
            <w:bottom w:w="45" w:type="dxa"/>
            <w:right w:w="96" w:type="dxa"/>
          </w:tblCellMar>
        </w:tblPrEx>
        <w:trPr>
          <w:wBefore w:w="12" w:type="dxa"/>
          <w:wAfter w:w="247" w:type="dxa"/>
          <w:trHeight w:val="0" w:hRule="atLeast"/>
          <w:tblHeader/>
          <w:jc w:val="center"/>
        </w:trPr>
        <w:tc>
          <w:tcPr>
            <w:tcW w:w="1203" w:type="dxa"/>
            <w:tcBorders>
              <w:top w:val="single" w:color="auto" w:sz="4" w:space="0"/>
              <w:left w:val="nil"/>
              <w:bottom w:val="single" w:color="auto" w:sz="4" w:space="0"/>
              <w:right w:val="nil"/>
            </w:tcBorders>
            <w:vAlign w:val="center"/>
          </w:tcPr>
          <w:p w14:paraId="3570E89D">
            <w:pPr>
              <w:snapToGrid w:val="0"/>
              <w:ind w:left="0" w:leftChars="0" w:right="0" w:rightChars="0" w:firstLine="0" w:firstLineChars="0"/>
              <w:jc w:val="center"/>
              <w:rPr>
                <w:rFonts w:hint="eastAsia" w:ascii="宋体" w:hAnsi="宋体" w:eastAsia="宋体" w:cs="宋体"/>
                <w:b/>
                <w:bCs/>
                <w:sz w:val="13"/>
                <w:szCs w:val="13"/>
                <w:highlight w:val="none"/>
                <w:lang w:val="en-US" w:eastAsia="zh-CN"/>
              </w:rPr>
            </w:pPr>
            <w:r>
              <w:rPr>
                <w:rFonts w:hint="eastAsia" w:ascii="宋体" w:hAnsi="宋体" w:eastAsia="宋体" w:cs="宋体"/>
                <w:b/>
                <w:bCs/>
                <w:sz w:val="13"/>
                <w:szCs w:val="13"/>
                <w:highlight w:val="none"/>
                <w:lang w:val="en-US" w:eastAsia="zh-CN"/>
              </w:rPr>
              <w:t>“百姓园林”核心取向</w:t>
            </w:r>
          </w:p>
        </w:tc>
        <w:tc>
          <w:tcPr>
            <w:tcW w:w="881" w:type="dxa"/>
            <w:tcBorders>
              <w:top w:val="single" w:color="auto" w:sz="4" w:space="0"/>
              <w:left w:val="nil"/>
              <w:bottom w:val="single" w:color="auto" w:sz="4" w:space="0"/>
              <w:right w:val="nil"/>
            </w:tcBorders>
            <w:vAlign w:val="center"/>
          </w:tcPr>
          <w:p w14:paraId="07035A68">
            <w:pPr>
              <w:snapToGrid w:val="0"/>
              <w:ind w:left="0" w:leftChars="0" w:right="0" w:rightChars="0" w:firstLine="0" w:firstLineChars="0"/>
              <w:jc w:val="center"/>
              <w:rPr>
                <w:rFonts w:hint="eastAsia" w:ascii="宋体" w:hAnsi="宋体" w:eastAsia="宋体" w:cs="宋体"/>
                <w:b/>
                <w:bCs/>
                <w:sz w:val="13"/>
                <w:szCs w:val="13"/>
                <w:highlight w:val="none"/>
              </w:rPr>
            </w:pPr>
            <w:r>
              <w:rPr>
                <w:rFonts w:hint="eastAsia" w:ascii="宋体" w:hAnsi="宋体" w:eastAsia="宋体" w:cs="宋体"/>
                <w:b/>
                <w:bCs/>
                <w:sz w:val="13"/>
                <w:szCs w:val="13"/>
                <w:highlight w:val="none"/>
                <w:lang w:val="en-US" w:eastAsia="zh-CN"/>
              </w:rPr>
              <w:t>CES核心取向</w:t>
            </w:r>
          </w:p>
        </w:tc>
        <w:tc>
          <w:tcPr>
            <w:tcW w:w="1181" w:type="dxa"/>
            <w:tcBorders>
              <w:top w:val="single" w:color="auto" w:sz="4" w:space="0"/>
              <w:left w:val="nil"/>
              <w:bottom w:val="single" w:color="auto" w:sz="4" w:space="0"/>
              <w:right w:val="nil"/>
            </w:tcBorders>
            <w:vAlign w:val="center"/>
          </w:tcPr>
          <w:p w14:paraId="778EAE6B">
            <w:pPr>
              <w:snapToGrid w:val="0"/>
              <w:ind w:left="0" w:leftChars="0" w:right="0" w:rightChars="0" w:firstLine="0" w:firstLineChars="0"/>
              <w:jc w:val="center"/>
              <w:rPr>
                <w:rFonts w:hint="eastAsia" w:ascii="宋体" w:hAnsi="宋体" w:eastAsia="宋体" w:cs="宋体"/>
                <w:b/>
                <w:bCs/>
                <w:sz w:val="13"/>
                <w:szCs w:val="13"/>
                <w:highlight w:val="none"/>
                <w:lang w:val="en-US" w:eastAsia="zh-CN"/>
              </w:rPr>
            </w:pPr>
            <w:r>
              <w:rPr>
                <w:rFonts w:hint="eastAsia" w:ascii="宋体" w:hAnsi="宋体" w:eastAsia="宋体" w:cs="宋体"/>
                <w:b/>
                <w:bCs/>
                <w:sz w:val="13"/>
                <w:szCs w:val="13"/>
                <w:highlight w:val="none"/>
                <w:lang w:val="en-US" w:eastAsia="zh-CN"/>
              </w:rPr>
              <w:t>结合后</w:t>
            </w:r>
            <w:r>
              <w:rPr>
                <w:rFonts w:hint="eastAsia" w:ascii="宋体" w:hAnsi="宋体" w:eastAsia="宋体" w:cs="宋体"/>
                <w:b/>
                <w:bCs/>
                <w:sz w:val="13"/>
                <w:szCs w:val="13"/>
                <w:highlight w:val="none"/>
              </w:rPr>
              <w:t>CES评价维度</w:t>
            </w:r>
          </w:p>
        </w:tc>
        <w:tc>
          <w:tcPr>
            <w:tcW w:w="1360" w:type="dxa"/>
            <w:tcBorders>
              <w:top w:val="single" w:color="auto" w:sz="4" w:space="0"/>
              <w:left w:val="nil"/>
              <w:bottom w:val="single" w:color="auto" w:sz="4" w:space="0"/>
              <w:right w:val="nil"/>
            </w:tcBorders>
            <w:shd w:val="clear" w:color="auto" w:fill="auto"/>
            <w:vAlign w:val="center"/>
          </w:tcPr>
          <w:p w14:paraId="1C37694F">
            <w:pPr>
              <w:snapToGrid w:val="0"/>
              <w:ind w:left="0" w:leftChars="0" w:right="0" w:rightChars="0" w:firstLine="0" w:firstLineChars="0"/>
              <w:jc w:val="center"/>
              <w:rPr>
                <w:rFonts w:hint="eastAsia" w:ascii="宋体" w:hAnsi="宋体" w:eastAsia="宋体" w:cs="宋体"/>
                <w:b/>
                <w:bCs/>
                <w:sz w:val="13"/>
                <w:szCs w:val="13"/>
                <w:highlight w:val="none"/>
                <w:lang w:val="en-US" w:eastAsia="zh-CN" w:bidi="ar-SA"/>
              </w:rPr>
            </w:pPr>
            <w:r>
              <w:rPr>
                <w:rFonts w:hint="eastAsia" w:ascii="宋体" w:hAnsi="宋体" w:eastAsia="宋体" w:cs="宋体"/>
                <w:b/>
                <w:bCs/>
                <w:sz w:val="13"/>
                <w:szCs w:val="13"/>
                <w:highlight w:val="none"/>
                <w:lang w:val="en-US" w:eastAsia="zh-CN"/>
              </w:rPr>
              <w:t>结合依据</w:t>
            </w:r>
          </w:p>
        </w:tc>
        <w:tc>
          <w:tcPr>
            <w:tcW w:w="1631" w:type="dxa"/>
            <w:tcBorders>
              <w:top w:val="single" w:color="auto" w:sz="4" w:space="0"/>
              <w:left w:val="nil"/>
              <w:bottom w:val="single" w:color="auto" w:sz="4" w:space="0"/>
              <w:right w:val="nil"/>
            </w:tcBorders>
            <w:vAlign w:val="center"/>
          </w:tcPr>
          <w:p w14:paraId="6BA5B691">
            <w:pPr>
              <w:snapToGrid w:val="0"/>
              <w:ind w:left="0" w:leftChars="0" w:right="0" w:rightChars="0" w:firstLine="0" w:firstLineChars="0"/>
              <w:jc w:val="center"/>
              <w:rPr>
                <w:rFonts w:hint="eastAsia" w:ascii="宋体" w:hAnsi="宋体" w:eastAsia="宋体" w:cs="宋体"/>
                <w:b/>
                <w:bCs/>
                <w:sz w:val="13"/>
                <w:szCs w:val="13"/>
                <w:highlight w:val="none"/>
              </w:rPr>
            </w:pPr>
            <w:r>
              <w:rPr>
                <w:rFonts w:hint="eastAsia" w:ascii="宋体" w:hAnsi="宋体" w:eastAsia="宋体" w:cs="宋体"/>
                <w:b/>
                <w:bCs/>
                <w:sz w:val="13"/>
                <w:szCs w:val="13"/>
                <w:highlight w:val="none"/>
              </w:rPr>
              <w:t>CES评价要素</w:t>
            </w:r>
          </w:p>
          <w:p w14:paraId="7C2D94BF">
            <w:pPr>
              <w:snapToGrid w:val="0"/>
              <w:ind w:left="0" w:leftChars="0" w:right="0" w:rightChars="0" w:firstLine="0" w:firstLineChars="0"/>
              <w:jc w:val="center"/>
              <w:rPr>
                <w:rFonts w:hint="eastAsia" w:ascii="宋体" w:hAnsi="宋体" w:eastAsia="宋体" w:cs="宋体"/>
                <w:b/>
                <w:bCs/>
                <w:sz w:val="13"/>
                <w:szCs w:val="13"/>
                <w:highlight w:val="none"/>
              </w:rPr>
            </w:pPr>
            <w:r>
              <w:rPr>
                <w:rFonts w:hint="eastAsia" w:ascii="宋体" w:hAnsi="宋体" w:eastAsia="宋体" w:cs="宋体"/>
                <w:b/>
                <w:bCs/>
                <w:sz w:val="13"/>
                <w:szCs w:val="13"/>
                <w:highlight w:val="none"/>
              </w:rPr>
              <w:t>(细分)</w:t>
            </w:r>
          </w:p>
        </w:tc>
        <w:tc>
          <w:tcPr>
            <w:tcW w:w="1985" w:type="dxa"/>
            <w:tcBorders>
              <w:top w:val="single" w:color="auto" w:sz="4" w:space="0"/>
              <w:left w:val="nil"/>
              <w:bottom w:val="single" w:color="auto" w:sz="4" w:space="0"/>
              <w:right w:val="nil"/>
            </w:tcBorders>
            <w:vAlign w:val="center"/>
          </w:tcPr>
          <w:p w14:paraId="550E5354">
            <w:pPr>
              <w:snapToGrid w:val="0"/>
              <w:ind w:left="0" w:leftChars="0" w:right="0" w:rightChars="0" w:firstLine="0" w:firstLineChars="0"/>
              <w:jc w:val="center"/>
              <w:rPr>
                <w:rFonts w:hint="eastAsia" w:ascii="宋体" w:hAnsi="宋体" w:eastAsia="宋体" w:cs="宋体"/>
                <w:b/>
                <w:bCs/>
                <w:sz w:val="13"/>
                <w:szCs w:val="13"/>
                <w:highlight w:val="none"/>
              </w:rPr>
            </w:pPr>
            <w:commentRangeStart w:id="4"/>
            <w:r>
              <w:rPr>
                <w:highlight w:val="yellow"/>
              </w:rPr>
              <w:t>细化内容</w:t>
            </w:r>
            <w:commentRangeEnd w:id="4"/>
            <w:r>
              <w:rPr>
                <w:rStyle w:val="CommentReference"/>
              </w:rPr>
              <w:commentReference w:id="4"/>
            </w:r>
          </w:p>
        </w:tc>
      </w:tr>
      <w:tr w14:paraId="0551F3D0">
        <w:tblPrEx>
          <w:tblCellMar>
            <w:top w:w="45" w:type="dxa"/>
            <w:left w:w="96" w:type="dxa"/>
            <w:bottom w:w="45" w:type="dxa"/>
            <w:right w:w="96" w:type="dxa"/>
          </w:tblCellMar>
        </w:tblPrEx>
        <w:trPr>
          <w:wBefore w:w="12" w:type="dxa"/>
          <w:wAfter w:w="247" w:type="dxa"/>
          <w:trHeight w:val="480" w:hRule="atLeast"/>
          <w:jc w:val="center"/>
        </w:trPr>
        <w:tc>
          <w:tcPr>
            <w:tcW w:w="1203" w:type="dxa"/>
            <w:vMerge w:val="restart"/>
            <w:tcBorders>
              <w:top w:val="single" w:color="auto" w:sz="4" w:space="0"/>
              <w:left w:val="nil"/>
              <w:right w:val="nil"/>
            </w:tcBorders>
            <w:vAlign w:val="center"/>
          </w:tcPr>
          <w:p w14:paraId="3ADA6DDD">
            <w:pPr>
              <w:snapToGrid w:val="0"/>
              <w:ind w:left="0" w:leftChars="0" w:right="0" w:rightChars="0" w:firstLine="0" w:firstLineChars="0"/>
              <w:jc w:val="both"/>
              <w:rPr>
                <w:rFonts w:hint="eastAsia" w:ascii="宋体" w:hAnsi="宋体" w:eastAsia="宋体" w:cs="宋体"/>
                <w:sz w:val="13"/>
                <w:szCs w:val="13"/>
                <w:highlight w:val="none"/>
                <w:lang w:val="en-US"/>
              </w:rPr>
            </w:pPr>
            <w:r>
              <w:rPr>
                <w:rFonts w:hint="eastAsia" w:ascii="宋体" w:hAnsi="宋体" w:eastAsia="宋体" w:cs="宋体"/>
                <w:sz w:val="13"/>
                <w:szCs w:val="13"/>
                <w:highlight w:val="none"/>
              </w:rPr>
              <w:t>文化传承</w:t>
            </w:r>
            <w:r>
              <w:rPr>
                <w:rFonts w:hint="eastAsia" w:ascii="宋体" w:hAnsi="宋体" w:eastAsia="宋体" w:cs="宋体"/>
                <w:sz w:val="13"/>
                <w:szCs w:val="13"/>
                <w:highlight w:val="none"/>
                <w:lang w:val="en-US" w:eastAsia="zh-CN"/>
              </w:rPr>
              <w:t>、公众审美</w:t>
            </w:r>
          </w:p>
        </w:tc>
        <w:tc>
          <w:tcPr>
            <w:tcW w:w="881" w:type="dxa"/>
            <w:vMerge w:val="restart"/>
            <w:tcBorders>
              <w:top w:val="single" w:color="auto" w:sz="4" w:space="0"/>
              <w:left w:val="nil"/>
              <w:right w:val="nil"/>
            </w:tcBorders>
            <w:vAlign w:val="center"/>
          </w:tcPr>
          <w:p w14:paraId="1D8AAE80">
            <w:pPr>
              <w:snapToGrid w:val="0"/>
              <w:ind w:left="0" w:leftChars="0" w:right="0" w:rightChars="0" w:firstLine="0" w:firstLineChars="0"/>
              <w:jc w:val="both"/>
              <w:rPr>
                <w:rFonts w:hint="eastAsia" w:ascii="宋体" w:hAnsi="宋体" w:eastAsia="宋体" w:cs="宋体"/>
                <w:sz w:val="13"/>
                <w:szCs w:val="13"/>
                <w:highlight w:val="none"/>
              </w:rPr>
            </w:pPr>
            <w:r>
              <w:rPr>
                <w:rFonts w:hint="eastAsia" w:ascii="宋体" w:hAnsi="宋体" w:eastAsia="宋体" w:cs="宋体"/>
                <w:sz w:val="13"/>
                <w:szCs w:val="13"/>
                <w:highlight w:val="none"/>
              </w:rPr>
              <w:t>审美体验、景观感知、文化遗产</w:t>
            </w:r>
          </w:p>
        </w:tc>
        <w:tc>
          <w:tcPr>
            <w:tcW w:w="1181" w:type="dxa"/>
            <w:vMerge w:val="restart"/>
            <w:tcBorders>
              <w:top w:val="single" w:color="auto" w:sz="4" w:space="0"/>
              <w:left w:val="nil"/>
              <w:right w:val="nil"/>
            </w:tcBorders>
            <w:vAlign w:val="center"/>
          </w:tcPr>
          <w:p w14:paraId="66A14702">
            <w:pPr>
              <w:snapToGrid w:val="0"/>
              <w:ind w:left="0" w:leftChars="0" w:right="0" w:rightChars="0" w:firstLine="0" w:firstLineChars="0"/>
              <w:jc w:val="both"/>
              <w:rPr>
                <w:rFonts w:hint="eastAsia" w:ascii="宋体" w:hAnsi="宋体" w:eastAsia="宋体" w:cs="宋体"/>
                <w:sz w:val="13"/>
                <w:szCs w:val="13"/>
                <w:highlight w:val="none"/>
              </w:rPr>
            </w:pPr>
            <w:r>
              <w:rPr>
                <w:rFonts w:hint="eastAsia" w:ascii="宋体" w:hAnsi="宋体" w:eastAsia="宋体" w:cs="宋体"/>
                <w:sz w:val="13"/>
                <w:szCs w:val="13"/>
                <w:highlight w:val="none"/>
              </w:rPr>
              <w:t>美学与文化服务</w:t>
            </w:r>
          </w:p>
        </w:tc>
        <w:tc>
          <w:tcPr>
            <w:tcW w:w="1360" w:type="dxa"/>
            <w:vMerge w:val="restart"/>
            <w:tcBorders>
              <w:top w:val="single" w:color="auto" w:sz="4" w:space="0"/>
              <w:left w:val="nil"/>
              <w:right w:val="nil"/>
            </w:tcBorders>
            <w:shd w:val="clear" w:color="auto" w:fill="auto"/>
            <w:vAlign w:val="center"/>
          </w:tcPr>
          <w:p w14:paraId="7977DB04">
            <w:pPr>
              <w:snapToGrid w:val="0"/>
              <w:ind w:left="0" w:leftChars="0" w:right="0" w:rightChars="0" w:firstLine="0" w:firstLineChars="0"/>
              <w:jc w:val="both"/>
              <w:rPr>
                <w:rFonts w:hint="eastAsia" w:ascii="宋体" w:hAnsi="宋体" w:eastAsia="宋体" w:cs="宋体"/>
                <w:sz w:val="13"/>
                <w:szCs w:val="13"/>
                <w:highlight w:val="none"/>
                <w:lang w:val="en-US" w:eastAsia="en-US" w:bidi="ar-SA"/>
              </w:rPr>
            </w:pPr>
            <w:r>
              <w:rPr>
                <w:rFonts w:hint="eastAsia" w:ascii="宋体" w:hAnsi="宋体" w:eastAsia="宋体" w:cs="宋体"/>
                <w:sz w:val="13"/>
                <w:szCs w:val="13"/>
                <w:highlight w:val="none"/>
              </w:rPr>
              <w:t>该组包括美学景观服务和文化遗产服务，直接对应</w:t>
            </w:r>
            <w:r>
              <w:rPr>
                <w:rFonts w:hint="eastAsia" w:ascii="宋体" w:hAnsi="宋体" w:eastAsia="宋体" w:cs="宋体"/>
                <w:sz w:val="13"/>
                <w:szCs w:val="13"/>
                <w:highlight w:val="none"/>
                <w:lang w:eastAsia="zh-CN"/>
              </w:rPr>
              <w:t>“百姓园林”</w:t>
            </w:r>
            <w:r>
              <w:rPr>
                <w:rFonts w:hint="eastAsia" w:ascii="宋体" w:hAnsi="宋体" w:eastAsia="宋体" w:cs="宋体"/>
                <w:sz w:val="13"/>
                <w:szCs w:val="13"/>
                <w:highlight w:val="none"/>
              </w:rPr>
              <w:t>关于传统园林文化融入日常生活、强化文化记忆和地方文脉延续的要求。</w:t>
            </w:r>
          </w:p>
          <w:p w14:paraId="01CA425B">
            <w:pPr>
              <w:snapToGrid w:val="0"/>
              <w:ind w:left="0" w:leftChars="0" w:right="0" w:rightChars="0" w:firstLine="0" w:firstLineChars="0"/>
              <w:jc w:val="both"/>
              <w:rPr>
                <w:rFonts w:hint="eastAsia" w:ascii="宋体" w:hAnsi="宋体" w:eastAsia="宋体" w:cs="宋体"/>
                <w:sz w:val="13"/>
                <w:szCs w:val="13"/>
                <w:highlight w:val="none"/>
              </w:rPr>
            </w:pPr>
          </w:p>
        </w:tc>
        <w:tc>
          <w:tcPr>
            <w:tcW w:w="1631" w:type="dxa"/>
            <w:tcBorders>
              <w:top w:val="single" w:color="auto" w:sz="4" w:space="0"/>
              <w:left w:val="nil"/>
              <w:right w:val="nil"/>
            </w:tcBorders>
            <w:vAlign w:val="center"/>
          </w:tcPr>
          <w:p w14:paraId="75D332C5">
            <w:pPr>
              <w:snapToGrid w:val="0"/>
              <w:ind w:left="0" w:leftChars="0" w:right="0" w:rightChars="0" w:firstLine="0" w:firstLineChars="0"/>
              <w:jc w:val="both"/>
              <w:rPr>
                <w:rFonts w:hint="eastAsia" w:ascii="宋体" w:hAnsi="宋体" w:eastAsia="宋体" w:cs="宋体"/>
                <w:sz w:val="13"/>
                <w:szCs w:val="13"/>
                <w:highlight w:val="none"/>
              </w:rPr>
            </w:pPr>
            <w:r>
              <w:rPr>
                <w:rFonts w:hint="eastAsia" w:ascii="宋体" w:hAnsi="宋体" w:eastAsia="宋体" w:cs="宋体"/>
                <w:sz w:val="13"/>
                <w:szCs w:val="13"/>
                <w:highlight w:val="none"/>
              </w:rPr>
              <w:t>美学景观服务</w:t>
            </w:r>
          </w:p>
        </w:tc>
        <w:tc>
          <w:tcPr>
            <w:tcW w:w="1985" w:type="dxa"/>
            <w:tcBorders>
              <w:top w:val="single" w:color="auto" w:sz="4" w:space="0"/>
              <w:left w:val="nil"/>
              <w:right w:val="nil"/>
            </w:tcBorders>
            <w:vAlign w:val="center"/>
          </w:tcPr>
          <w:p w14:paraId="631FEE29">
            <w:pPr>
              <w:snapToGrid w:val="0"/>
              <w:ind w:left="0" w:leftChars="0" w:right="0" w:rightChars="0" w:firstLine="0" w:firstLineChars="0"/>
              <w:jc w:val="both"/>
              <w:rPr>
                <w:rFonts w:hint="eastAsia" w:ascii="宋体" w:hAnsi="宋体" w:eastAsia="宋体" w:cs="宋体"/>
                <w:sz w:val="13"/>
                <w:szCs w:val="13"/>
                <w:highlight w:val="none"/>
              </w:rPr>
            </w:pPr>
            <w:r>
              <w:rPr>
                <w:rFonts w:hint="eastAsia" w:ascii="宋体" w:hAnsi="宋体" w:eastAsia="宋体" w:cs="宋体"/>
                <w:sz w:val="13"/>
                <w:szCs w:val="13"/>
                <w:highlight w:val="none"/>
              </w:rPr>
              <w:t>观赏花卉、原生乔木、地被草坪、生态水系的视觉优美程度</w:t>
            </w:r>
          </w:p>
        </w:tc>
      </w:tr>
      <w:tr w14:paraId="41F88C6E">
        <w:tblPrEx>
          <w:tblCellMar>
            <w:top w:w="45" w:type="dxa"/>
            <w:left w:w="96" w:type="dxa"/>
            <w:bottom w:w="45" w:type="dxa"/>
            <w:right w:w="96" w:type="dxa"/>
          </w:tblCellMar>
        </w:tblPrEx>
        <w:trPr>
          <w:wBefore w:w="12" w:type="dxa"/>
          <w:wAfter w:w="247" w:type="dxa"/>
          <w:trHeight w:val="428" w:hRule="atLeast"/>
          <w:jc w:val="center"/>
        </w:trPr>
        <w:tc>
          <w:tcPr>
            <w:tcW w:w="1203" w:type="dxa"/>
            <w:vMerge w:val="continue"/>
            <w:tcBorders>
              <w:left w:val="nil"/>
              <w:right w:val="nil"/>
            </w:tcBorders>
            <w:vAlign w:val="center"/>
          </w:tcPr>
          <w:p w14:paraId="6705E9DF">
            <w:pPr>
              <w:snapToGrid w:val="0"/>
              <w:ind w:left="0" w:leftChars="0" w:right="0" w:rightChars="0" w:firstLine="0" w:firstLineChars="0"/>
              <w:jc w:val="both"/>
              <w:rPr>
                <w:rFonts w:hint="eastAsia" w:ascii="宋体" w:hAnsi="宋体" w:eastAsia="宋体" w:cs="宋体"/>
                <w:sz w:val="13"/>
                <w:szCs w:val="13"/>
                <w:highlight w:val="none"/>
              </w:rPr>
            </w:pPr>
          </w:p>
        </w:tc>
        <w:tc>
          <w:tcPr>
            <w:tcW w:w="881" w:type="dxa"/>
            <w:vMerge w:val="continue"/>
            <w:tcBorders>
              <w:left w:val="nil"/>
              <w:right w:val="nil"/>
            </w:tcBorders>
            <w:vAlign w:val="center"/>
          </w:tcPr>
          <w:p w14:paraId="71D47FF1">
            <w:pPr>
              <w:snapToGrid w:val="0"/>
              <w:ind w:left="0" w:leftChars="0" w:right="0" w:rightChars="0" w:firstLine="0" w:firstLineChars="0"/>
              <w:jc w:val="both"/>
              <w:rPr>
                <w:rFonts w:hint="eastAsia" w:ascii="宋体" w:hAnsi="宋体" w:eastAsia="宋体" w:cs="宋体"/>
                <w:sz w:val="13"/>
                <w:szCs w:val="13"/>
                <w:highlight w:val="none"/>
              </w:rPr>
            </w:pPr>
          </w:p>
        </w:tc>
        <w:tc>
          <w:tcPr>
            <w:tcW w:w="1181" w:type="dxa"/>
            <w:vMerge w:val="continue"/>
            <w:tcBorders>
              <w:left w:val="nil"/>
              <w:right w:val="nil"/>
            </w:tcBorders>
            <w:vAlign w:val="center"/>
          </w:tcPr>
          <w:p w14:paraId="21CCF5FF">
            <w:pPr>
              <w:snapToGrid w:val="0"/>
              <w:ind w:left="0" w:leftChars="0" w:right="0" w:rightChars="0" w:firstLine="0" w:firstLineChars="0"/>
              <w:jc w:val="both"/>
              <w:rPr>
                <w:rFonts w:hint="eastAsia" w:ascii="宋体" w:hAnsi="宋体" w:eastAsia="宋体" w:cs="宋体"/>
                <w:sz w:val="13"/>
                <w:szCs w:val="13"/>
                <w:highlight w:val="none"/>
              </w:rPr>
            </w:pPr>
          </w:p>
        </w:tc>
        <w:tc>
          <w:tcPr>
            <w:tcW w:w="1360" w:type="dxa"/>
            <w:vMerge w:val="continue"/>
            <w:tcBorders>
              <w:left w:val="nil"/>
              <w:right w:val="nil"/>
            </w:tcBorders>
            <w:vAlign w:val="center"/>
          </w:tcPr>
          <w:p w14:paraId="2E80350F">
            <w:pPr>
              <w:snapToGrid w:val="0"/>
              <w:ind w:left="0" w:leftChars="0" w:right="0" w:rightChars="0" w:firstLine="0" w:firstLineChars="0"/>
              <w:jc w:val="both"/>
              <w:rPr>
                <w:rFonts w:hint="eastAsia" w:ascii="宋体" w:hAnsi="宋体" w:eastAsia="宋体" w:cs="宋体"/>
                <w:sz w:val="13"/>
                <w:szCs w:val="13"/>
                <w:highlight w:val="none"/>
              </w:rPr>
            </w:pPr>
          </w:p>
        </w:tc>
        <w:tc>
          <w:tcPr>
            <w:tcW w:w="1631" w:type="dxa"/>
            <w:tcBorders>
              <w:left w:val="nil"/>
              <w:right w:val="nil"/>
            </w:tcBorders>
            <w:vAlign w:val="center"/>
          </w:tcPr>
          <w:p w14:paraId="533AEA25">
            <w:pPr>
              <w:snapToGrid w:val="0"/>
              <w:ind w:left="0" w:leftChars="0" w:right="0" w:rightChars="0" w:firstLine="0" w:firstLineChars="0"/>
              <w:jc w:val="both"/>
              <w:rPr>
                <w:rFonts w:hint="eastAsia" w:ascii="宋体" w:hAnsi="宋体" w:eastAsia="宋体" w:cs="宋体"/>
                <w:sz w:val="13"/>
                <w:szCs w:val="13"/>
                <w:highlight w:val="none"/>
              </w:rPr>
            </w:pPr>
            <w:r>
              <w:rPr>
                <w:rFonts w:hint="eastAsia" w:ascii="宋体" w:hAnsi="宋体" w:eastAsia="宋体" w:cs="宋体"/>
                <w:sz w:val="13"/>
                <w:szCs w:val="13"/>
                <w:highlight w:val="none"/>
              </w:rPr>
              <w:t>文化遗产服务</w:t>
            </w:r>
          </w:p>
        </w:tc>
        <w:tc>
          <w:tcPr>
            <w:tcW w:w="1985" w:type="dxa"/>
            <w:tcBorders>
              <w:left w:val="nil"/>
              <w:bottom w:val="single" w:color="auto" w:sz="4" w:space="0"/>
              <w:right w:val="nil"/>
            </w:tcBorders>
            <w:vAlign w:val="center"/>
          </w:tcPr>
          <w:p w14:paraId="46773D2A">
            <w:pPr>
              <w:snapToGrid w:val="0"/>
              <w:ind w:left="0" w:leftChars="0" w:right="0" w:rightChars="0" w:firstLine="0" w:firstLineChars="0"/>
              <w:jc w:val="both"/>
              <w:rPr>
                <w:rFonts w:hint="eastAsia" w:ascii="宋体" w:hAnsi="宋体" w:eastAsia="宋体" w:cs="宋体"/>
                <w:sz w:val="13"/>
                <w:szCs w:val="13"/>
                <w:highlight w:val="none"/>
              </w:rPr>
            </w:pPr>
            <w:r>
              <w:rPr>
                <w:rFonts w:hint="eastAsia" w:ascii="宋体" w:hAnsi="宋体" w:eastAsia="宋体" w:cs="宋体"/>
                <w:sz w:val="13"/>
                <w:szCs w:val="13"/>
                <w:highlight w:val="none"/>
              </w:rPr>
              <w:t>标志建筑、古典亭台、景观连廊、主题雕塑群</w:t>
            </w:r>
          </w:p>
        </w:tc>
      </w:tr>
      <w:tr w14:paraId="7D6F5D17">
        <w:tblPrEx>
          <w:tblCellMar>
            <w:top w:w="45" w:type="dxa"/>
            <w:left w:w="96" w:type="dxa"/>
            <w:bottom w:w="45" w:type="dxa"/>
            <w:right w:w="96" w:type="dxa"/>
          </w:tblCellMar>
        </w:tblPrEx>
        <w:trPr>
          <w:wBefore w:w="12" w:type="dxa"/>
          <w:wAfter w:w="247" w:type="dxa"/>
          <w:trHeight w:val="90" w:hRule="atLeast"/>
          <w:jc w:val="center"/>
        </w:trPr>
        <w:tc>
          <w:tcPr>
            <w:tcW w:w="1203" w:type="dxa"/>
            <w:vMerge w:val="restart"/>
            <w:tcBorders>
              <w:top w:val="single" w:color="auto" w:sz="4" w:space="0"/>
              <w:left w:val="nil"/>
              <w:right w:val="nil"/>
            </w:tcBorders>
            <w:vAlign w:val="center"/>
          </w:tcPr>
          <w:p w14:paraId="616F2C0E">
            <w:pPr>
              <w:snapToGrid w:val="0"/>
              <w:ind w:left="0" w:leftChars="0" w:right="0" w:rightChars="0" w:firstLine="0" w:firstLineChars="0"/>
              <w:jc w:val="both"/>
              <w:rPr>
                <w:rFonts w:hint="eastAsia" w:ascii="宋体" w:hAnsi="宋体" w:eastAsia="宋体" w:cs="宋体"/>
                <w:sz w:val="13"/>
                <w:szCs w:val="13"/>
                <w:highlight w:val="none"/>
                <w:lang w:val="en-US"/>
              </w:rPr>
            </w:pPr>
            <w:r>
              <w:rPr>
                <w:rFonts w:hint="eastAsia" w:ascii="宋体" w:hAnsi="宋体" w:eastAsia="宋体" w:cs="宋体"/>
                <w:sz w:val="13"/>
                <w:szCs w:val="13"/>
                <w:highlight w:val="none"/>
                <w:lang w:val="en-US" w:eastAsia="zh-CN"/>
              </w:rPr>
              <w:t>生命在场、日常生活</w:t>
            </w:r>
          </w:p>
        </w:tc>
        <w:tc>
          <w:tcPr>
            <w:tcW w:w="881" w:type="dxa"/>
            <w:vMerge w:val="restart"/>
            <w:tcBorders>
              <w:top w:val="single" w:color="auto" w:sz="4" w:space="0"/>
              <w:left w:val="nil"/>
              <w:right w:val="nil"/>
            </w:tcBorders>
            <w:vAlign w:val="center"/>
          </w:tcPr>
          <w:p w14:paraId="5B70102D">
            <w:pPr>
              <w:snapToGrid w:val="0"/>
              <w:ind w:left="0" w:leftChars="0" w:right="0" w:rightChars="0" w:firstLine="0" w:firstLineChars="0"/>
              <w:jc w:val="both"/>
              <w:rPr>
                <w:rFonts w:hint="eastAsia" w:ascii="宋体" w:hAnsi="宋体" w:eastAsia="宋体" w:cs="宋体"/>
                <w:sz w:val="13"/>
                <w:szCs w:val="13"/>
                <w:highlight w:val="none"/>
              </w:rPr>
            </w:pPr>
            <w:r>
              <w:rPr>
                <w:rFonts w:hint="eastAsia" w:ascii="宋体" w:hAnsi="宋体" w:eastAsia="宋体" w:cs="宋体"/>
                <w:sz w:val="13"/>
                <w:szCs w:val="13"/>
                <w:highlight w:val="none"/>
              </w:rPr>
              <w:t>精神愉悦、社会交往</w:t>
            </w:r>
            <w:r>
              <w:rPr>
                <w:rFonts w:hint="eastAsia" w:ascii="宋体" w:hAnsi="宋体" w:eastAsia="宋体" w:cs="宋体"/>
                <w:sz w:val="13"/>
                <w:szCs w:val="13"/>
                <w:highlight w:val="none"/>
                <w:lang w:val="en-US" w:eastAsia="zh-CN"/>
              </w:rPr>
              <w:t>、</w:t>
            </w:r>
            <w:r>
              <w:rPr>
                <w:rFonts w:hint="eastAsia" w:ascii="宋体" w:hAnsi="宋体" w:eastAsia="宋体" w:cs="宋体"/>
                <w:sz w:val="13"/>
                <w:szCs w:val="13"/>
                <w:highlight w:val="none"/>
              </w:rPr>
              <w:t>教育</w:t>
            </w:r>
            <w:r>
              <w:rPr>
                <w:rFonts w:hint="eastAsia" w:ascii="宋体" w:hAnsi="宋体" w:eastAsia="宋体" w:cs="宋体"/>
                <w:sz w:val="13"/>
                <w:szCs w:val="13"/>
                <w:highlight w:val="none"/>
                <w:lang w:val="en-US" w:eastAsia="zh-CN"/>
              </w:rPr>
              <w:t>服务</w:t>
            </w:r>
          </w:p>
        </w:tc>
        <w:tc>
          <w:tcPr>
            <w:tcW w:w="1181" w:type="dxa"/>
            <w:vMerge w:val="restart"/>
            <w:tcBorders>
              <w:top w:val="single" w:color="auto" w:sz="4" w:space="0"/>
              <w:left w:val="nil"/>
              <w:right w:val="nil"/>
            </w:tcBorders>
            <w:vAlign w:val="center"/>
          </w:tcPr>
          <w:p w14:paraId="5C8E4EF1">
            <w:pPr>
              <w:snapToGrid w:val="0"/>
              <w:ind w:left="0" w:leftChars="0" w:right="0" w:rightChars="0" w:firstLine="0" w:firstLineChars="0"/>
              <w:jc w:val="both"/>
              <w:rPr>
                <w:rFonts w:hint="eastAsia" w:ascii="宋体" w:hAnsi="宋体" w:eastAsia="宋体" w:cs="宋体"/>
                <w:sz w:val="13"/>
                <w:szCs w:val="13"/>
                <w:highlight w:val="none"/>
              </w:rPr>
            </w:pPr>
            <w:r>
              <w:rPr>
                <w:rFonts w:hint="eastAsia" w:ascii="宋体" w:hAnsi="宋体" w:eastAsia="宋体" w:cs="宋体"/>
                <w:sz w:val="13"/>
                <w:szCs w:val="13"/>
                <w:highlight w:val="none"/>
              </w:rPr>
              <w:t>游憩与教育服务</w:t>
            </w:r>
          </w:p>
        </w:tc>
        <w:tc>
          <w:tcPr>
            <w:tcW w:w="1360" w:type="dxa"/>
            <w:vMerge w:val="restart"/>
            <w:tcBorders>
              <w:top w:val="single" w:color="auto" w:sz="4" w:space="0"/>
              <w:left w:val="nil"/>
              <w:right w:val="nil"/>
            </w:tcBorders>
            <w:shd w:val="clear" w:color="auto" w:fill="auto"/>
            <w:vAlign w:val="center"/>
          </w:tcPr>
          <w:p w14:paraId="1475FBC0">
            <w:pPr>
              <w:snapToGrid w:val="0"/>
              <w:ind w:left="0" w:leftChars="0" w:right="0" w:rightChars="0" w:firstLine="0" w:firstLineChars="0"/>
              <w:jc w:val="both"/>
              <w:rPr>
                <w:rFonts w:hint="eastAsia" w:ascii="宋体" w:hAnsi="宋体" w:eastAsia="宋体" w:cs="宋体"/>
                <w:sz w:val="13"/>
                <w:szCs w:val="13"/>
                <w:highlight w:val="none"/>
                <w:lang w:val="en-US" w:eastAsia="en-US"/>
              </w:rPr>
            </w:pPr>
            <w:r>
              <w:rPr>
                <w:rFonts w:hint="eastAsia" w:ascii="宋体" w:hAnsi="宋体" w:eastAsia="宋体" w:cs="宋体"/>
                <w:sz w:val="13"/>
                <w:szCs w:val="13"/>
                <w:highlight w:val="none"/>
              </w:rPr>
              <w:t>该组强调精神福祉、社交、教育和日常活动体验，最符合</w:t>
            </w:r>
            <w:r>
              <w:rPr>
                <w:rFonts w:hint="eastAsia" w:ascii="宋体" w:hAnsi="宋体" w:eastAsia="宋体" w:cs="宋体"/>
                <w:sz w:val="13"/>
                <w:szCs w:val="13"/>
                <w:highlight w:val="none"/>
                <w:lang w:eastAsia="zh-CN"/>
              </w:rPr>
              <w:t>“百姓园林”</w:t>
            </w:r>
            <w:r>
              <w:rPr>
                <w:rFonts w:hint="eastAsia" w:ascii="宋体" w:hAnsi="宋体" w:eastAsia="宋体" w:cs="宋体"/>
                <w:sz w:val="13"/>
                <w:szCs w:val="13"/>
                <w:highlight w:val="none"/>
              </w:rPr>
              <w:t>“从观赏物转向生活场”的内涵，突出园林对日常生活、情绪慰藉和活力体验的支撑。</w:t>
            </w:r>
          </w:p>
          <w:p w14:paraId="3A107B41">
            <w:pPr>
              <w:snapToGrid w:val="0"/>
              <w:ind w:left="0" w:leftChars="0" w:right="0" w:rightChars="0" w:firstLine="0" w:firstLineChars="0"/>
              <w:jc w:val="both"/>
              <w:rPr>
                <w:rFonts w:hint="eastAsia" w:ascii="宋体" w:hAnsi="宋体" w:eastAsia="宋体" w:cs="宋体"/>
                <w:sz w:val="13"/>
                <w:szCs w:val="13"/>
                <w:highlight w:val="none"/>
              </w:rPr>
            </w:pPr>
          </w:p>
        </w:tc>
        <w:tc>
          <w:tcPr>
            <w:tcW w:w="1631" w:type="dxa"/>
            <w:tcBorders>
              <w:top w:val="single" w:color="auto" w:sz="4" w:space="0"/>
              <w:left w:val="nil"/>
              <w:right w:val="nil"/>
            </w:tcBorders>
            <w:shd w:val="clear" w:color="auto" w:fill="auto"/>
            <w:vAlign w:val="center"/>
          </w:tcPr>
          <w:p w14:paraId="5EF1169A">
            <w:pPr>
              <w:snapToGrid w:val="0"/>
              <w:ind w:left="0" w:leftChars="0" w:right="0" w:rightChars="0" w:firstLine="0" w:firstLineChars="0"/>
              <w:jc w:val="both"/>
              <w:rPr>
                <w:rFonts w:hint="eastAsia" w:ascii="宋体" w:hAnsi="宋体" w:eastAsia="宋体" w:cs="宋体"/>
                <w:sz w:val="13"/>
                <w:szCs w:val="13"/>
                <w:highlight w:val="none"/>
                <w:lang w:val="en-US" w:eastAsia="en-US"/>
              </w:rPr>
            </w:pPr>
            <w:commentRangeStart w:id="5"/>
            <w:r>
              <w:rPr>
                <w:highlight w:val="yellow"/>
              </w:rPr>
              <w:t>精神福祉与社交服务</w:t>
            </w:r>
            <w:commentRangeEnd w:id="5"/>
            <w:r>
              <w:rPr>
                <w:rStyle w:val="CommentReference"/>
              </w:rPr>
              <w:commentReference w:id="5"/>
            </w:r>
          </w:p>
        </w:tc>
        <w:tc>
          <w:tcPr>
            <w:tcW w:w="1985" w:type="dxa"/>
            <w:tcBorders>
              <w:top w:val="single" w:color="auto" w:sz="4" w:space="0"/>
              <w:left w:val="nil"/>
              <w:right w:val="nil"/>
            </w:tcBorders>
            <w:shd w:val="clear" w:color="auto" w:fill="auto"/>
            <w:vAlign w:val="center"/>
          </w:tcPr>
          <w:p w14:paraId="5F4CFC93">
            <w:pPr>
              <w:snapToGrid w:val="0"/>
              <w:ind w:left="0" w:leftChars="0" w:right="0" w:rightChars="0" w:firstLine="0" w:firstLineChars="0"/>
              <w:jc w:val="both"/>
              <w:rPr>
                <w:rFonts w:hint="eastAsia" w:ascii="宋体" w:hAnsi="宋体" w:eastAsia="宋体" w:cs="宋体"/>
                <w:sz w:val="13"/>
                <w:szCs w:val="13"/>
                <w:highlight w:val="none"/>
                <w:lang w:val="en-US" w:eastAsia="en-US"/>
              </w:rPr>
            </w:pPr>
            <w:r>
              <w:rPr>
                <w:rFonts w:hint="eastAsia" w:ascii="宋体" w:hAnsi="宋体" w:eastAsia="宋体" w:cs="宋体"/>
                <w:sz w:val="13"/>
                <w:szCs w:val="13"/>
                <w:highlight w:val="none"/>
              </w:rPr>
              <w:t>放松与情绪疗愈感、安静与安全感、社交互动（亲子/同伴）、活动氛围与人群友好度、地方认同与归属感</w:t>
            </w:r>
          </w:p>
        </w:tc>
      </w:tr>
      <w:tr w14:paraId="5190249A">
        <w:tblPrEx>
          <w:tblCellMar>
            <w:top w:w="45" w:type="dxa"/>
            <w:left w:w="96" w:type="dxa"/>
            <w:bottom w:w="45" w:type="dxa"/>
            <w:right w:w="96" w:type="dxa"/>
          </w:tblCellMar>
        </w:tblPrEx>
        <w:trPr>
          <w:wBefore w:w="12" w:type="dxa"/>
          <w:wAfter w:w="247" w:type="dxa"/>
          <w:trHeight w:val="661" w:hRule="atLeast"/>
          <w:jc w:val="center"/>
        </w:trPr>
        <w:tc>
          <w:tcPr>
            <w:tcW w:w="1203" w:type="dxa"/>
            <w:vMerge w:val="continue"/>
            <w:tcBorders>
              <w:left w:val="nil"/>
              <w:bottom w:val="single" w:color="auto" w:sz="4" w:space="0"/>
              <w:right w:val="nil"/>
            </w:tcBorders>
            <w:vAlign w:val="center"/>
          </w:tcPr>
          <w:p w14:paraId="259DA63F">
            <w:pPr>
              <w:snapToGrid w:val="0"/>
              <w:ind w:left="0" w:leftChars="0" w:right="0" w:rightChars="0" w:firstLine="0" w:firstLineChars="0"/>
              <w:jc w:val="both"/>
              <w:rPr>
                <w:rFonts w:hint="eastAsia" w:ascii="宋体" w:hAnsi="宋体" w:eastAsia="宋体" w:cs="宋体"/>
                <w:sz w:val="13"/>
                <w:szCs w:val="13"/>
                <w:highlight w:val="none"/>
              </w:rPr>
            </w:pPr>
          </w:p>
        </w:tc>
        <w:tc>
          <w:tcPr>
            <w:tcW w:w="881" w:type="dxa"/>
            <w:vMerge w:val="continue"/>
            <w:tcBorders>
              <w:left w:val="nil"/>
              <w:bottom w:val="single" w:color="auto" w:sz="4" w:space="0"/>
              <w:right w:val="nil"/>
            </w:tcBorders>
            <w:vAlign w:val="center"/>
          </w:tcPr>
          <w:p w14:paraId="3CB27AAB">
            <w:pPr>
              <w:snapToGrid w:val="0"/>
              <w:ind w:left="0" w:leftChars="0" w:right="0" w:rightChars="0" w:firstLine="0" w:firstLineChars="0"/>
              <w:jc w:val="both"/>
              <w:rPr>
                <w:rFonts w:hint="eastAsia" w:ascii="宋体" w:hAnsi="宋体" w:eastAsia="宋体" w:cs="宋体"/>
                <w:sz w:val="13"/>
                <w:szCs w:val="13"/>
                <w:highlight w:val="none"/>
              </w:rPr>
            </w:pPr>
          </w:p>
        </w:tc>
        <w:tc>
          <w:tcPr>
            <w:tcW w:w="1181" w:type="dxa"/>
            <w:vMerge w:val="continue"/>
            <w:tcBorders>
              <w:left w:val="nil"/>
              <w:bottom w:val="single" w:color="auto" w:sz="4" w:space="0"/>
              <w:right w:val="nil"/>
            </w:tcBorders>
            <w:vAlign w:val="center"/>
          </w:tcPr>
          <w:p w14:paraId="333E7708">
            <w:pPr>
              <w:snapToGrid w:val="0"/>
              <w:ind w:left="0" w:leftChars="0" w:right="0" w:rightChars="0" w:firstLine="0" w:firstLineChars="0"/>
              <w:jc w:val="both"/>
              <w:rPr>
                <w:rFonts w:hint="eastAsia" w:ascii="宋体" w:hAnsi="宋体" w:eastAsia="宋体" w:cs="宋体"/>
                <w:sz w:val="13"/>
                <w:szCs w:val="13"/>
                <w:highlight w:val="none"/>
              </w:rPr>
            </w:pPr>
          </w:p>
        </w:tc>
        <w:tc>
          <w:tcPr>
            <w:tcW w:w="1360" w:type="dxa"/>
            <w:vMerge w:val="continue"/>
            <w:tcBorders>
              <w:left w:val="nil"/>
              <w:bottom w:val="single" w:color="auto" w:sz="4" w:space="0"/>
              <w:right w:val="nil"/>
            </w:tcBorders>
            <w:vAlign w:val="center"/>
          </w:tcPr>
          <w:p w14:paraId="72437810">
            <w:pPr>
              <w:snapToGrid w:val="0"/>
              <w:ind w:left="0" w:leftChars="0" w:right="0" w:rightChars="0" w:firstLine="0" w:firstLineChars="0"/>
              <w:jc w:val="both"/>
              <w:rPr>
                <w:rFonts w:hint="eastAsia" w:ascii="宋体" w:hAnsi="宋体" w:eastAsia="宋体" w:cs="宋体"/>
                <w:sz w:val="13"/>
                <w:szCs w:val="13"/>
                <w:highlight w:val="none"/>
              </w:rPr>
            </w:pPr>
          </w:p>
        </w:tc>
        <w:tc>
          <w:tcPr>
            <w:tcW w:w="1631" w:type="dxa"/>
            <w:tcBorders>
              <w:left w:val="nil"/>
              <w:bottom w:val="single" w:color="auto" w:sz="4" w:space="0"/>
              <w:right w:val="nil"/>
            </w:tcBorders>
            <w:vAlign w:val="center"/>
          </w:tcPr>
          <w:p w14:paraId="52B64DF8">
            <w:pPr>
              <w:snapToGrid w:val="0"/>
              <w:ind w:left="0" w:leftChars="0" w:right="0" w:rightChars="0" w:firstLine="0" w:firstLineChars="0"/>
              <w:jc w:val="both"/>
              <w:rPr>
                <w:rFonts w:hint="eastAsia" w:ascii="宋体" w:hAnsi="宋体" w:eastAsia="宋体" w:cs="宋体"/>
                <w:sz w:val="13"/>
                <w:szCs w:val="13"/>
                <w:highlight w:val="none"/>
              </w:rPr>
            </w:pPr>
            <w:r>
              <w:rPr>
                <w:rFonts w:hint="eastAsia" w:ascii="宋体" w:hAnsi="宋体" w:eastAsia="宋体" w:cs="宋体"/>
                <w:sz w:val="13"/>
                <w:szCs w:val="13"/>
                <w:highlight w:val="none"/>
              </w:rPr>
              <w:t>教育体验服务</w:t>
            </w:r>
          </w:p>
        </w:tc>
        <w:tc>
          <w:tcPr>
            <w:tcW w:w="1985" w:type="dxa"/>
            <w:tcBorders>
              <w:left w:val="nil"/>
              <w:bottom w:val="single" w:color="auto" w:sz="4" w:space="0"/>
              <w:right w:val="nil"/>
            </w:tcBorders>
            <w:vAlign w:val="center"/>
          </w:tcPr>
          <w:p w14:paraId="141F9A36">
            <w:pPr>
              <w:snapToGrid w:val="0"/>
              <w:ind w:left="0" w:leftChars="0" w:right="0" w:rightChars="0" w:firstLine="0" w:firstLineChars="0"/>
              <w:jc w:val="both"/>
              <w:rPr>
                <w:rFonts w:hint="eastAsia" w:ascii="宋体" w:hAnsi="宋体" w:eastAsia="宋体" w:cs="宋体"/>
                <w:sz w:val="13"/>
                <w:szCs w:val="13"/>
                <w:highlight w:val="none"/>
              </w:rPr>
            </w:pPr>
            <w:r>
              <w:rPr>
                <w:rFonts w:hint="eastAsia" w:ascii="宋体" w:hAnsi="宋体" w:eastAsia="宋体" w:cs="宋体"/>
                <w:sz w:val="13"/>
                <w:szCs w:val="13"/>
                <w:highlight w:val="none"/>
              </w:rPr>
              <w:t>健身与运动设施、儿童游乐设施、休憩座椅与活动场地、导览解说与科普展示、组织活动与互动体验</w:t>
            </w:r>
          </w:p>
        </w:tc>
      </w:tr>
      <w:tr w14:paraId="0550549C">
        <w:tblPrEx>
          <w:tblCellMar>
            <w:top w:w="45" w:type="dxa"/>
            <w:left w:w="96" w:type="dxa"/>
            <w:bottom w:w="45" w:type="dxa"/>
            <w:right w:w="96" w:type="dxa"/>
          </w:tblCellMar>
        </w:tblPrEx>
        <w:trPr>
          <w:wBefore w:w="12" w:type="dxa"/>
          <w:wAfter w:w="247" w:type="dxa"/>
          <w:trHeight w:val="246" w:hRule="atLeast"/>
          <w:jc w:val="center"/>
        </w:trPr>
        <w:tc>
          <w:tcPr>
            <w:tcW w:w="1203" w:type="dxa"/>
            <w:vMerge w:val="restart"/>
            <w:tcBorders>
              <w:top w:val="single" w:color="auto" w:sz="4" w:space="0"/>
              <w:left w:val="nil"/>
              <w:right w:val="nil"/>
            </w:tcBorders>
            <w:vAlign w:val="center"/>
          </w:tcPr>
          <w:p w14:paraId="1C71819E">
            <w:pPr>
              <w:snapToGrid w:val="0"/>
              <w:ind w:left="0" w:leftChars="0" w:right="0" w:rightChars="0" w:firstLine="0" w:firstLineChars="0"/>
              <w:jc w:val="both"/>
              <w:rPr>
                <w:rFonts w:hint="eastAsia" w:ascii="宋体" w:hAnsi="宋体" w:eastAsia="宋体" w:cs="宋体"/>
                <w:sz w:val="13"/>
                <w:szCs w:val="13"/>
                <w:highlight w:val="none"/>
                <w:lang w:val="en-US"/>
              </w:rPr>
            </w:pPr>
            <w:r>
              <w:rPr>
                <w:rFonts w:hint="eastAsia" w:ascii="宋体" w:hAnsi="宋体" w:eastAsia="宋体" w:cs="宋体"/>
                <w:sz w:val="13"/>
                <w:szCs w:val="13"/>
                <w:highlight w:val="none"/>
                <w:lang w:val="en-US" w:eastAsia="zh-CN"/>
              </w:rPr>
              <w:t>生态性、受众普惠</w:t>
            </w:r>
          </w:p>
        </w:tc>
        <w:tc>
          <w:tcPr>
            <w:tcW w:w="881" w:type="dxa"/>
            <w:vMerge w:val="restart"/>
            <w:tcBorders>
              <w:top w:val="single" w:color="auto" w:sz="4" w:space="0"/>
              <w:left w:val="nil"/>
              <w:right w:val="nil"/>
            </w:tcBorders>
            <w:vAlign w:val="center"/>
          </w:tcPr>
          <w:p w14:paraId="262C4FA5">
            <w:pPr>
              <w:snapToGrid w:val="0"/>
              <w:ind w:left="0" w:leftChars="0" w:right="0" w:rightChars="0" w:firstLine="0" w:firstLineChars="0"/>
              <w:jc w:val="both"/>
              <w:rPr>
                <w:rFonts w:hint="eastAsia" w:ascii="宋体" w:hAnsi="宋体" w:eastAsia="宋体" w:cs="宋体"/>
                <w:sz w:val="13"/>
                <w:szCs w:val="13"/>
                <w:highlight w:val="none"/>
              </w:rPr>
            </w:pPr>
            <w:r>
              <w:rPr>
                <w:rFonts w:hint="eastAsia" w:ascii="宋体" w:hAnsi="宋体" w:eastAsia="宋体" w:cs="宋体"/>
                <w:sz w:val="13"/>
                <w:szCs w:val="13"/>
                <w:highlight w:val="none"/>
              </w:rPr>
              <w:t>环境舒适、生态体验、环境健康</w:t>
            </w:r>
          </w:p>
        </w:tc>
        <w:tc>
          <w:tcPr>
            <w:tcW w:w="1181" w:type="dxa"/>
            <w:vMerge w:val="restart"/>
            <w:tcBorders>
              <w:top w:val="single" w:color="auto" w:sz="4" w:space="0"/>
              <w:left w:val="nil"/>
              <w:right w:val="nil"/>
            </w:tcBorders>
            <w:vAlign w:val="center"/>
          </w:tcPr>
          <w:p w14:paraId="761AFDAB">
            <w:pPr>
              <w:snapToGrid w:val="0"/>
              <w:ind w:left="0" w:leftChars="0" w:right="0" w:rightChars="0" w:firstLine="0" w:firstLineChars="0"/>
              <w:jc w:val="both"/>
              <w:rPr>
                <w:rFonts w:hint="eastAsia" w:ascii="宋体" w:hAnsi="宋体" w:eastAsia="宋体" w:cs="宋体"/>
                <w:sz w:val="13"/>
                <w:szCs w:val="13"/>
                <w:highlight w:val="none"/>
              </w:rPr>
            </w:pPr>
            <w:r>
              <w:rPr>
                <w:rFonts w:hint="eastAsia" w:ascii="宋体" w:hAnsi="宋体" w:eastAsia="宋体" w:cs="宋体"/>
                <w:sz w:val="13"/>
                <w:szCs w:val="13"/>
                <w:highlight w:val="none"/>
              </w:rPr>
              <w:t>环境感知与恢复性服务</w:t>
            </w:r>
          </w:p>
        </w:tc>
        <w:tc>
          <w:tcPr>
            <w:tcW w:w="1360" w:type="dxa"/>
            <w:vMerge w:val="restart"/>
            <w:tcBorders>
              <w:top w:val="single" w:color="auto" w:sz="4" w:space="0"/>
              <w:left w:val="nil"/>
              <w:right w:val="nil"/>
            </w:tcBorders>
            <w:shd w:val="clear" w:color="auto" w:fill="auto"/>
            <w:vAlign w:val="center"/>
          </w:tcPr>
          <w:p w14:paraId="010EAA9D">
            <w:pPr>
              <w:snapToGrid w:val="0"/>
              <w:ind w:left="0" w:leftChars="0" w:right="0" w:rightChars="0" w:firstLine="0" w:firstLineChars="0"/>
              <w:jc w:val="both"/>
              <w:rPr>
                <w:rFonts w:hint="eastAsia" w:ascii="宋体" w:hAnsi="宋体" w:eastAsia="宋体" w:cs="宋体"/>
                <w:sz w:val="13"/>
                <w:szCs w:val="13"/>
                <w:highlight w:val="none"/>
                <w:lang w:val="en-US" w:eastAsia="en-US"/>
              </w:rPr>
            </w:pPr>
            <w:r>
              <w:rPr>
                <w:rFonts w:hint="eastAsia" w:ascii="宋体" w:hAnsi="宋体" w:eastAsia="宋体" w:cs="宋体"/>
                <w:sz w:val="13"/>
                <w:szCs w:val="13"/>
                <w:highlight w:val="none"/>
              </w:rPr>
              <w:t>该组涵盖环境适宜度、沉浸体验、生态健康指标，最能对应</w:t>
            </w:r>
            <w:r>
              <w:rPr>
                <w:rFonts w:hint="eastAsia" w:ascii="宋体" w:hAnsi="宋体" w:eastAsia="宋体" w:cs="宋体"/>
                <w:sz w:val="13"/>
                <w:szCs w:val="13"/>
                <w:highlight w:val="none"/>
                <w:lang w:eastAsia="zh-CN"/>
              </w:rPr>
              <w:t>“百姓园林”</w:t>
            </w:r>
            <w:r>
              <w:rPr>
                <w:rFonts w:hint="eastAsia" w:ascii="宋体" w:hAnsi="宋体" w:eastAsia="宋体" w:cs="宋体"/>
                <w:sz w:val="13"/>
                <w:szCs w:val="13"/>
                <w:highlight w:val="none"/>
              </w:rPr>
              <w:t>所强调的“地方性的生活生态”和人与自然持续互动中的生态感知。</w:t>
            </w:r>
          </w:p>
          <w:p w14:paraId="0513E453">
            <w:pPr>
              <w:snapToGrid w:val="0"/>
              <w:ind w:left="0" w:leftChars="0" w:right="0" w:rightChars="0" w:firstLine="0" w:firstLineChars="0"/>
              <w:jc w:val="both"/>
              <w:rPr>
                <w:rFonts w:hint="eastAsia" w:ascii="宋体" w:hAnsi="宋体" w:eastAsia="宋体" w:cs="宋体"/>
                <w:sz w:val="13"/>
                <w:szCs w:val="13"/>
                <w:highlight w:val="none"/>
              </w:rPr>
            </w:pPr>
          </w:p>
        </w:tc>
        <w:tc>
          <w:tcPr>
            <w:tcW w:w="1631" w:type="dxa"/>
            <w:tcBorders>
              <w:top w:val="single" w:color="auto" w:sz="4" w:space="0"/>
              <w:left w:val="nil"/>
              <w:right w:val="nil"/>
            </w:tcBorders>
            <w:vAlign w:val="center"/>
          </w:tcPr>
          <w:p w14:paraId="348E9CB8">
            <w:pPr>
              <w:snapToGrid w:val="0"/>
              <w:ind w:left="0" w:leftChars="0" w:right="0" w:rightChars="0" w:firstLine="0" w:firstLineChars="0"/>
              <w:jc w:val="both"/>
              <w:rPr>
                <w:rFonts w:hint="eastAsia" w:ascii="宋体" w:hAnsi="宋体" w:eastAsia="宋体" w:cs="宋体"/>
                <w:sz w:val="13"/>
                <w:szCs w:val="13"/>
                <w:highlight w:val="none"/>
              </w:rPr>
            </w:pPr>
            <w:commentRangeStart w:id="6"/>
            <w:r>
              <w:rPr>
                <w:highlight w:val="yellow"/>
              </w:rPr>
              <w:t>环境与游憩适宜度服务</w:t>
            </w:r>
            <w:commentRangeEnd w:id="6"/>
            <w:r>
              <w:rPr>
                <w:rStyle w:val="CommentReference"/>
              </w:rPr>
              <w:commentReference w:id="6"/>
            </w:r>
          </w:p>
        </w:tc>
        <w:tc>
          <w:tcPr>
            <w:tcW w:w="1985" w:type="dxa"/>
            <w:tcBorders>
              <w:top w:val="single" w:color="auto" w:sz="4" w:space="0"/>
              <w:left w:val="nil"/>
              <w:right w:val="nil"/>
            </w:tcBorders>
            <w:vAlign w:val="center"/>
          </w:tcPr>
          <w:p w14:paraId="105358B4">
            <w:pPr>
              <w:snapToGrid w:val="0"/>
              <w:ind w:left="0" w:leftChars="0" w:right="0" w:rightChars="0" w:firstLine="0" w:firstLineChars="0"/>
              <w:jc w:val="both"/>
              <w:rPr>
                <w:rFonts w:hint="eastAsia" w:ascii="宋体" w:hAnsi="宋体" w:eastAsia="宋体" w:cs="宋体"/>
                <w:sz w:val="13"/>
                <w:szCs w:val="13"/>
                <w:highlight w:val="none"/>
              </w:rPr>
            </w:pPr>
            <w:r>
              <w:rPr>
                <w:rFonts w:hint="eastAsia" w:ascii="宋体" w:hAnsi="宋体" w:eastAsia="宋体" w:cs="宋体"/>
                <w:sz w:val="13"/>
                <w:szCs w:val="13"/>
                <w:highlight w:val="none"/>
              </w:rPr>
              <w:t>温湿度与体感舒适、遮阴与通风、晴雨与季节变化、蚊虫与卫生干扰等游憩适宜性</w:t>
            </w:r>
          </w:p>
        </w:tc>
      </w:tr>
      <w:tr w14:paraId="00B47EDF">
        <w:tblPrEx>
          <w:tblCellMar>
            <w:top w:w="45" w:type="dxa"/>
            <w:left w:w="96" w:type="dxa"/>
            <w:bottom w:w="45" w:type="dxa"/>
            <w:right w:w="96" w:type="dxa"/>
          </w:tblCellMar>
        </w:tblPrEx>
        <w:trPr>
          <w:wBefore w:w="12" w:type="dxa"/>
          <w:wAfter w:w="247" w:type="dxa"/>
          <w:trHeight w:val="90" w:hRule="atLeast"/>
          <w:jc w:val="center"/>
        </w:trPr>
        <w:tc>
          <w:tcPr>
            <w:tcW w:w="1203" w:type="dxa"/>
            <w:vMerge w:val="continue"/>
            <w:tcBorders>
              <w:left w:val="nil"/>
              <w:right w:val="nil"/>
            </w:tcBorders>
            <w:vAlign w:val="center"/>
          </w:tcPr>
          <w:p w14:paraId="57D04DDC">
            <w:pPr>
              <w:snapToGrid w:val="0"/>
              <w:ind w:left="0" w:leftChars="0" w:right="0" w:rightChars="0" w:firstLine="0" w:firstLineChars="0"/>
              <w:jc w:val="both"/>
              <w:rPr>
                <w:rFonts w:hint="eastAsia" w:ascii="宋体" w:hAnsi="宋体" w:eastAsia="宋体" w:cs="宋体"/>
                <w:sz w:val="13"/>
                <w:szCs w:val="13"/>
                <w:highlight w:val="none"/>
              </w:rPr>
            </w:pPr>
          </w:p>
        </w:tc>
        <w:tc>
          <w:tcPr>
            <w:tcW w:w="881" w:type="dxa"/>
            <w:vMerge w:val="continue"/>
            <w:tcBorders>
              <w:left w:val="nil"/>
              <w:right w:val="nil"/>
            </w:tcBorders>
            <w:vAlign w:val="center"/>
          </w:tcPr>
          <w:p w14:paraId="32EB334D">
            <w:pPr>
              <w:snapToGrid w:val="0"/>
              <w:ind w:left="0" w:leftChars="0" w:right="0" w:rightChars="0" w:firstLine="0" w:firstLineChars="0"/>
              <w:jc w:val="both"/>
              <w:rPr>
                <w:rFonts w:hint="eastAsia" w:ascii="宋体" w:hAnsi="宋体" w:eastAsia="宋体" w:cs="宋体"/>
                <w:sz w:val="13"/>
                <w:szCs w:val="13"/>
                <w:highlight w:val="none"/>
              </w:rPr>
            </w:pPr>
          </w:p>
        </w:tc>
        <w:tc>
          <w:tcPr>
            <w:tcW w:w="1181" w:type="dxa"/>
            <w:vMerge w:val="continue"/>
            <w:tcBorders>
              <w:left w:val="nil"/>
              <w:right w:val="nil"/>
            </w:tcBorders>
            <w:vAlign w:val="center"/>
          </w:tcPr>
          <w:p w14:paraId="2B90F44E">
            <w:pPr>
              <w:snapToGrid w:val="0"/>
              <w:ind w:left="0" w:leftChars="0" w:right="0" w:rightChars="0" w:firstLine="0" w:firstLineChars="0"/>
              <w:jc w:val="both"/>
              <w:rPr>
                <w:rFonts w:hint="eastAsia" w:ascii="宋体" w:hAnsi="宋体" w:eastAsia="宋体" w:cs="宋体"/>
                <w:sz w:val="13"/>
                <w:szCs w:val="13"/>
                <w:highlight w:val="none"/>
              </w:rPr>
            </w:pPr>
          </w:p>
        </w:tc>
        <w:tc>
          <w:tcPr>
            <w:tcW w:w="1360" w:type="dxa"/>
            <w:vMerge w:val="continue"/>
            <w:tcBorders>
              <w:left w:val="nil"/>
              <w:right w:val="nil"/>
            </w:tcBorders>
            <w:vAlign w:val="center"/>
          </w:tcPr>
          <w:p w14:paraId="3E9E0D7A">
            <w:pPr>
              <w:snapToGrid w:val="0"/>
              <w:ind w:left="0" w:leftChars="0" w:right="0" w:rightChars="0" w:firstLine="0" w:firstLineChars="0"/>
              <w:jc w:val="both"/>
              <w:rPr>
                <w:rFonts w:hint="eastAsia" w:ascii="宋体" w:hAnsi="宋体" w:eastAsia="宋体" w:cs="宋体"/>
                <w:sz w:val="13"/>
                <w:szCs w:val="13"/>
                <w:highlight w:val="none"/>
              </w:rPr>
            </w:pPr>
          </w:p>
        </w:tc>
        <w:tc>
          <w:tcPr>
            <w:tcW w:w="1631" w:type="dxa"/>
            <w:tcBorders>
              <w:left w:val="nil"/>
              <w:right w:val="nil"/>
            </w:tcBorders>
            <w:vAlign w:val="center"/>
          </w:tcPr>
          <w:p w14:paraId="461AAC06">
            <w:pPr>
              <w:snapToGrid w:val="0"/>
              <w:ind w:left="0" w:leftChars="0" w:right="0" w:rightChars="0" w:firstLine="0" w:firstLineChars="0"/>
              <w:jc w:val="both"/>
              <w:rPr>
                <w:rFonts w:hint="eastAsia" w:ascii="宋体" w:hAnsi="宋体" w:eastAsia="宋体" w:cs="宋体"/>
                <w:sz w:val="13"/>
                <w:szCs w:val="13"/>
                <w:highlight w:val="none"/>
              </w:rPr>
            </w:pPr>
            <w:r>
              <w:rPr>
                <w:rFonts w:hint="eastAsia" w:ascii="宋体" w:hAnsi="宋体" w:eastAsia="宋体" w:cs="宋体"/>
                <w:sz w:val="13"/>
                <w:szCs w:val="13"/>
                <w:highlight w:val="none"/>
              </w:rPr>
              <w:t>沉浸体验服务</w:t>
            </w:r>
          </w:p>
        </w:tc>
        <w:tc>
          <w:tcPr>
            <w:tcW w:w="1985" w:type="dxa"/>
            <w:tcBorders>
              <w:left w:val="nil"/>
              <w:right w:val="nil"/>
            </w:tcBorders>
            <w:vAlign w:val="center"/>
          </w:tcPr>
          <w:p w14:paraId="1FE0B5F2">
            <w:pPr>
              <w:snapToGrid w:val="0"/>
              <w:ind w:left="0" w:leftChars="0" w:right="0" w:rightChars="0" w:firstLine="0" w:firstLineChars="0"/>
              <w:jc w:val="both"/>
              <w:rPr>
                <w:rFonts w:hint="eastAsia" w:ascii="宋体" w:hAnsi="宋体" w:eastAsia="宋体" w:cs="宋体"/>
                <w:sz w:val="13"/>
                <w:szCs w:val="13"/>
                <w:highlight w:val="none"/>
              </w:rPr>
            </w:pPr>
            <w:r>
              <w:rPr>
                <w:rFonts w:hint="eastAsia" w:ascii="宋体" w:hAnsi="宋体" w:eastAsia="宋体" w:cs="宋体"/>
                <w:sz w:val="13"/>
                <w:szCs w:val="13"/>
                <w:highlight w:val="none"/>
              </w:rPr>
              <w:t>环境噪声与静谧感、自然音效（鸟鸣/水声）、植被气味与景观细节、沉浸性氛围与连贯体验</w:t>
            </w:r>
          </w:p>
        </w:tc>
      </w:tr>
      <w:tr w14:paraId="0386B943">
        <w:tblPrEx>
          <w:tblCellMar>
            <w:top w:w="45" w:type="dxa"/>
            <w:left w:w="96" w:type="dxa"/>
            <w:bottom w:w="45" w:type="dxa"/>
            <w:right w:w="96" w:type="dxa"/>
          </w:tblCellMar>
        </w:tblPrEx>
        <w:trPr>
          <w:wBefore w:w="12" w:type="dxa"/>
          <w:wAfter w:w="247" w:type="dxa"/>
          <w:trHeight w:val="90" w:hRule="atLeast"/>
          <w:jc w:val="center"/>
        </w:trPr>
        <w:tc>
          <w:tcPr>
            <w:tcW w:w="1203" w:type="dxa"/>
            <w:vMerge w:val="continue"/>
            <w:tcBorders>
              <w:left w:val="nil"/>
              <w:bottom w:val="single" w:color="auto" w:sz="4" w:space="0"/>
              <w:right w:val="nil"/>
            </w:tcBorders>
            <w:vAlign w:val="center"/>
          </w:tcPr>
          <w:p w14:paraId="67FD2E24">
            <w:pPr>
              <w:snapToGrid w:val="0"/>
              <w:ind w:left="0" w:leftChars="0" w:right="0" w:rightChars="0" w:firstLine="0" w:firstLineChars="0"/>
              <w:jc w:val="both"/>
              <w:rPr>
                <w:rFonts w:hint="eastAsia" w:ascii="宋体" w:hAnsi="宋体" w:eastAsia="宋体" w:cs="宋体"/>
                <w:sz w:val="13"/>
                <w:szCs w:val="13"/>
                <w:highlight w:val="none"/>
              </w:rPr>
            </w:pPr>
          </w:p>
        </w:tc>
        <w:tc>
          <w:tcPr>
            <w:tcW w:w="881" w:type="dxa"/>
            <w:vMerge w:val="continue"/>
            <w:tcBorders>
              <w:left w:val="nil"/>
              <w:bottom w:val="single" w:color="auto" w:sz="4" w:space="0"/>
              <w:right w:val="nil"/>
            </w:tcBorders>
            <w:vAlign w:val="center"/>
          </w:tcPr>
          <w:p w14:paraId="572355F8">
            <w:pPr>
              <w:snapToGrid w:val="0"/>
              <w:ind w:left="0" w:leftChars="0" w:right="0" w:rightChars="0" w:firstLine="0" w:firstLineChars="0"/>
              <w:jc w:val="both"/>
              <w:rPr>
                <w:rFonts w:hint="eastAsia" w:ascii="宋体" w:hAnsi="宋体" w:eastAsia="宋体" w:cs="宋体"/>
                <w:sz w:val="13"/>
                <w:szCs w:val="13"/>
                <w:highlight w:val="none"/>
              </w:rPr>
            </w:pPr>
          </w:p>
        </w:tc>
        <w:tc>
          <w:tcPr>
            <w:tcW w:w="1181" w:type="dxa"/>
            <w:vMerge w:val="continue"/>
            <w:tcBorders>
              <w:left w:val="nil"/>
              <w:bottom w:val="single" w:color="auto" w:sz="4" w:space="0"/>
              <w:right w:val="nil"/>
            </w:tcBorders>
            <w:vAlign w:val="center"/>
          </w:tcPr>
          <w:p w14:paraId="573EC368">
            <w:pPr>
              <w:snapToGrid w:val="0"/>
              <w:ind w:left="0" w:leftChars="0" w:right="0" w:rightChars="0" w:firstLine="0" w:firstLineChars="0"/>
              <w:jc w:val="both"/>
              <w:rPr>
                <w:rFonts w:hint="eastAsia" w:ascii="宋体" w:hAnsi="宋体" w:eastAsia="宋体" w:cs="宋体"/>
                <w:sz w:val="13"/>
                <w:szCs w:val="13"/>
                <w:highlight w:val="none"/>
              </w:rPr>
            </w:pPr>
          </w:p>
        </w:tc>
        <w:tc>
          <w:tcPr>
            <w:tcW w:w="1360" w:type="dxa"/>
            <w:vMerge w:val="continue"/>
            <w:tcBorders>
              <w:left w:val="nil"/>
              <w:bottom w:val="single" w:color="auto" w:sz="4" w:space="0"/>
              <w:right w:val="nil"/>
            </w:tcBorders>
            <w:vAlign w:val="center"/>
          </w:tcPr>
          <w:p w14:paraId="4E04CF3C">
            <w:pPr>
              <w:snapToGrid w:val="0"/>
              <w:ind w:left="0" w:leftChars="0" w:right="0" w:rightChars="0" w:firstLine="0" w:firstLineChars="0"/>
              <w:jc w:val="both"/>
              <w:rPr>
                <w:rFonts w:hint="eastAsia" w:ascii="宋体" w:hAnsi="宋体" w:eastAsia="宋体" w:cs="宋体"/>
                <w:sz w:val="13"/>
                <w:szCs w:val="13"/>
                <w:highlight w:val="none"/>
              </w:rPr>
            </w:pPr>
          </w:p>
        </w:tc>
        <w:tc>
          <w:tcPr>
            <w:tcW w:w="1631" w:type="dxa"/>
            <w:tcBorders>
              <w:left w:val="nil"/>
              <w:bottom w:val="single" w:color="auto" w:sz="4" w:space="0"/>
              <w:right w:val="nil"/>
            </w:tcBorders>
            <w:vAlign w:val="center"/>
          </w:tcPr>
          <w:p w14:paraId="4EE992BF">
            <w:pPr>
              <w:snapToGrid w:val="0"/>
              <w:ind w:left="0" w:leftChars="0" w:right="0" w:rightChars="0" w:firstLine="0" w:firstLineChars="0"/>
              <w:jc w:val="both"/>
              <w:rPr>
                <w:rFonts w:hint="eastAsia" w:ascii="宋体" w:hAnsi="宋体" w:eastAsia="宋体" w:cs="宋体"/>
                <w:sz w:val="13"/>
                <w:szCs w:val="13"/>
                <w:highlight w:val="none"/>
              </w:rPr>
            </w:pPr>
            <w:commentRangeStart w:id="7"/>
            <w:r>
              <w:rPr>
                <w:highlight w:val="yellow"/>
              </w:rPr>
              <w:t>生态健康指标</w:t>
            </w:r>
            <w:commentRangeEnd w:id="7"/>
            <w:r>
              <w:rPr>
                <w:rStyle w:val="CommentReference"/>
              </w:rPr>
              <w:commentReference w:id="7"/>
            </w:r>
          </w:p>
        </w:tc>
        <w:tc>
          <w:tcPr>
            <w:tcW w:w="1985" w:type="dxa"/>
            <w:tcBorders>
              <w:left w:val="nil"/>
              <w:bottom w:val="single" w:color="auto" w:sz="4" w:space="0"/>
              <w:right w:val="nil"/>
            </w:tcBorders>
            <w:vAlign w:val="center"/>
          </w:tcPr>
          <w:p w14:paraId="6716758D">
            <w:pPr>
              <w:snapToGrid w:val="0"/>
              <w:ind w:left="0" w:leftChars="0" w:right="0" w:rightChars="0" w:firstLine="0" w:firstLineChars="0"/>
              <w:jc w:val="both"/>
              <w:rPr>
                <w:rFonts w:hint="eastAsia" w:ascii="宋体" w:hAnsi="宋体" w:eastAsia="宋体" w:cs="宋体"/>
                <w:sz w:val="13"/>
                <w:szCs w:val="13"/>
                <w:highlight w:val="none"/>
              </w:rPr>
            </w:pPr>
            <w:r>
              <w:rPr>
                <w:rFonts w:hint="eastAsia" w:ascii="宋体" w:hAnsi="宋体" w:eastAsia="宋体" w:cs="宋体"/>
                <w:sz w:val="13"/>
                <w:szCs w:val="13"/>
                <w:highlight w:val="none"/>
              </w:rPr>
              <w:t>水体清洁度与异味、空气清新度与通风、生态修复/海绵设施可感知性、垃圾与蚊虫等生态环境问题</w:t>
            </w:r>
          </w:p>
        </w:tc>
      </w:tr>
      <w:tr w14:paraId="2B6BA7FA">
        <w:tblPrEx>
          <w:tblCellMar>
            <w:top w:w="45" w:type="dxa"/>
            <w:left w:w="96" w:type="dxa"/>
            <w:bottom w:w="45" w:type="dxa"/>
            <w:right w:w="96" w:type="dxa"/>
          </w:tblCellMar>
        </w:tblPrEx>
        <w:trPr>
          <w:wBefore w:w="12" w:type="dxa"/>
          <w:wAfter w:w="247" w:type="dxa"/>
          <w:trHeight w:val="0" w:hRule="atLeast"/>
          <w:jc w:val="center"/>
        </w:trPr>
        <w:tc>
          <w:tcPr>
            <w:tcW w:w="1203" w:type="dxa"/>
            <w:vMerge w:val="restart"/>
            <w:tcBorders>
              <w:top w:val="single" w:color="auto" w:sz="4" w:space="0"/>
              <w:left w:val="nil"/>
              <w:right w:val="nil"/>
            </w:tcBorders>
            <w:vAlign w:val="center"/>
          </w:tcPr>
          <w:p w14:paraId="0CE32AEE">
            <w:pPr>
              <w:snapToGrid w:val="0"/>
              <w:ind w:left="0" w:leftChars="0" w:right="0" w:rightChars="0" w:firstLine="0" w:firstLineChars="0"/>
              <w:jc w:val="both"/>
              <w:rPr>
                <w:rFonts w:hint="eastAsia" w:ascii="宋体" w:hAnsi="宋体" w:eastAsia="宋体" w:cs="宋体"/>
                <w:sz w:val="13"/>
                <w:szCs w:val="13"/>
                <w:highlight w:val="none"/>
                <w:lang w:val="en-US"/>
              </w:rPr>
            </w:pPr>
            <w:r>
              <w:rPr>
                <w:rFonts w:hint="eastAsia" w:ascii="宋体" w:hAnsi="宋体" w:eastAsia="宋体" w:cs="宋体"/>
                <w:sz w:val="13"/>
                <w:szCs w:val="13"/>
                <w:highlight w:val="none"/>
              </w:rPr>
              <w:t>普惠共享</w:t>
            </w:r>
            <w:r>
              <w:rPr>
                <w:rFonts w:hint="eastAsia" w:ascii="宋体" w:hAnsi="宋体" w:eastAsia="宋体" w:cs="宋体"/>
                <w:sz w:val="13"/>
                <w:szCs w:val="13"/>
                <w:highlight w:val="none"/>
                <w:lang w:val="en-US" w:eastAsia="zh-CN"/>
              </w:rPr>
              <w:t>、公共性、日常使用</w:t>
            </w:r>
          </w:p>
        </w:tc>
        <w:tc>
          <w:tcPr>
            <w:tcW w:w="881" w:type="dxa"/>
            <w:vMerge w:val="restart"/>
            <w:tcBorders>
              <w:top w:val="single" w:color="auto" w:sz="4" w:space="0"/>
              <w:left w:val="nil"/>
              <w:right w:val="nil"/>
            </w:tcBorders>
            <w:vAlign w:val="center"/>
          </w:tcPr>
          <w:p w14:paraId="77A8C266">
            <w:pPr>
              <w:snapToGrid w:val="0"/>
              <w:ind w:left="0" w:leftChars="0" w:right="0" w:rightChars="0" w:firstLine="0" w:firstLineChars="0"/>
              <w:jc w:val="both"/>
              <w:rPr>
                <w:rFonts w:hint="eastAsia" w:ascii="宋体" w:hAnsi="宋体" w:eastAsia="宋体" w:cs="宋体"/>
                <w:sz w:val="13"/>
                <w:szCs w:val="13"/>
                <w:highlight w:val="none"/>
              </w:rPr>
            </w:pPr>
            <w:r>
              <w:rPr>
                <w:rFonts w:hint="eastAsia" w:ascii="宋体" w:hAnsi="宋体" w:eastAsia="宋体" w:cs="宋体"/>
                <w:sz w:val="13"/>
                <w:szCs w:val="13"/>
                <w:highlight w:val="none"/>
              </w:rPr>
              <w:t>可</w:t>
            </w:r>
            <w:r>
              <w:rPr>
                <w:rFonts w:hint="eastAsia" w:ascii="宋体" w:hAnsi="宋体" w:eastAsia="宋体" w:cs="宋体"/>
                <w:sz w:val="13"/>
                <w:szCs w:val="13"/>
                <w:highlight w:val="none"/>
                <w:lang w:val="en-US" w:eastAsia="zh-CN"/>
              </w:rPr>
              <w:t>达</w:t>
            </w:r>
            <w:r>
              <w:rPr>
                <w:rFonts w:hint="eastAsia" w:ascii="宋体" w:hAnsi="宋体" w:eastAsia="宋体" w:cs="宋体"/>
                <w:sz w:val="13"/>
                <w:szCs w:val="13"/>
                <w:highlight w:val="none"/>
              </w:rPr>
              <w:t>性、安全保障</w:t>
            </w:r>
            <w:r>
              <w:rPr>
                <w:rFonts w:hint="eastAsia" w:ascii="宋体" w:hAnsi="宋体" w:eastAsia="宋体" w:cs="宋体"/>
                <w:sz w:val="13"/>
                <w:szCs w:val="13"/>
                <w:highlight w:val="none"/>
                <w:lang w:val="en-US" w:eastAsia="zh-CN"/>
              </w:rPr>
              <w:t>、</w:t>
            </w:r>
            <w:r>
              <w:rPr>
                <w:rFonts w:hint="eastAsia" w:ascii="宋体" w:hAnsi="宋体" w:eastAsia="宋体" w:cs="宋体"/>
                <w:sz w:val="13"/>
                <w:szCs w:val="13"/>
                <w:highlight w:val="none"/>
              </w:rPr>
              <w:t>共享使用、承载秩序</w:t>
            </w:r>
          </w:p>
        </w:tc>
        <w:tc>
          <w:tcPr>
            <w:tcW w:w="1181" w:type="dxa"/>
            <w:vMerge w:val="restart"/>
            <w:tcBorders>
              <w:top w:val="single" w:color="auto" w:sz="4" w:space="0"/>
              <w:left w:val="nil"/>
              <w:right w:val="nil"/>
            </w:tcBorders>
            <w:vAlign w:val="center"/>
          </w:tcPr>
          <w:p w14:paraId="541855A8">
            <w:pPr>
              <w:snapToGrid w:val="0"/>
              <w:ind w:left="0" w:leftChars="0" w:right="0" w:rightChars="0" w:firstLine="0" w:firstLineChars="0"/>
              <w:jc w:val="both"/>
              <w:rPr>
                <w:rFonts w:hint="eastAsia" w:ascii="宋体" w:hAnsi="宋体" w:eastAsia="宋体" w:cs="宋体"/>
                <w:sz w:val="13"/>
                <w:szCs w:val="13"/>
                <w:highlight w:val="none"/>
              </w:rPr>
            </w:pPr>
            <w:commentRangeStart w:id="8"/>
            <w:r>
              <w:rPr>
                <w:highlight w:val="yellow"/>
              </w:rPr>
              <w:t>空间承载服务</w:t>
            </w:r>
            <w:commentRangeEnd w:id="8"/>
            <w:r>
              <w:rPr>
                <w:rStyle w:val="CommentReference"/>
              </w:rPr>
              <w:commentReference w:id="8"/>
            </w:r>
          </w:p>
        </w:tc>
        <w:tc>
          <w:tcPr>
            <w:tcW w:w="1360" w:type="dxa"/>
            <w:vMerge w:val="restart"/>
            <w:tcBorders>
              <w:top w:val="single" w:color="auto" w:sz="4" w:space="0"/>
              <w:left w:val="nil"/>
              <w:right w:val="nil"/>
            </w:tcBorders>
            <w:shd w:val="clear" w:color="auto" w:fill="auto"/>
            <w:vAlign w:val="center"/>
          </w:tcPr>
          <w:p w14:paraId="450770B7">
            <w:pPr>
              <w:snapToGrid w:val="0"/>
              <w:ind w:left="0" w:leftChars="0" w:right="0" w:rightChars="0" w:firstLine="0" w:firstLineChars="0"/>
              <w:jc w:val="both"/>
              <w:rPr>
                <w:rFonts w:hint="eastAsia" w:ascii="宋体" w:hAnsi="宋体" w:eastAsia="宋体" w:cs="宋体"/>
                <w:sz w:val="13"/>
                <w:szCs w:val="13"/>
                <w:highlight w:val="none"/>
                <w:lang w:val="en-US" w:eastAsia="en-US"/>
              </w:rPr>
            </w:pPr>
            <w:r>
              <w:rPr>
                <w:rFonts w:hint="eastAsia" w:ascii="宋体" w:hAnsi="宋体" w:eastAsia="宋体" w:cs="宋体"/>
                <w:sz w:val="13"/>
                <w:szCs w:val="13"/>
                <w:highlight w:val="none"/>
              </w:rPr>
              <w:t>该组涉及可达性与保障、空间承载、体验地形，最适合对应</w:t>
            </w:r>
            <w:r>
              <w:rPr>
                <w:rFonts w:hint="eastAsia" w:ascii="宋体" w:hAnsi="宋体" w:eastAsia="宋体" w:cs="宋体"/>
                <w:sz w:val="13"/>
                <w:szCs w:val="13"/>
                <w:highlight w:val="none"/>
                <w:lang w:eastAsia="zh-CN"/>
              </w:rPr>
              <w:t>“百姓园林”</w:t>
            </w:r>
            <w:r>
              <w:rPr>
                <w:rFonts w:hint="eastAsia" w:ascii="宋体" w:hAnsi="宋体" w:eastAsia="宋体" w:cs="宋体"/>
                <w:sz w:val="13"/>
                <w:szCs w:val="13"/>
                <w:highlight w:val="none"/>
              </w:rPr>
              <w:t>“公共共享、人人可及、全龄友好”的空间属性要求。</w:t>
            </w:r>
          </w:p>
        </w:tc>
        <w:tc>
          <w:tcPr>
            <w:tcW w:w="1631" w:type="dxa"/>
            <w:tcBorders>
              <w:top w:val="single" w:color="auto" w:sz="4" w:space="0"/>
              <w:left w:val="nil"/>
              <w:right w:val="nil"/>
            </w:tcBorders>
            <w:vAlign w:val="center"/>
          </w:tcPr>
          <w:p w14:paraId="3E31E5BF">
            <w:pPr>
              <w:snapToGrid w:val="0"/>
              <w:ind w:left="0" w:leftChars="0" w:right="0" w:rightChars="0" w:firstLine="0" w:firstLineChars="0"/>
              <w:jc w:val="both"/>
              <w:rPr>
                <w:rFonts w:hint="eastAsia" w:ascii="宋体" w:hAnsi="宋体" w:eastAsia="宋体" w:cs="宋体"/>
                <w:sz w:val="13"/>
                <w:szCs w:val="13"/>
                <w:highlight w:val="none"/>
                <w:lang w:val="en-US" w:eastAsia="zh-CN"/>
              </w:rPr>
            </w:pPr>
            <w:r>
              <w:rPr>
                <w:rFonts w:hint="eastAsia" w:ascii="宋体" w:hAnsi="宋体" w:eastAsia="宋体" w:cs="宋体"/>
                <w:sz w:val="13"/>
                <w:szCs w:val="13"/>
                <w:highlight w:val="none"/>
                <w:lang w:val="en-US" w:eastAsia="zh-CN"/>
              </w:rPr>
              <w:t>空间开敞与通行服务</w:t>
            </w:r>
          </w:p>
        </w:tc>
        <w:tc>
          <w:tcPr>
            <w:tcW w:w="1985" w:type="dxa"/>
            <w:tcBorders>
              <w:top w:val="single" w:color="auto" w:sz="4" w:space="0"/>
              <w:left w:val="nil"/>
              <w:right w:val="nil"/>
            </w:tcBorders>
            <w:vAlign w:val="center"/>
          </w:tcPr>
          <w:p w14:paraId="3284DF93">
            <w:pPr>
              <w:snapToGrid w:val="0"/>
              <w:ind w:left="0" w:leftChars="0" w:right="0" w:rightChars="0" w:firstLine="0" w:firstLineChars="0"/>
              <w:jc w:val="both"/>
              <w:rPr>
                <w:rFonts w:hint="eastAsia" w:ascii="宋体" w:hAnsi="宋体" w:eastAsia="宋体" w:cs="宋体"/>
                <w:sz w:val="13"/>
                <w:szCs w:val="13"/>
                <w:highlight w:val="none"/>
              </w:rPr>
            </w:pPr>
            <w:r>
              <w:rPr>
                <w:rFonts w:hint="eastAsia" w:ascii="宋体" w:hAnsi="宋体" w:eastAsia="宋体" w:cs="宋体"/>
                <w:sz w:val="13"/>
                <w:szCs w:val="13"/>
                <w:highlight w:val="none"/>
              </w:rPr>
              <w:t>空间开敞度与通行顺畅性、人流拥挤感</w:t>
            </w:r>
          </w:p>
        </w:tc>
      </w:tr>
      <w:tr w14:paraId="7B71A18F">
        <w:tblPrEx>
          <w:tblCellMar>
            <w:top w:w="45" w:type="dxa"/>
            <w:left w:w="96" w:type="dxa"/>
            <w:bottom w:w="45" w:type="dxa"/>
            <w:right w:w="96" w:type="dxa"/>
          </w:tblCellMar>
        </w:tblPrEx>
        <w:trPr>
          <w:wBefore w:w="12" w:type="dxa"/>
          <w:wAfter w:w="247" w:type="dxa"/>
          <w:trHeight w:val="368" w:hRule="atLeast"/>
          <w:jc w:val="center"/>
        </w:trPr>
        <w:tc>
          <w:tcPr>
            <w:tcW w:w="1203" w:type="dxa"/>
            <w:vMerge w:val="continue"/>
            <w:tcBorders>
              <w:left w:val="nil"/>
              <w:right w:val="nil"/>
            </w:tcBorders>
            <w:vAlign w:val="center"/>
          </w:tcPr>
          <w:p w14:paraId="27EDF7E8">
            <w:pPr>
              <w:snapToGrid w:val="0"/>
              <w:ind w:left="0" w:leftChars="0" w:right="0" w:rightChars="0" w:firstLine="0" w:firstLineChars="0"/>
              <w:jc w:val="both"/>
              <w:rPr>
                <w:rFonts w:hint="eastAsia" w:ascii="宋体" w:hAnsi="宋体" w:eastAsia="宋体" w:cs="宋体"/>
                <w:sz w:val="13"/>
                <w:szCs w:val="13"/>
                <w:highlight w:val="none"/>
              </w:rPr>
            </w:pPr>
          </w:p>
        </w:tc>
        <w:tc>
          <w:tcPr>
            <w:tcW w:w="881" w:type="dxa"/>
            <w:vMerge w:val="continue"/>
            <w:tcBorders>
              <w:left w:val="nil"/>
              <w:right w:val="nil"/>
            </w:tcBorders>
            <w:vAlign w:val="center"/>
          </w:tcPr>
          <w:p w14:paraId="405D8B08">
            <w:pPr>
              <w:snapToGrid w:val="0"/>
              <w:ind w:left="0" w:leftChars="0" w:right="0" w:rightChars="0" w:firstLine="0" w:firstLineChars="0"/>
              <w:jc w:val="both"/>
              <w:rPr>
                <w:rFonts w:hint="eastAsia" w:ascii="宋体" w:hAnsi="宋体" w:eastAsia="宋体" w:cs="宋体"/>
                <w:sz w:val="13"/>
                <w:szCs w:val="13"/>
                <w:highlight w:val="none"/>
              </w:rPr>
            </w:pPr>
          </w:p>
        </w:tc>
        <w:tc>
          <w:tcPr>
            <w:tcW w:w="1181" w:type="dxa"/>
            <w:vMerge w:val="continue"/>
            <w:tcBorders>
              <w:left w:val="nil"/>
              <w:right w:val="nil"/>
            </w:tcBorders>
            <w:vAlign w:val="center"/>
          </w:tcPr>
          <w:p w14:paraId="5298208E">
            <w:pPr>
              <w:snapToGrid w:val="0"/>
              <w:ind w:left="0" w:leftChars="0" w:right="0" w:rightChars="0" w:firstLine="0" w:firstLineChars="0"/>
              <w:jc w:val="both"/>
              <w:rPr>
                <w:rFonts w:hint="eastAsia" w:ascii="宋体" w:hAnsi="宋体" w:eastAsia="宋体" w:cs="宋体"/>
                <w:sz w:val="13"/>
                <w:szCs w:val="13"/>
                <w:highlight w:val="none"/>
              </w:rPr>
            </w:pPr>
          </w:p>
        </w:tc>
        <w:tc>
          <w:tcPr>
            <w:tcW w:w="1360" w:type="dxa"/>
            <w:vMerge w:val="continue"/>
            <w:tcBorders>
              <w:left w:val="nil"/>
              <w:right w:val="nil"/>
            </w:tcBorders>
            <w:vAlign w:val="center"/>
          </w:tcPr>
          <w:p w14:paraId="013E1851">
            <w:pPr>
              <w:snapToGrid w:val="0"/>
              <w:ind w:left="0" w:leftChars="0" w:right="0" w:rightChars="0" w:firstLine="0" w:firstLineChars="0"/>
              <w:jc w:val="both"/>
              <w:rPr>
                <w:rFonts w:hint="eastAsia" w:ascii="宋体" w:hAnsi="宋体" w:eastAsia="宋体" w:cs="宋体"/>
                <w:sz w:val="13"/>
                <w:szCs w:val="13"/>
                <w:highlight w:val="none"/>
              </w:rPr>
            </w:pPr>
          </w:p>
        </w:tc>
        <w:tc>
          <w:tcPr>
            <w:tcW w:w="1631" w:type="dxa"/>
            <w:tcBorders>
              <w:left w:val="nil"/>
              <w:right w:val="nil"/>
            </w:tcBorders>
            <w:vAlign w:val="center"/>
          </w:tcPr>
          <w:p w14:paraId="255D0641">
            <w:pPr>
              <w:snapToGrid w:val="0"/>
              <w:ind w:left="0" w:leftChars="0" w:right="0" w:rightChars="0" w:firstLine="0" w:firstLineChars="0"/>
              <w:jc w:val="both"/>
              <w:rPr>
                <w:rFonts w:hint="eastAsia" w:ascii="宋体" w:hAnsi="宋体" w:eastAsia="宋体" w:cs="宋体"/>
                <w:sz w:val="13"/>
                <w:szCs w:val="13"/>
                <w:highlight w:val="none"/>
              </w:rPr>
            </w:pPr>
            <w:commentRangeStart w:id="9"/>
            <w:r>
              <w:rPr>
                <w:highlight w:val="yellow"/>
              </w:rPr>
              <w:t>体验地形服务</w:t>
            </w:r>
            <w:commentRangeEnd w:id="9"/>
            <w:r>
              <w:rPr>
                <w:rStyle w:val="CommentReference"/>
              </w:rPr>
              <w:commentReference w:id="9"/>
            </w:r>
          </w:p>
        </w:tc>
        <w:tc>
          <w:tcPr>
            <w:tcW w:w="1985" w:type="dxa"/>
            <w:tcBorders>
              <w:left w:val="nil"/>
              <w:right w:val="nil"/>
            </w:tcBorders>
            <w:vAlign w:val="center"/>
          </w:tcPr>
          <w:p w14:paraId="16B695DC">
            <w:pPr>
              <w:snapToGrid w:val="0"/>
              <w:ind w:left="0" w:leftChars="0" w:right="0" w:rightChars="0" w:firstLine="0" w:firstLineChars="0"/>
              <w:jc w:val="both"/>
              <w:rPr>
                <w:rFonts w:hint="eastAsia" w:ascii="宋体" w:hAnsi="宋体" w:eastAsia="宋体" w:cs="宋体"/>
                <w:sz w:val="13"/>
                <w:szCs w:val="13"/>
                <w:highlight w:val="none"/>
              </w:rPr>
            </w:pPr>
            <w:r>
              <w:rPr>
                <w:rFonts w:hint="eastAsia" w:ascii="宋体" w:hAnsi="宋体" w:eastAsia="宋体" w:cs="宋体"/>
                <w:sz w:val="13"/>
                <w:szCs w:val="13"/>
                <w:highlight w:val="none"/>
              </w:rPr>
              <w:t>缓坡/陡坡、台地与平坦区域、阶梯/台阶与栈道、视线高差与探索路线带来的体验</w:t>
            </w:r>
          </w:p>
        </w:tc>
      </w:tr>
      <w:tr w14:paraId="5E0D4E75">
        <w:tblPrEx>
          <w:tblCellMar>
            <w:top w:w="45" w:type="dxa"/>
            <w:left w:w="96" w:type="dxa"/>
            <w:bottom w:w="45" w:type="dxa"/>
            <w:right w:w="96" w:type="dxa"/>
          </w:tblCellMar>
        </w:tblPrEx>
        <w:trPr>
          <w:wBefore w:w="12" w:type="dxa"/>
          <w:wAfter w:w="247" w:type="dxa"/>
          <w:trHeight w:val="368" w:hRule="atLeast"/>
          <w:jc w:val="center"/>
        </w:trPr>
        <w:tc>
          <w:tcPr>
            <w:tcW w:w="1203" w:type="dxa"/>
            <w:vMerge w:val="continue"/>
            <w:tcBorders>
              <w:left w:val="nil"/>
              <w:bottom w:val="single" w:color="auto" w:sz="4" w:space="0"/>
              <w:right w:val="nil"/>
            </w:tcBorders>
            <w:vAlign w:val="center"/>
          </w:tcPr>
          <w:p w14:paraId="0D458692">
            <w:pPr>
              <w:snapToGrid w:val="0"/>
              <w:ind w:left="0" w:leftChars="0" w:right="0" w:rightChars="0" w:firstLine="0" w:firstLineChars="0"/>
              <w:jc w:val="both"/>
              <w:rPr>
                <w:rFonts w:hint="eastAsia" w:ascii="宋体" w:hAnsi="宋体" w:eastAsia="宋体" w:cs="宋体"/>
                <w:sz w:val="13"/>
                <w:szCs w:val="13"/>
                <w:highlight w:val="none"/>
              </w:rPr>
            </w:pPr>
          </w:p>
        </w:tc>
        <w:tc>
          <w:tcPr>
            <w:tcW w:w="881" w:type="dxa"/>
            <w:vMerge w:val="continue"/>
            <w:tcBorders>
              <w:left w:val="nil"/>
              <w:bottom w:val="single" w:color="auto" w:sz="4" w:space="0"/>
              <w:right w:val="nil"/>
            </w:tcBorders>
            <w:vAlign w:val="center"/>
          </w:tcPr>
          <w:p w14:paraId="546C2371">
            <w:pPr>
              <w:snapToGrid w:val="0"/>
              <w:ind w:left="0" w:leftChars="0" w:right="0" w:rightChars="0" w:firstLine="0" w:firstLineChars="0"/>
              <w:jc w:val="both"/>
              <w:rPr>
                <w:rFonts w:hint="eastAsia" w:ascii="宋体" w:hAnsi="宋体" w:eastAsia="宋体" w:cs="宋体"/>
                <w:sz w:val="13"/>
                <w:szCs w:val="13"/>
                <w:highlight w:val="none"/>
              </w:rPr>
            </w:pPr>
          </w:p>
        </w:tc>
        <w:tc>
          <w:tcPr>
            <w:tcW w:w="1181" w:type="dxa"/>
            <w:vMerge w:val="continue"/>
            <w:tcBorders>
              <w:left w:val="nil"/>
              <w:bottom w:val="single" w:color="auto" w:sz="4" w:space="0"/>
              <w:right w:val="nil"/>
            </w:tcBorders>
            <w:vAlign w:val="center"/>
          </w:tcPr>
          <w:p w14:paraId="28C5AE2C">
            <w:pPr>
              <w:snapToGrid w:val="0"/>
              <w:ind w:left="0" w:leftChars="0" w:right="0" w:rightChars="0" w:firstLine="0" w:firstLineChars="0"/>
              <w:jc w:val="both"/>
              <w:rPr>
                <w:rFonts w:hint="eastAsia" w:ascii="宋体" w:hAnsi="宋体" w:eastAsia="宋体" w:cs="宋体"/>
                <w:sz w:val="13"/>
                <w:szCs w:val="13"/>
                <w:highlight w:val="none"/>
              </w:rPr>
            </w:pPr>
          </w:p>
        </w:tc>
        <w:tc>
          <w:tcPr>
            <w:tcW w:w="1360" w:type="dxa"/>
            <w:vMerge w:val="continue"/>
            <w:tcBorders>
              <w:left w:val="nil"/>
              <w:bottom w:val="single" w:color="auto" w:sz="4" w:space="0"/>
              <w:right w:val="nil"/>
            </w:tcBorders>
            <w:vAlign w:val="center"/>
          </w:tcPr>
          <w:p w14:paraId="7A04C42B">
            <w:pPr>
              <w:snapToGrid w:val="0"/>
              <w:ind w:left="0" w:leftChars="0" w:right="0" w:rightChars="0" w:firstLine="0" w:firstLineChars="0"/>
              <w:jc w:val="both"/>
              <w:rPr>
                <w:rFonts w:hint="eastAsia" w:ascii="宋体" w:hAnsi="宋体" w:eastAsia="宋体" w:cs="宋体"/>
                <w:sz w:val="13"/>
                <w:szCs w:val="13"/>
                <w:highlight w:val="none"/>
              </w:rPr>
            </w:pPr>
          </w:p>
        </w:tc>
        <w:tc>
          <w:tcPr>
            <w:tcW w:w="1631" w:type="dxa"/>
            <w:tcBorders>
              <w:left w:val="nil"/>
              <w:bottom w:val="single" w:color="auto" w:sz="4" w:space="0"/>
              <w:right w:val="nil"/>
            </w:tcBorders>
            <w:shd w:val="clear" w:color="auto" w:fill="auto"/>
            <w:vAlign w:val="center"/>
          </w:tcPr>
          <w:p w14:paraId="2FE45E40">
            <w:pPr>
              <w:snapToGrid w:val="0"/>
              <w:ind w:left="0" w:leftChars="0" w:right="0" w:rightChars="0" w:firstLine="0" w:firstLineChars="0"/>
              <w:jc w:val="both"/>
              <w:rPr>
                <w:rFonts w:hint="eastAsia" w:ascii="宋体" w:hAnsi="宋体" w:eastAsia="宋体" w:cs="宋体"/>
                <w:sz w:val="13"/>
                <w:szCs w:val="13"/>
                <w:highlight w:val="none"/>
                <w:lang w:val="en-US" w:eastAsia="en-US"/>
              </w:rPr>
            </w:pPr>
            <w:r>
              <w:rPr>
                <w:rFonts w:hint="eastAsia" w:ascii="宋体" w:hAnsi="宋体" w:eastAsia="宋体" w:cs="宋体"/>
                <w:sz w:val="13"/>
                <w:szCs w:val="13"/>
                <w:highlight w:val="none"/>
              </w:rPr>
              <w:t>可达性与保障服务</w:t>
            </w:r>
          </w:p>
        </w:tc>
        <w:tc>
          <w:tcPr>
            <w:tcW w:w="1985" w:type="dxa"/>
            <w:tcBorders>
              <w:left w:val="nil"/>
              <w:bottom w:val="single" w:color="auto" w:sz="4" w:space="0"/>
              <w:right w:val="nil"/>
            </w:tcBorders>
            <w:shd w:val="clear" w:color="auto" w:fill="auto"/>
            <w:vAlign w:val="center"/>
          </w:tcPr>
          <w:p w14:paraId="4EE63887">
            <w:pPr>
              <w:snapToGrid w:val="0"/>
              <w:ind w:left="0" w:leftChars="0" w:right="0" w:rightChars="0" w:firstLine="0" w:firstLineChars="0"/>
              <w:jc w:val="both"/>
              <w:rPr>
                <w:rFonts w:hint="eastAsia" w:ascii="宋体" w:hAnsi="宋体" w:eastAsia="宋体" w:cs="宋体"/>
                <w:sz w:val="13"/>
                <w:szCs w:val="13"/>
                <w:highlight w:val="none"/>
                <w:lang w:val="en-US" w:eastAsia="en-US"/>
              </w:rPr>
            </w:pPr>
            <w:r>
              <w:rPr>
                <w:rFonts w:hint="eastAsia" w:ascii="宋体" w:hAnsi="宋体" w:eastAsia="宋体" w:cs="宋体"/>
                <w:sz w:val="13"/>
                <w:szCs w:val="13"/>
                <w:highlight w:val="none"/>
              </w:rPr>
              <w:t>餐饮零售点、智能停车场与换乘接驳、生态卫生间与清洁维护、无障碍设施与照明安防、导向标识与管理提示</w:t>
            </w:r>
          </w:p>
        </w:tc>
      </w:tr>
    </w:tbl>
    <w:p w14:paraId="0C107EF9">
      <w:pPr>
        <w:pStyle w:val="31"/>
        <w:bidi w:val="0"/>
        <w:rPr>
          <w:highlight w:val="none"/>
        </w:rPr>
      </w:pPr>
    </w:p>
    <w:p w14:paraId="427FBD4F">
      <w:pPr>
        <w:pStyle w:val="33"/>
        <w:bidi w:val="0"/>
        <w:rPr>
          <w:rFonts w:hint="default"/>
          <w:highlight w:val="none"/>
          <w:lang w:val="en-US" w:eastAsia="zh-CN"/>
        </w:rPr>
      </w:pPr>
      <w:r>
        <w:rPr>
          <w:rFonts w:hint="eastAsia"/>
          <w:highlight w:val="none"/>
          <w:lang w:val="en-US" w:eastAsia="zh-CN"/>
        </w:rPr>
        <w:t>1.2.3  数据爬取和分句处理</w:t>
      </w:r>
    </w:p>
    <w:p w14:paraId="4D8A7425">
      <w:pPr>
        <w:pStyle w:val="34"/>
        <w:bidi w:val="0"/>
        <w:rPr>
          <w:highlight w:val="none"/>
          <w:lang w:val="en-US"/>
        </w:rPr>
      </w:pPr>
      <w:r>
        <w:t>本文使用Python获取大众点评52座公园各100条最新评论（2024年1月至2025年3月），形成5200条主体语料；同时通过八爪鱼采集携程评论4500余条作为补充语料[18-19]。两平台数据在标准化清洗后统一进入分句、去重、去广告和无效文本剔除流程，并加载本地专业词库进行后续识别。通过</w:t>
      </w:r>
      <w:commentRangeStart w:id="25"/>
      <w:r>
        <w:rPr>
          <w:highlight w:val="yellow"/>
        </w:rPr>
        <w:t>人工抽查97条样本</w:t>
      </w:r>
      <w:commentRangeEnd w:id="25"/>
      <w:r>
        <w:rPr>
          <w:rStyle w:val="CommentReference"/>
        </w:rPr>
        <w:commentReference w:id="25"/>
      </w:r>
      <w:r>
        <w:t>，绝大多数评论能够直接对应公众的现场体验。经清洗后，最终保留9624条有效评论。多平台文本的并行引入有助于降低单一平台表达偏差，然而本文仍将结果限定为公众感知层面的诊断结论。</w:t>
      </w:r>
    </w:p>
    <w:p w14:paraId="777E6E21">
      <w:pPr>
        <w:pStyle w:val="33"/>
        <w:bidi w:val="0"/>
        <w:rPr>
          <w:rFonts w:hint="eastAsia"/>
          <w:highlight w:val="none"/>
          <w:lang w:val="en-US" w:eastAsia="zh-CN"/>
        </w:rPr>
      </w:pPr>
      <w:r>
        <w:rPr>
          <w:rFonts w:hint="eastAsia"/>
          <w:highlight w:val="none"/>
          <w:lang w:val="en-US" w:eastAsia="zh-CN"/>
        </w:rPr>
        <w:t>1</w:t>
      </w:r>
      <w:r>
        <w:rPr>
          <w:rFonts w:hint="eastAsia"/>
          <w:highlight w:val="none"/>
          <w:lang w:val="zh-CN" w:eastAsia="zh-CN"/>
        </w:rPr>
        <w:t>.</w:t>
      </w:r>
      <w:r>
        <w:rPr>
          <w:rFonts w:hint="eastAsia"/>
          <w:highlight w:val="none"/>
          <w:lang w:val="en-US" w:eastAsia="zh-CN"/>
        </w:rPr>
        <w:t>3</w:t>
      </w:r>
      <w:r>
        <w:rPr>
          <w:highlight w:val="none"/>
          <w:lang w:val="zh-CN" w:eastAsia="zh-CN"/>
        </w:rPr>
        <w:t xml:space="preserve">  </w:t>
      </w:r>
      <w:r>
        <w:rPr>
          <w:rFonts w:hint="eastAsia"/>
          <w:highlight w:val="none"/>
          <w:lang w:val="en-US" w:eastAsia="zh-CN"/>
        </w:rPr>
        <w:t>感知要素识别</w:t>
      </w:r>
    </w:p>
    <w:p w14:paraId="5BB17B2D">
      <w:pPr>
        <w:pStyle w:val="34"/>
        <w:bidi w:val="0"/>
        <w:rPr>
          <w:rFonts w:hint="eastAsia"/>
          <w:highlight w:val="none"/>
          <w:lang w:eastAsia="zh-CN"/>
        </w:rPr>
      </w:pPr>
      <w:r>
        <w:rPr>
          <w:rFonts w:hint="eastAsia"/>
          <w:highlight w:val="none"/>
          <w:lang w:eastAsia="zh-CN"/>
        </w:rPr>
        <w:t>研究将网络评论数据视为公众现场体验的自发表达，构建</w:t>
      </w:r>
      <w:r>
        <w:rPr>
          <w:rFonts w:hint="eastAsia"/>
          <w:highlight w:val="none"/>
          <w:lang w:val="en-US" w:eastAsia="zh-CN"/>
        </w:rPr>
        <w:t>CES</w:t>
      </w:r>
      <w:r>
        <w:rPr>
          <w:rFonts w:hint="eastAsia"/>
          <w:highlight w:val="none"/>
          <w:lang w:eastAsia="zh-CN"/>
        </w:rPr>
        <w:t>“感知频率—感知倾向”双指标框架。其中，感知频率指某一要素在评论中的提及比例，用于表征公众对该要素的关注强度和潜在需求</w:t>
      </w:r>
      <w:r>
        <w:rPr>
          <w:rStyle w:val="44"/>
          <w:rFonts w:hint="default"/>
          <w:highlight w:val="none"/>
          <w:lang w:val="en-US" w:eastAsia="zh-CN"/>
        </w:rPr>
        <w:fldChar w:fldCharType="begin"/>
      </w:r>
      <w:r>
        <w:rPr>
          <w:rStyle w:val="44"/>
          <w:highlight w:val="none"/>
        </w:rPr>
        <w:instrText xml:space="preserve"> REF _Ref28042 \r \h  \* MERGEFORMAT</w:instrText>
      </w:r>
      <w:r>
        <w:rPr>
          <w:rStyle w:val="44"/>
          <w:rFonts w:hint="default"/>
          <w:highlight w:val="none"/>
          <w:lang w:val="en-US" w:eastAsia="zh-CN"/>
        </w:rPr>
        <w:fldChar w:fldCharType="separate"/>
      </w:r>
      <w:r>
        <w:rPr>
          <w:rStyle w:val="44"/>
          <w:rFonts w:hint="default"/>
          <w:highlight w:val="none"/>
          <w:lang w:val="en-US" w:eastAsia="zh-CN"/>
        </w:rPr>
        <w:t>[20</w:t>
      </w:r>
      <w:r>
        <w:rPr>
          <w:rStyle w:val="44"/>
          <w:rFonts w:hint="default"/>
          <w:highlight w:val="none"/>
          <w:lang w:val="en-US" w:eastAsia="zh-CN"/>
        </w:rPr>
        <w:fldChar w:fldCharType="end"/>
      </w:r>
      <w:r>
        <w:rPr>
          <w:rStyle w:val="44"/>
          <w:rFonts w:hint="default"/>
          <w:highlight w:val="none"/>
          <w:lang w:val="en-US" w:eastAsia="zh-CN"/>
        </w:rPr>
        <w:fldChar w:fldCharType="begin"/>
      </w:r>
      <w:r>
        <w:rPr>
          <w:rStyle w:val="44"/>
          <w:highlight w:val="none"/>
        </w:rPr>
        <w:instrText xml:space="preserve"> REF _Ref28049 \r \h  \* MERGEFORMAT</w:instrText>
      </w:r>
      <w:r>
        <w:rPr>
          <w:rStyle w:val="44"/>
          <w:rFonts w:hint="default"/>
          <w:highlight w:val="none"/>
          <w:lang w:val="en-US" w:eastAsia="zh-CN"/>
        </w:rPr>
        <w:fldChar w:fldCharType="separate"/>
      </w:r>
      <w:r>
        <w:rPr>
          <w:rStyle w:val="44"/>
          <w:rFonts w:hint="eastAsia"/>
          <w:highlight w:val="none"/>
          <w:lang w:val="en-US" w:eastAsia="zh-CN"/>
        </w:rPr>
        <w:t>-</w:t>
      </w:r>
      <w:r>
        <w:rPr>
          <w:rStyle w:val="44"/>
          <w:rFonts w:hint="default"/>
          <w:highlight w:val="none"/>
          <w:lang w:val="en-US" w:eastAsia="zh-CN"/>
        </w:rPr>
        <w:fldChar w:fldCharType="end"/>
      </w:r>
      <w:r>
        <w:rPr>
          <w:rStyle w:val="44"/>
          <w:rFonts w:hint="default"/>
          <w:highlight w:val="none"/>
          <w:lang w:val="en-US" w:eastAsia="zh-CN"/>
        </w:rPr>
        <w:fldChar w:fldCharType="begin"/>
      </w:r>
      <w:r>
        <w:rPr>
          <w:rStyle w:val="44"/>
          <w:highlight w:val="none"/>
        </w:rPr>
        <w:instrText xml:space="preserve"> REF _Ref28059 \r \h  \* MERGEFORMAT</w:instrText>
      </w:r>
      <w:r>
        <w:rPr>
          <w:rStyle w:val="44"/>
          <w:rFonts w:hint="default"/>
          <w:highlight w:val="none"/>
          <w:lang w:val="en-US" w:eastAsia="zh-CN"/>
        </w:rPr>
        <w:fldChar w:fldCharType="separate"/>
      </w:r>
      <w:r>
        <w:rPr>
          <w:rStyle w:val="44"/>
          <w:rFonts w:hint="default"/>
          <w:highlight w:val="none"/>
          <w:lang w:val="en-US" w:eastAsia="zh-CN"/>
        </w:rPr>
        <w:t>22]</w:t>
      </w:r>
      <w:r>
        <w:rPr>
          <w:rStyle w:val="44"/>
          <w:rFonts w:hint="default"/>
          <w:highlight w:val="none"/>
          <w:lang w:val="en-US" w:eastAsia="zh-CN"/>
        </w:rPr>
        <w:fldChar w:fldCharType="end"/>
      </w:r>
      <w:r>
        <w:rPr>
          <w:rFonts w:hint="eastAsia"/>
          <w:highlight w:val="none"/>
          <w:lang w:eastAsia="zh-CN"/>
        </w:rPr>
        <w:t>；然而需承认城市绿地在线评价的结构性偏差，即高频提及既可能来源于供给丰富或体验较好，也可能为问题集中或抱怨聚集，为降低上述偏差对诊断的干扰，引入“感知倾向”情感极性与强度作为供给侧</w:t>
      </w:r>
      <w:r>
        <w:rPr>
          <w:rFonts w:hint="eastAsia"/>
          <w:highlight w:val="none"/>
          <w:lang w:val="en-US" w:eastAsia="zh-CN"/>
        </w:rPr>
        <w:t>的</w:t>
      </w:r>
      <w:r>
        <w:rPr>
          <w:rFonts w:hint="eastAsia"/>
          <w:highlight w:val="none"/>
          <w:lang w:eastAsia="zh-CN"/>
        </w:rPr>
        <w:t>表征，通过情感分析量化公众对要素的满意度正负反馈强度，从而与感知频率联合判读</w:t>
      </w:r>
      <w:r>
        <w:rPr>
          <w:rFonts w:hint="eastAsia"/>
          <w:highlight w:val="none"/>
          <w:lang w:val="en-US" w:eastAsia="zh-CN"/>
        </w:rPr>
        <w:t>CES</w:t>
      </w:r>
      <w:r>
        <w:rPr>
          <w:rFonts w:hint="eastAsia"/>
          <w:highlight w:val="none"/>
          <w:lang w:eastAsia="zh-CN"/>
        </w:rPr>
        <w:t>“供给侧—需求侧”的匹配状态</w:t>
      </w:r>
      <w:r>
        <w:rPr>
          <w:rStyle w:val="44"/>
          <w:rFonts w:hint="default"/>
          <w:highlight w:val="none"/>
          <w:lang w:val="en-US" w:eastAsia="zh-CN"/>
        </w:rPr>
        <w:fldChar w:fldCharType="begin"/>
      </w:r>
      <w:r>
        <w:rPr>
          <w:rStyle w:val="44"/>
          <w:highlight w:val="none"/>
        </w:rPr>
        <w:instrText xml:space="preserve"> REF _Ref4360 \r \h  \* MERGEFORMAT</w:instrText>
      </w:r>
      <w:r>
        <w:rPr>
          <w:rStyle w:val="44"/>
          <w:rFonts w:hint="default"/>
          <w:highlight w:val="none"/>
          <w:lang w:val="en-US" w:eastAsia="zh-CN"/>
        </w:rPr>
        <w:fldChar w:fldCharType="separate"/>
      </w:r>
      <w:r>
        <w:rPr>
          <w:rStyle w:val="44"/>
          <w:rFonts w:hint="default"/>
          <w:highlight w:val="none"/>
          <w:lang w:val="en-US" w:eastAsia="zh-CN"/>
        </w:rPr>
        <w:t>[7</w:t>
      </w:r>
      <w:r>
        <w:rPr>
          <w:rStyle w:val="44"/>
          <w:rFonts w:hint="default"/>
          <w:highlight w:val="none"/>
          <w:lang w:val="en-US" w:eastAsia="zh-CN"/>
        </w:rPr>
        <w:fldChar w:fldCharType="end"/>
      </w:r>
      <w:r>
        <w:rPr>
          <w:rStyle w:val="44"/>
          <w:rFonts w:hint="default"/>
          <w:highlight w:val="none"/>
          <w:lang w:val="en-US" w:eastAsia="zh-CN"/>
        </w:rPr>
        <w:fldChar w:fldCharType="begin"/>
      </w:r>
      <w:r>
        <w:rPr>
          <w:rStyle w:val="44"/>
          <w:highlight w:val="none"/>
        </w:rPr>
        <w:instrText xml:space="preserve"> REF _Ref4389 \r \h  \* MERGEFORMAT</w:instrText>
      </w:r>
      <w:r>
        <w:rPr>
          <w:rStyle w:val="44"/>
          <w:rFonts w:hint="default"/>
          <w:highlight w:val="none"/>
          <w:lang w:val="en-US" w:eastAsia="zh-CN"/>
        </w:rPr>
        <w:fldChar w:fldCharType="separate"/>
      </w:r>
      <w:r>
        <w:rPr>
          <w:rStyle w:val="44"/>
          <w:rFonts w:hint="eastAsia"/>
          <w:highlight w:val="none"/>
          <w:lang w:val="en-US" w:eastAsia="zh-CN"/>
        </w:rPr>
        <w:t>-</w:t>
      </w:r>
      <w:r>
        <w:rPr>
          <w:rStyle w:val="44"/>
          <w:rFonts w:hint="default"/>
          <w:highlight w:val="none"/>
          <w:lang w:val="en-US" w:eastAsia="zh-CN"/>
        </w:rPr>
        <w:t>8]</w:t>
      </w:r>
      <w:r>
        <w:rPr>
          <w:rStyle w:val="44"/>
          <w:rFonts w:hint="default"/>
          <w:highlight w:val="none"/>
          <w:lang w:val="en-US" w:eastAsia="zh-CN"/>
        </w:rPr>
        <w:fldChar w:fldCharType="end"/>
      </w:r>
      <w:r>
        <w:rPr>
          <w:rFonts w:hint="eastAsia"/>
          <w:highlight w:val="none"/>
          <w:lang w:eastAsia="zh-CN"/>
        </w:rPr>
        <w:t>，</w:t>
      </w:r>
      <w:r>
        <w:rPr>
          <w:rFonts w:hint="eastAsia"/>
          <w:highlight w:val="none"/>
          <w:lang w:val="en-US" w:eastAsia="zh-CN"/>
        </w:rPr>
        <w:t>为</w:t>
      </w:r>
      <w:r>
        <w:rPr>
          <w:rFonts w:hint="eastAsia"/>
          <w:highlight w:val="none"/>
          <w:lang w:eastAsia="zh-CN"/>
        </w:rPr>
        <w:t>判断公园更新优先级提供依据，并回应“百姓园林”导向下普惠共享、全龄友好与文化认同等现实需求。</w:t>
      </w:r>
    </w:p>
    <w:p w14:paraId="454E88E4">
      <w:pPr>
        <w:pStyle w:val="33"/>
        <w:bidi w:val="0"/>
        <w:rPr>
          <w:rFonts w:hint="default"/>
          <w:highlight w:val="none"/>
          <w:lang w:val="en-US" w:eastAsia="zh-CN"/>
        </w:rPr>
      </w:pPr>
      <w:r>
        <w:rPr>
          <w:rFonts w:hint="eastAsia"/>
          <w:highlight w:val="none"/>
          <w:lang w:val="en-US" w:eastAsia="zh-CN"/>
        </w:rPr>
        <w:t>1.3.1  基于情感分析的感知倾向识别</w:t>
      </w:r>
    </w:p>
    <w:p w14:paraId="58A2BF02">
      <w:pPr>
        <w:pStyle w:val="34"/>
        <w:bidi w:val="0"/>
        <w:rPr>
          <w:highlight w:val="none"/>
        </w:rPr>
      </w:pPr>
      <w:r>
        <w:t>本研究通过情感分析评估公众对不同CES类别的情绪反应。涉及对网络评论数据中主观表达（包括观点、偏好、情绪及相关构念）的计算检测、分析与提取。</w:t>
      </w:r>
      <w:commentRangeStart w:id="23"/>
      <w:r>
        <w:rPr>
          <w:highlight w:val="yellow"/>
        </w:rPr>
        <w:t>每条评论的倾向通过百度智能云API计算得出。该接口可返回情感极性、置信度、积极概率与消极概率等参数，适合用于对中文网络评论进行可重复的情感量化；但其在本文公园评论语料中的准确性仍需以人工复核或验证集结果说明[47-48]。</w:t>
      </w:r>
      <w:commentRangeEnd w:id="23"/>
      <w:r>
        <w:rPr>
          <w:rStyle w:val="CommentReference"/>
        </w:rPr>
        <w:commentReference w:id="23"/>
      </w:r>
    </w:p>
    <w:p w14:paraId="27FC5F44">
      <w:pPr>
        <w:pStyle w:val="34"/>
        <w:bidi w:val="0"/>
        <w:jc w:val="center"/>
        <w:rPr>
          <w:rFonts w:hint="eastAsia"/>
          <w:highlight w:val="none"/>
          <w:lang w:val="zh-CN" w:eastAsia="zh-CN"/>
        </w:rPr>
      </w:pPr>
      <w:r>
        <w:rPr>
          <w:rFonts w:hint="eastAsia"/>
          <w:highlight w:val="none"/>
          <w:lang w:val="zh-CN" w:eastAsia="zh-CN"/>
        </w:rPr>
        <w:t>表</w:t>
      </w:r>
      <w:r>
        <w:rPr>
          <w:rFonts w:hint="eastAsia"/>
          <w:highlight w:val="none"/>
          <w:lang w:val="en-US" w:eastAsia="zh-CN"/>
        </w:rPr>
        <w:t xml:space="preserve">3 </w:t>
      </w:r>
      <w:bookmarkStart w:id="59" w:name="_GoBack"/>
      <w:bookmarkEnd w:id="59"/>
      <w:r>
        <w:rPr>
          <w:rFonts w:hint="eastAsia"/>
          <w:highlight w:val="none"/>
          <w:lang w:val="zh-CN" w:eastAsia="zh-CN"/>
        </w:rPr>
        <w:t>百度智能云API平台情感感知倾向分析参数</w:t>
      </w:r>
    </w:p>
    <w:p w14:paraId="42551BE6">
      <w:pPr>
        <w:pStyle w:val="34"/>
        <w:bidi w:val="0"/>
        <w:jc w:val="center"/>
        <w:rPr>
          <w:rFonts w:hint="default" w:ascii="Times New Roman" w:hAnsi="Times New Roman" w:cs="Times New Roman"/>
          <w:b w:val="0"/>
          <w:bCs w:val="0"/>
          <w:sz w:val="21"/>
          <w:szCs w:val="21"/>
          <w:highlight w:val="none"/>
          <w:lang w:val="zh-CN" w:eastAsia="zh-CN"/>
        </w:rPr>
      </w:pPr>
      <w:r>
        <w:rPr>
          <w:rFonts w:hint="default" w:ascii="Times New Roman" w:hAnsi="Times New Roman" w:eastAsia="宋体" w:cs="Times New Roman"/>
          <w:b w:val="0"/>
          <w:bCs w:val="0"/>
          <w:sz w:val="21"/>
          <w:szCs w:val="21"/>
          <w:highlight w:val="none"/>
        </w:rPr>
        <w:t>Table 3 Parameters for Sentiment-Based Perceived Tendency Analysis Using the Baidu AI Cloud API Platform</w:t>
      </w:r>
    </w:p>
    <w:tbl>
      <w:tblPr>
        <w:tblStyle w:val="14"/>
        <w:tblW w:w="8498" w:type="dxa"/>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56" w:type="dxa"/>
          <w:left w:w="96" w:type="dxa"/>
          <w:bottom w:w="56" w:type="dxa"/>
          <w:right w:w="96" w:type="dxa"/>
        </w:tblCellMar>
      </w:tblPr>
      <w:tblGrid>
        <w:gridCol w:w="1025"/>
        <w:gridCol w:w="1778"/>
        <w:gridCol w:w="1251"/>
        <w:gridCol w:w="1596"/>
        <w:gridCol w:w="1251"/>
        <w:gridCol w:w="1597"/>
      </w:tblGrid>
      <w:tr w14:paraId="4E45246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56" w:type="dxa"/>
            <w:left w:w="96" w:type="dxa"/>
            <w:bottom w:w="56" w:type="dxa"/>
            <w:right w:w="96" w:type="dxa"/>
          </w:tblCellMar>
        </w:tblPrEx>
        <w:trPr>
          <w:trHeight w:val="0" w:hRule="atLeast"/>
          <w:tblHeader/>
          <w:jc w:val="center"/>
        </w:trPr>
        <w:tc>
          <w:tcPr>
            <w:tcW w:w="0" w:type="auto"/>
            <w:tcBorders>
              <w:top w:val="single" w:color="auto" w:sz="4" w:space="0"/>
              <w:left w:val="nil"/>
              <w:bottom w:val="single" w:color="auto" w:sz="4" w:space="0"/>
              <w:right w:val="nil"/>
            </w:tcBorders>
            <w:vAlign w:val="center"/>
          </w:tcPr>
          <w:p w14:paraId="535FCB90">
            <w:pPr>
              <w:snapToGrid w:val="0"/>
              <w:jc w:val="both"/>
              <w:rPr>
                <w:sz w:val="11"/>
                <w:szCs w:val="11"/>
                <w:highlight w:val="none"/>
              </w:rPr>
            </w:pPr>
            <w:r>
              <w:rPr>
                <w:sz w:val="11"/>
                <w:szCs w:val="11"/>
                <w:highlight w:val="none"/>
              </w:rPr>
              <w:t>结果分类</w:t>
            </w:r>
          </w:p>
        </w:tc>
        <w:tc>
          <w:tcPr>
            <w:tcW w:w="0" w:type="auto"/>
            <w:tcBorders>
              <w:top w:val="single" w:color="auto" w:sz="4" w:space="0"/>
              <w:left w:val="nil"/>
              <w:bottom w:val="single" w:color="auto" w:sz="4" w:space="0"/>
              <w:right w:val="nil"/>
            </w:tcBorders>
            <w:vAlign w:val="center"/>
          </w:tcPr>
          <w:p w14:paraId="2278DEF9">
            <w:pPr>
              <w:snapToGrid w:val="0"/>
              <w:jc w:val="both"/>
              <w:rPr>
                <w:sz w:val="11"/>
                <w:szCs w:val="11"/>
                <w:highlight w:val="none"/>
              </w:rPr>
            </w:pPr>
            <w:r>
              <w:rPr>
                <w:sz w:val="11"/>
                <w:szCs w:val="11"/>
                <w:highlight w:val="none"/>
              </w:rPr>
              <w:t>置信度域</w:t>
            </w:r>
          </w:p>
        </w:tc>
        <w:tc>
          <w:tcPr>
            <w:tcW w:w="0" w:type="auto"/>
            <w:tcBorders>
              <w:top w:val="single" w:color="auto" w:sz="4" w:space="0"/>
              <w:left w:val="nil"/>
              <w:bottom w:val="single" w:color="auto" w:sz="4" w:space="0"/>
              <w:right w:val="nil"/>
            </w:tcBorders>
            <w:vAlign w:val="center"/>
          </w:tcPr>
          <w:p w14:paraId="03A99C98">
            <w:pPr>
              <w:snapToGrid w:val="0"/>
              <w:jc w:val="both"/>
              <w:rPr>
                <w:sz w:val="11"/>
                <w:szCs w:val="11"/>
                <w:highlight w:val="none"/>
              </w:rPr>
            </w:pPr>
            <w:r>
              <w:rPr>
                <w:sz w:val="11"/>
                <w:szCs w:val="11"/>
                <w:highlight w:val="none"/>
              </w:rPr>
              <w:t>消极概率区间</w:t>
            </w:r>
          </w:p>
        </w:tc>
        <w:tc>
          <w:tcPr>
            <w:tcW w:w="0" w:type="auto"/>
            <w:tcBorders>
              <w:top w:val="single" w:color="auto" w:sz="4" w:space="0"/>
              <w:left w:val="nil"/>
              <w:bottom w:val="single" w:color="auto" w:sz="4" w:space="0"/>
              <w:right w:val="nil"/>
            </w:tcBorders>
            <w:vAlign w:val="center"/>
          </w:tcPr>
          <w:p w14:paraId="0E18DBC1">
            <w:pPr>
              <w:snapToGrid w:val="0"/>
              <w:jc w:val="both"/>
              <w:rPr>
                <w:sz w:val="11"/>
                <w:szCs w:val="11"/>
                <w:highlight w:val="none"/>
              </w:rPr>
            </w:pPr>
            <w:r>
              <w:rPr>
                <w:sz w:val="11"/>
                <w:szCs w:val="11"/>
                <w:highlight w:val="none"/>
              </w:rPr>
              <w:t>情感映射关系（消极）</w:t>
            </w:r>
          </w:p>
        </w:tc>
        <w:tc>
          <w:tcPr>
            <w:tcW w:w="0" w:type="auto"/>
            <w:tcBorders>
              <w:top w:val="single" w:color="auto" w:sz="4" w:space="0"/>
              <w:left w:val="nil"/>
              <w:bottom w:val="single" w:color="auto" w:sz="4" w:space="0"/>
              <w:right w:val="nil"/>
            </w:tcBorders>
            <w:vAlign w:val="center"/>
          </w:tcPr>
          <w:p w14:paraId="5FFE5B83">
            <w:pPr>
              <w:snapToGrid w:val="0"/>
              <w:jc w:val="both"/>
              <w:rPr>
                <w:sz w:val="11"/>
                <w:szCs w:val="11"/>
                <w:highlight w:val="none"/>
              </w:rPr>
            </w:pPr>
            <w:r>
              <w:rPr>
                <w:sz w:val="11"/>
                <w:szCs w:val="11"/>
                <w:highlight w:val="none"/>
              </w:rPr>
              <w:t>积极概率区间</w:t>
            </w:r>
          </w:p>
        </w:tc>
        <w:tc>
          <w:tcPr>
            <w:tcW w:w="1597" w:type="dxa"/>
            <w:tcBorders>
              <w:top w:val="single" w:color="auto" w:sz="4" w:space="0"/>
              <w:left w:val="nil"/>
              <w:bottom w:val="single" w:color="auto" w:sz="4" w:space="0"/>
              <w:right w:val="nil"/>
            </w:tcBorders>
            <w:vAlign w:val="center"/>
          </w:tcPr>
          <w:p w14:paraId="2409B86E">
            <w:pPr>
              <w:snapToGrid w:val="0"/>
              <w:jc w:val="both"/>
              <w:rPr>
                <w:sz w:val="11"/>
                <w:szCs w:val="11"/>
                <w:highlight w:val="none"/>
              </w:rPr>
            </w:pPr>
            <w:r>
              <w:rPr>
                <w:sz w:val="11"/>
                <w:szCs w:val="11"/>
                <w:highlight w:val="none"/>
              </w:rPr>
              <w:t>情感映射关系（积极）</w:t>
            </w:r>
          </w:p>
        </w:tc>
      </w:tr>
      <w:tr w14:paraId="6051477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0" w:type="auto"/>
            <w:tcBorders>
              <w:top w:val="single" w:color="auto" w:sz="4" w:space="0"/>
              <w:left w:val="nil"/>
              <w:bottom w:val="nil"/>
              <w:right w:val="nil"/>
            </w:tcBorders>
            <w:vAlign w:val="center"/>
          </w:tcPr>
          <w:p w14:paraId="023DBA7A">
            <w:pPr>
              <w:snapToGrid w:val="0"/>
              <w:jc w:val="both"/>
              <w:rPr>
                <w:sz w:val="11"/>
                <w:szCs w:val="11"/>
                <w:highlight w:val="none"/>
              </w:rPr>
            </w:pPr>
            <w:r>
              <w:rPr>
                <w:sz w:val="11"/>
                <w:szCs w:val="11"/>
                <w:highlight w:val="none"/>
              </w:rPr>
              <w:t>[0,2]</w:t>
            </w:r>
          </w:p>
        </w:tc>
        <w:tc>
          <w:tcPr>
            <w:tcW w:w="0" w:type="auto"/>
            <w:tcBorders>
              <w:top w:val="single" w:color="auto" w:sz="4" w:space="0"/>
              <w:left w:val="nil"/>
              <w:bottom w:val="nil"/>
              <w:right w:val="nil"/>
            </w:tcBorders>
            <w:vAlign w:val="center"/>
          </w:tcPr>
          <w:p w14:paraId="48068DB1">
            <w:pPr>
              <w:snapToGrid w:val="0"/>
              <w:jc w:val="both"/>
              <w:rPr>
                <w:sz w:val="11"/>
                <w:szCs w:val="11"/>
                <w:highlight w:val="none"/>
              </w:rPr>
            </w:pPr>
            <w:r>
              <w:rPr>
                <w:sz w:val="11"/>
                <w:szCs w:val="11"/>
                <w:highlight w:val="none"/>
              </w:rPr>
              <w:t>[0,1]</w:t>
            </w:r>
          </w:p>
        </w:tc>
        <w:tc>
          <w:tcPr>
            <w:tcW w:w="0" w:type="auto"/>
            <w:tcBorders>
              <w:top w:val="single" w:color="auto" w:sz="4" w:space="0"/>
              <w:left w:val="nil"/>
              <w:bottom w:val="nil"/>
              <w:right w:val="nil"/>
            </w:tcBorders>
            <w:vAlign w:val="center"/>
          </w:tcPr>
          <w:p w14:paraId="4406C04E">
            <w:pPr>
              <w:snapToGrid w:val="0"/>
              <w:jc w:val="both"/>
              <w:rPr>
                <w:sz w:val="11"/>
                <w:szCs w:val="11"/>
                <w:highlight w:val="none"/>
              </w:rPr>
            </w:pPr>
            <w:r>
              <w:rPr>
                <w:sz w:val="11"/>
                <w:szCs w:val="11"/>
                <w:highlight w:val="none"/>
              </w:rPr>
              <w:t>[0,1]</w:t>
            </w:r>
          </w:p>
        </w:tc>
        <w:tc>
          <w:tcPr>
            <w:tcW w:w="0" w:type="auto"/>
            <w:tcBorders>
              <w:top w:val="single" w:color="auto" w:sz="4" w:space="0"/>
              <w:left w:val="nil"/>
              <w:bottom w:val="nil"/>
              <w:right w:val="nil"/>
            </w:tcBorders>
            <w:vAlign w:val="center"/>
          </w:tcPr>
          <w:p w14:paraId="034F9A39">
            <w:pPr>
              <w:snapToGrid w:val="0"/>
              <w:jc w:val="both"/>
              <w:rPr>
                <w:sz w:val="11"/>
                <w:szCs w:val="11"/>
                <w:highlight w:val="none"/>
              </w:rPr>
            </w:pPr>
            <w:r>
              <w:rPr>
                <w:sz w:val="11"/>
                <w:szCs w:val="11"/>
                <w:highlight w:val="none"/>
              </w:rPr>
              <w:t>无</w:t>
            </w:r>
          </w:p>
        </w:tc>
        <w:tc>
          <w:tcPr>
            <w:tcW w:w="0" w:type="auto"/>
            <w:tcBorders>
              <w:top w:val="single" w:color="auto" w:sz="4" w:space="0"/>
              <w:left w:val="nil"/>
              <w:bottom w:val="nil"/>
              <w:right w:val="nil"/>
            </w:tcBorders>
            <w:vAlign w:val="center"/>
          </w:tcPr>
          <w:p w14:paraId="5320FA61">
            <w:pPr>
              <w:snapToGrid w:val="0"/>
              <w:jc w:val="both"/>
              <w:rPr>
                <w:sz w:val="11"/>
                <w:szCs w:val="11"/>
                <w:highlight w:val="none"/>
              </w:rPr>
            </w:pPr>
            <w:r>
              <w:rPr>
                <w:sz w:val="11"/>
                <w:szCs w:val="11"/>
                <w:highlight w:val="none"/>
              </w:rPr>
              <w:t>[0,1]</w:t>
            </w:r>
          </w:p>
        </w:tc>
        <w:tc>
          <w:tcPr>
            <w:tcW w:w="1597" w:type="dxa"/>
            <w:tcBorders>
              <w:top w:val="single" w:color="auto" w:sz="4" w:space="0"/>
              <w:left w:val="nil"/>
              <w:bottom w:val="nil"/>
              <w:right w:val="nil"/>
            </w:tcBorders>
            <w:noWrap/>
            <w:vAlign w:val="center"/>
          </w:tcPr>
          <w:p w14:paraId="52C79E92">
            <w:pPr>
              <w:snapToGrid w:val="0"/>
              <w:jc w:val="both"/>
              <w:rPr>
                <w:sz w:val="11"/>
                <w:szCs w:val="11"/>
                <w:highlight w:val="none"/>
              </w:rPr>
            </w:pPr>
            <w:r>
              <w:rPr>
                <w:sz w:val="11"/>
                <w:szCs w:val="11"/>
                <w:highlight w:val="none"/>
              </w:rPr>
              <w:t>无</w:t>
            </w:r>
          </w:p>
        </w:tc>
      </w:tr>
      <w:tr w14:paraId="636A132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0" w:type="auto"/>
            <w:tcBorders>
              <w:top w:val="nil"/>
              <w:left w:val="nil"/>
              <w:bottom w:val="nil"/>
              <w:right w:val="nil"/>
            </w:tcBorders>
            <w:vAlign w:val="center"/>
          </w:tcPr>
          <w:p w14:paraId="19FB0F0E">
            <w:pPr>
              <w:snapToGrid w:val="0"/>
              <w:jc w:val="both"/>
              <w:rPr>
                <w:sz w:val="11"/>
                <w:szCs w:val="11"/>
                <w:highlight w:val="none"/>
              </w:rPr>
            </w:pPr>
            <w:r>
              <w:rPr>
                <w:sz w:val="11"/>
                <w:szCs w:val="11"/>
                <w:highlight w:val="none"/>
              </w:rPr>
              <w:t>0:消极</w:t>
            </w:r>
          </w:p>
        </w:tc>
        <w:tc>
          <w:tcPr>
            <w:tcW w:w="0" w:type="auto"/>
            <w:tcBorders>
              <w:top w:val="nil"/>
              <w:left w:val="nil"/>
              <w:bottom w:val="nil"/>
              <w:right w:val="nil"/>
            </w:tcBorders>
            <w:vAlign w:val="center"/>
          </w:tcPr>
          <w:p w14:paraId="3DA2578B">
            <w:pPr>
              <w:snapToGrid w:val="0"/>
              <w:jc w:val="both"/>
              <w:rPr>
                <w:sz w:val="11"/>
                <w:szCs w:val="11"/>
                <w:highlight w:val="none"/>
              </w:rPr>
            </w:pPr>
            <w:r>
              <w:rPr>
                <w:sz w:val="11"/>
                <w:szCs w:val="11"/>
                <w:highlight w:val="none"/>
              </w:rPr>
              <w:t>数字越接近1，可信度越高</w:t>
            </w:r>
          </w:p>
        </w:tc>
        <w:tc>
          <w:tcPr>
            <w:tcW w:w="0" w:type="auto"/>
            <w:tcBorders>
              <w:top w:val="nil"/>
              <w:left w:val="nil"/>
              <w:bottom w:val="nil"/>
              <w:right w:val="nil"/>
            </w:tcBorders>
            <w:vAlign w:val="center"/>
          </w:tcPr>
          <w:p w14:paraId="5427FF55">
            <w:pPr>
              <w:snapToGrid w:val="0"/>
              <w:jc w:val="both"/>
              <w:rPr>
                <w:sz w:val="11"/>
                <w:szCs w:val="11"/>
                <w:highlight w:val="none"/>
              </w:rPr>
            </w:pPr>
            <w:r>
              <w:rPr>
                <w:sz w:val="11"/>
                <w:szCs w:val="11"/>
                <w:highlight w:val="none"/>
              </w:rPr>
              <w:t>[0.55,1]</w:t>
            </w:r>
          </w:p>
        </w:tc>
        <w:tc>
          <w:tcPr>
            <w:tcW w:w="0" w:type="auto"/>
            <w:tcBorders>
              <w:top w:val="nil"/>
              <w:left w:val="nil"/>
              <w:bottom w:val="nil"/>
              <w:right w:val="nil"/>
            </w:tcBorders>
            <w:vAlign w:val="center"/>
          </w:tcPr>
          <w:p w14:paraId="0EA76431">
            <w:pPr>
              <w:snapToGrid w:val="0"/>
              <w:jc w:val="both"/>
              <w:rPr>
                <w:sz w:val="11"/>
                <w:szCs w:val="11"/>
                <w:highlight w:val="none"/>
              </w:rPr>
            </w:pPr>
            <w:r>
              <w:rPr>
                <w:sz w:val="11"/>
                <w:szCs w:val="11"/>
                <w:highlight w:val="none"/>
              </w:rPr>
              <w:t>消极悖离</w:t>
            </w:r>
          </w:p>
        </w:tc>
        <w:tc>
          <w:tcPr>
            <w:tcW w:w="0" w:type="auto"/>
            <w:tcBorders>
              <w:top w:val="nil"/>
              <w:left w:val="nil"/>
              <w:bottom w:val="nil"/>
              <w:right w:val="nil"/>
            </w:tcBorders>
            <w:vAlign w:val="center"/>
          </w:tcPr>
          <w:p w14:paraId="6DA8F861">
            <w:pPr>
              <w:snapToGrid w:val="0"/>
              <w:jc w:val="both"/>
              <w:rPr>
                <w:sz w:val="11"/>
                <w:szCs w:val="11"/>
                <w:highlight w:val="none"/>
              </w:rPr>
            </w:pPr>
            <w:r>
              <w:rPr>
                <w:sz w:val="11"/>
                <w:szCs w:val="11"/>
                <w:highlight w:val="none"/>
              </w:rPr>
              <w:t>[0,0.45]</w:t>
            </w:r>
          </w:p>
        </w:tc>
        <w:tc>
          <w:tcPr>
            <w:tcW w:w="1597" w:type="dxa"/>
            <w:tcBorders>
              <w:top w:val="nil"/>
              <w:left w:val="nil"/>
              <w:bottom w:val="nil"/>
              <w:right w:val="nil"/>
            </w:tcBorders>
            <w:vAlign w:val="center"/>
          </w:tcPr>
          <w:p w14:paraId="64EB5D75">
            <w:pPr>
              <w:snapToGrid w:val="0"/>
              <w:jc w:val="both"/>
              <w:rPr>
                <w:sz w:val="11"/>
                <w:szCs w:val="11"/>
                <w:highlight w:val="none"/>
              </w:rPr>
            </w:pPr>
            <w:r>
              <w:rPr>
                <w:sz w:val="11"/>
                <w:szCs w:val="11"/>
                <w:highlight w:val="none"/>
              </w:rPr>
              <w:t>消极悖离</w:t>
            </w:r>
          </w:p>
        </w:tc>
      </w:tr>
      <w:tr w14:paraId="4E7144B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0" w:type="auto"/>
            <w:tcBorders>
              <w:top w:val="nil"/>
              <w:left w:val="nil"/>
              <w:bottom w:val="nil"/>
              <w:right w:val="nil"/>
            </w:tcBorders>
            <w:vAlign w:val="center"/>
          </w:tcPr>
          <w:p w14:paraId="01F83471">
            <w:pPr>
              <w:snapToGrid w:val="0"/>
              <w:jc w:val="both"/>
              <w:rPr>
                <w:sz w:val="11"/>
                <w:szCs w:val="11"/>
                <w:highlight w:val="none"/>
              </w:rPr>
            </w:pPr>
            <w:r>
              <w:rPr>
                <w:sz w:val="11"/>
                <w:szCs w:val="11"/>
                <w:highlight w:val="none"/>
              </w:rPr>
              <w:t>1:中性</w:t>
            </w:r>
          </w:p>
        </w:tc>
        <w:tc>
          <w:tcPr>
            <w:tcW w:w="0" w:type="auto"/>
            <w:tcBorders>
              <w:top w:val="nil"/>
              <w:left w:val="nil"/>
              <w:bottom w:val="nil"/>
              <w:right w:val="nil"/>
            </w:tcBorders>
            <w:vAlign w:val="center"/>
          </w:tcPr>
          <w:p w14:paraId="56F05900">
            <w:pPr>
              <w:snapToGrid w:val="0"/>
              <w:jc w:val="both"/>
              <w:rPr>
                <w:sz w:val="11"/>
                <w:szCs w:val="11"/>
                <w:highlight w:val="none"/>
              </w:rPr>
            </w:pPr>
          </w:p>
        </w:tc>
        <w:tc>
          <w:tcPr>
            <w:tcW w:w="0" w:type="auto"/>
            <w:tcBorders>
              <w:top w:val="nil"/>
              <w:left w:val="nil"/>
              <w:bottom w:val="nil"/>
              <w:right w:val="nil"/>
            </w:tcBorders>
            <w:vAlign w:val="center"/>
          </w:tcPr>
          <w:p w14:paraId="5F202F5E">
            <w:pPr>
              <w:snapToGrid w:val="0"/>
              <w:jc w:val="both"/>
              <w:rPr>
                <w:sz w:val="11"/>
                <w:szCs w:val="11"/>
                <w:highlight w:val="none"/>
              </w:rPr>
            </w:pPr>
            <w:r>
              <w:rPr>
                <w:sz w:val="11"/>
                <w:szCs w:val="11"/>
                <w:highlight w:val="none"/>
              </w:rPr>
              <w:t>[0.45,0.55)</w:t>
            </w:r>
          </w:p>
        </w:tc>
        <w:tc>
          <w:tcPr>
            <w:tcW w:w="0" w:type="auto"/>
            <w:tcBorders>
              <w:top w:val="nil"/>
              <w:left w:val="nil"/>
              <w:bottom w:val="nil"/>
              <w:right w:val="nil"/>
            </w:tcBorders>
            <w:vAlign w:val="center"/>
          </w:tcPr>
          <w:p w14:paraId="3282DD80">
            <w:pPr>
              <w:snapToGrid w:val="0"/>
              <w:jc w:val="both"/>
              <w:rPr>
                <w:sz w:val="11"/>
                <w:szCs w:val="11"/>
                <w:highlight w:val="none"/>
              </w:rPr>
            </w:pPr>
            <w:r>
              <w:rPr>
                <w:sz w:val="11"/>
                <w:szCs w:val="11"/>
                <w:highlight w:val="none"/>
              </w:rPr>
              <w:t>平衡状态</w:t>
            </w:r>
          </w:p>
        </w:tc>
        <w:tc>
          <w:tcPr>
            <w:tcW w:w="0" w:type="auto"/>
            <w:tcBorders>
              <w:top w:val="nil"/>
              <w:left w:val="nil"/>
              <w:bottom w:val="nil"/>
              <w:right w:val="nil"/>
            </w:tcBorders>
            <w:vAlign w:val="center"/>
          </w:tcPr>
          <w:p w14:paraId="5F0B6A69">
            <w:pPr>
              <w:snapToGrid w:val="0"/>
              <w:jc w:val="both"/>
              <w:rPr>
                <w:sz w:val="11"/>
                <w:szCs w:val="11"/>
                <w:highlight w:val="none"/>
              </w:rPr>
            </w:pPr>
            <w:r>
              <w:rPr>
                <w:sz w:val="11"/>
                <w:szCs w:val="11"/>
                <w:highlight w:val="none"/>
              </w:rPr>
              <w:t>[0.45,0.55)</w:t>
            </w:r>
          </w:p>
        </w:tc>
        <w:tc>
          <w:tcPr>
            <w:tcW w:w="1597" w:type="dxa"/>
            <w:tcBorders>
              <w:top w:val="nil"/>
              <w:left w:val="nil"/>
              <w:bottom w:val="nil"/>
              <w:right w:val="nil"/>
            </w:tcBorders>
            <w:vAlign w:val="center"/>
          </w:tcPr>
          <w:p w14:paraId="3ACB407C">
            <w:pPr>
              <w:snapToGrid w:val="0"/>
              <w:jc w:val="both"/>
              <w:rPr>
                <w:sz w:val="11"/>
                <w:szCs w:val="11"/>
                <w:highlight w:val="none"/>
              </w:rPr>
            </w:pPr>
            <w:r>
              <w:rPr>
                <w:sz w:val="11"/>
                <w:szCs w:val="11"/>
                <w:highlight w:val="none"/>
              </w:rPr>
              <w:t>平衡状态</w:t>
            </w:r>
          </w:p>
        </w:tc>
      </w:tr>
      <w:tr w14:paraId="1201C10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025" w:type="dxa"/>
            <w:tcBorders>
              <w:top w:val="nil"/>
              <w:left w:val="nil"/>
              <w:bottom w:val="single" w:color="auto" w:sz="4" w:space="0"/>
              <w:right w:val="nil"/>
            </w:tcBorders>
            <w:vAlign w:val="center"/>
          </w:tcPr>
          <w:p w14:paraId="7578A6D3">
            <w:pPr>
              <w:snapToGrid w:val="0"/>
              <w:jc w:val="both"/>
              <w:rPr>
                <w:sz w:val="11"/>
                <w:szCs w:val="11"/>
                <w:highlight w:val="none"/>
              </w:rPr>
            </w:pPr>
            <w:r>
              <w:rPr>
                <w:sz w:val="11"/>
                <w:szCs w:val="11"/>
                <w:highlight w:val="none"/>
              </w:rPr>
              <w:t>2:积极</w:t>
            </w:r>
          </w:p>
        </w:tc>
        <w:tc>
          <w:tcPr>
            <w:tcW w:w="1778" w:type="dxa"/>
            <w:tcBorders>
              <w:top w:val="nil"/>
              <w:left w:val="nil"/>
              <w:bottom w:val="single" w:color="auto" w:sz="4" w:space="0"/>
              <w:right w:val="nil"/>
            </w:tcBorders>
            <w:vAlign w:val="center"/>
          </w:tcPr>
          <w:p w14:paraId="0941C280">
            <w:pPr>
              <w:snapToGrid w:val="0"/>
              <w:jc w:val="both"/>
              <w:rPr>
                <w:sz w:val="11"/>
                <w:szCs w:val="11"/>
                <w:highlight w:val="none"/>
              </w:rPr>
            </w:pPr>
          </w:p>
        </w:tc>
        <w:tc>
          <w:tcPr>
            <w:tcW w:w="1251" w:type="dxa"/>
            <w:tcBorders>
              <w:top w:val="nil"/>
              <w:left w:val="nil"/>
              <w:bottom w:val="single" w:color="auto" w:sz="4" w:space="0"/>
              <w:right w:val="nil"/>
            </w:tcBorders>
            <w:vAlign w:val="center"/>
          </w:tcPr>
          <w:p w14:paraId="652344FF">
            <w:pPr>
              <w:snapToGrid w:val="0"/>
              <w:jc w:val="both"/>
              <w:rPr>
                <w:sz w:val="11"/>
                <w:szCs w:val="11"/>
                <w:highlight w:val="none"/>
              </w:rPr>
            </w:pPr>
            <w:r>
              <w:rPr>
                <w:sz w:val="11"/>
                <w:szCs w:val="11"/>
                <w:highlight w:val="none"/>
              </w:rPr>
              <w:t>[0,0.45]</w:t>
            </w:r>
          </w:p>
        </w:tc>
        <w:tc>
          <w:tcPr>
            <w:tcW w:w="1596" w:type="dxa"/>
            <w:tcBorders>
              <w:top w:val="nil"/>
              <w:left w:val="nil"/>
              <w:bottom w:val="single" w:color="auto" w:sz="4" w:space="0"/>
              <w:right w:val="nil"/>
            </w:tcBorders>
            <w:vAlign w:val="center"/>
          </w:tcPr>
          <w:p w14:paraId="421899B1">
            <w:pPr>
              <w:snapToGrid w:val="0"/>
              <w:jc w:val="both"/>
              <w:rPr>
                <w:sz w:val="11"/>
                <w:szCs w:val="11"/>
                <w:highlight w:val="none"/>
              </w:rPr>
            </w:pPr>
            <w:r>
              <w:rPr>
                <w:sz w:val="11"/>
                <w:szCs w:val="11"/>
                <w:highlight w:val="none"/>
              </w:rPr>
              <w:t>积极主导</w:t>
            </w:r>
          </w:p>
        </w:tc>
        <w:tc>
          <w:tcPr>
            <w:tcW w:w="1251" w:type="dxa"/>
            <w:tcBorders>
              <w:top w:val="nil"/>
              <w:left w:val="nil"/>
              <w:bottom w:val="single" w:color="auto" w:sz="4" w:space="0"/>
              <w:right w:val="nil"/>
            </w:tcBorders>
            <w:vAlign w:val="center"/>
          </w:tcPr>
          <w:p w14:paraId="56E70036">
            <w:pPr>
              <w:snapToGrid w:val="0"/>
              <w:jc w:val="both"/>
              <w:rPr>
                <w:sz w:val="11"/>
                <w:szCs w:val="11"/>
                <w:highlight w:val="none"/>
              </w:rPr>
            </w:pPr>
            <w:r>
              <w:rPr>
                <w:sz w:val="11"/>
                <w:szCs w:val="11"/>
                <w:highlight w:val="none"/>
              </w:rPr>
              <w:t>[0.55,1]</w:t>
            </w:r>
          </w:p>
        </w:tc>
        <w:tc>
          <w:tcPr>
            <w:tcW w:w="1597" w:type="dxa"/>
            <w:tcBorders>
              <w:top w:val="nil"/>
              <w:left w:val="nil"/>
              <w:bottom w:val="single" w:color="auto" w:sz="4" w:space="0"/>
              <w:right w:val="nil"/>
            </w:tcBorders>
            <w:vAlign w:val="center"/>
          </w:tcPr>
          <w:p w14:paraId="08659AD5">
            <w:pPr>
              <w:snapToGrid w:val="0"/>
              <w:jc w:val="both"/>
              <w:rPr>
                <w:sz w:val="11"/>
                <w:szCs w:val="11"/>
                <w:highlight w:val="none"/>
              </w:rPr>
            </w:pPr>
            <w:r>
              <w:rPr>
                <w:sz w:val="11"/>
                <w:szCs w:val="11"/>
                <w:highlight w:val="none"/>
              </w:rPr>
              <w:t>积极主导</w:t>
            </w:r>
          </w:p>
        </w:tc>
      </w:tr>
    </w:tbl>
    <w:p w14:paraId="2E0A606E">
      <w:pPr>
        <w:pStyle w:val="34"/>
        <w:bidi w:val="0"/>
        <w:ind w:left="0" w:leftChars="0" w:firstLine="420" w:firstLineChars="200"/>
        <w:rPr>
          <w:highlight w:val="none"/>
        </w:rPr>
      </w:pPr>
      <w:r>
        <w:rPr>
          <w:highlight w:val="none"/>
        </w:rPr>
        <w:t>该模型接口对</w:t>
      </w:r>
      <w:r>
        <w:rPr>
          <w:rFonts w:hint="eastAsia"/>
          <w:highlight w:val="none"/>
          <w:lang w:eastAsia="zh-CN"/>
        </w:rPr>
        <w:t>网络评论数据</w:t>
      </w:r>
      <w:r>
        <w:rPr>
          <w:highlight w:val="none"/>
        </w:rPr>
        <w:t>文本进行情感量化评估，获取情感极性、置信度、积极概率与消极概率等参数（表3），并以积极概率作为“感知倾向”的连续度量（0–1），用于表征</w:t>
      </w:r>
      <w:r>
        <w:rPr>
          <w:rFonts w:hint="eastAsia"/>
          <w:highlight w:val="none"/>
          <w:lang w:eastAsia="zh-CN"/>
        </w:rPr>
        <w:t>公众</w:t>
      </w:r>
      <w:r>
        <w:rPr>
          <w:highlight w:val="none"/>
        </w:rPr>
        <w:t>对公园要素的满意度取向。鉴于积极概率与消极概率互补（和为1），</w:t>
      </w:r>
      <w:r>
        <w:rPr>
          <w:rFonts w:hint="eastAsia"/>
          <w:highlight w:val="none"/>
          <w:lang w:eastAsia="zh-CN"/>
        </w:rPr>
        <w:t>研究</w:t>
      </w:r>
      <w:r>
        <w:rPr>
          <w:highlight w:val="none"/>
        </w:rPr>
        <w:t>统一以积极概率定义“感知倾向”，并采用阈值判别其方向（积极概率&gt;0.55为积极），同时筛选</w:t>
      </w:r>
      <w:r>
        <w:rPr>
          <w:rFonts w:hint="eastAsia"/>
          <w:highlight w:val="none"/>
          <w:lang w:val="en-US" w:eastAsia="zh-CN"/>
        </w:rPr>
        <w:t>置信度</w:t>
      </w:r>
      <w:r>
        <w:rPr>
          <w:highlight w:val="none"/>
        </w:rPr>
        <w:t>&gt;0.5的样本以降低低可信输出对测度稳定性的干扰（表4）。在此基础上，将要素层面的感知频率与感知倾向建立映射关系，为后续相关性检验、关键要素识别与供需匹配诊断提供数据基础</w:t>
      </w:r>
      <w:r>
        <w:rPr>
          <w:rStyle w:val="44"/>
          <w:rFonts w:hint="default"/>
          <w:highlight w:val="none"/>
          <w:lang w:val="en-US"/>
        </w:rPr>
        <w:fldChar w:fldCharType="begin"/>
      </w:r>
      <w:r>
        <w:instrText xml:space="preserve"> REF _Ref28059 \r \h  \* MERGEFORMAT</w:instrText>
      </w:r>
      <w:r>
        <w:rPr>
          <w:rStyle w:val="44"/>
          <w:rFonts w:hint="default"/>
          <w:highlight w:val="none"/>
          <w:lang w:val="en-US"/>
        </w:rPr>
        <w:fldChar w:fldCharType="separate"/>
      </w:r>
      <w:r>
        <w:rPr>
          <w:rStyle w:val="44"/>
          <w:rFonts w:hint="default"/>
          <w:highlight w:val="none"/>
          <w:lang w:val="en-US"/>
        </w:rPr>
        <w:t>[2</w:t>
      </w:r>
      <w:r>
        <w:rPr>
          <w:rStyle w:val="44"/>
          <w:rFonts w:hint="eastAsia"/>
          <w:highlight w:val="none"/>
          <w:lang w:val="en-US" w:eastAsia="zh-CN"/>
        </w:rPr>
        <w:t>3</w:t>
      </w:r>
      <w:r>
        <w:rPr>
          <w:rStyle w:val="44"/>
          <w:rFonts w:hint="default"/>
          <w:highlight w:val="none"/>
          <w:lang w:val="en-US"/>
        </w:rPr>
        <w:fldChar w:fldCharType="end"/>
      </w:r>
      <w:r>
        <w:rPr>
          <w:rStyle w:val="44"/>
          <w:rFonts w:hint="default"/>
          <w:highlight w:val="none"/>
          <w:lang w:val="en-US"/>
        </w:rPr>
        <w:fldChar w:fldCharType="begin"/>
      </w:r>
      <w:r>
        <w:instrText xml:space="preserve"> REF _Ref29117 \r \h  \* MERGEFORMAT</w:instrText>
      </w:r>
      <w:r>
        <w:rPr>
          <w:rStyle w:val="44"/>
          <w:rFonts w:hint="default"/>
          <w:highlight w:val="none"/>
          <w:lang w:val="en-US"/>
        </w:rPr>
        <w:fldChar w:fldCharType="separate"/>
      </w:r>
      <w:r>
        <w:rPr>
          <w:rStyle w:val="44"/>
          <w:rFonts w:hint="eastAsia"/>
          <w:highlight w:val="none"/>
          <w:lang w:val="en-US" w:eastAsia="zh-CN"/>
        </w:rPr>
        <w:t>-</w:t>
      </w:r>
      <w:r>
        <w:rPr>
          <w:rStyle w:val="44"/>
          <w:rFonts w:hint="default"/>
          <w:highlight w:val="none"/>
          <w:lang w:val="en-US"/>
        </w:rPr>
        <w:t>2</w:t>
      </w:r>
      <w:r>
        <w:rPr>
          <w:rStyle w:val="44"/>
          <w:rFonts w:hint="eastAsia"/>
          <w:highlight w:val="none"/>
          <w:lang w:val="en-US" w:eastAsia="zh-CN"/>
        </w:rPr>
        <w:t>4</w:t>
      </w:r>
      <w:r>
        <w:rPr>
          <w:rStyle w:val="44"/>
          <w:rFonts w:hint="default"/>
          <w:highlight w:val="none"/>
          <w:lang w:val="en-US"/>
        </w:rPr>
        <w:t>]</w:t>
      </w:r>
      <w:r>
        <w:rPr>
          <w:rStyle w:val="44"/>
          <w:rFonts w:hint="default"/>
          <w:highlight w:val="none"/>
          <w:lang w:val="en-US"/>
        </w:rPr>
        <w:fldChar w:fldCharType="end"/>
      </w:r>
      <w:r>
        <w:rPr>
          <w:rStyle w:val="44"/>
          <w:highlight w:val="none"/>
        </w:rPr>
        <w:t>。</w:t>
      </w:r>
    </w:p>
    <w:p w14:paraId="78185912">
      <w:pPr>
        <w:pStyle w:val="34"/>
        <w:bidi w:val="0"/>
        <w:jc w:val="center"/>
        <w:rPr>
          <w:rFonts w:hint="eastAsia"/>
          <w:highlight w:val="none"/>
          <w:lang w:val="zh-CN" w:eastAsia="zh-CN"/>
        </w:rPr>
      </w:pPr>
      <w:r>
        <w:rPr>
          <w:rFonts w:hint="eastAsia"/>
          <w:highlight w:val="none"/>
          <w:lang w:val="zh-CN" w:eastAsia="zh-CN"/>
        </w:rPr>
        <w:t>表4 CES感知种类和感知倾向数据集</w:t>
      </w:r>
    </w:p>
    <w:p w14:paraId="1E260D22">
      <w:pPr>
        <w:pStyle w:val="34"/>
        <w:bidi w:val="0"/>
        <w:jc w:val="center"/>
        <w:rPr>
          <w:rFonts w:hint="default" w:ascii="Times New Roman" w:hAnsi="Times New Roman" w:cs="Times New Roman"/>
          <w:sz w:val="21"/>
          <w:szCs w:val="21"/>
          <w:highlight w:val="none"/>
          <w:lang w:val="zh-CN" w:eastAsia="zh-CN"/>
        </w:rPr>
      </w:pPr>
      <w:r>
        <w:rPr>
          <w:rFonts w:hint="default" w:ascii="Times New Roman" w:hAnsi="Times New Roman" w:eastAsia="宋体" w:cs="Times New Roman"/>
          <w:sz w:val="21"/>
          <w:szCs w:val="21"/>
          <w:highlight w:val="none"/>
        </w:rPr>
        <w:t>Table 4 Dataset of CES Perception Categories and Perceived Tendency</w:t>
      </w:r>
    </w:p>
    <w:tbl>
      <w:tblPr>
        <w:tblStyle w:val="14"/>
        <w:tblW w:w="8495"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45" w:type="dxa"/>
          <w:left w:w="96" w:type="dxa"/>
          <w:bottom w:w="45" w:type="dxa"/>
          <w:right w:w="96" w:type="dxa"/>
        </w:tblCellMar>
      </w:tblPr>
      <w:tblGrid>
        <w:gridCol w:w="4159"/>
        <w:gridCol w:w="2986"/>
        <w:gridCol w:w="1350"/>
      </w:tblGrid>
      <w:tr w14:paraId="66DC1F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tblHeader/>
          <w:jc w:val="center"/>
        </w:trPr>
        <w:tc>
          <w:tcPr>
            <w:tcW w:w="0" w:type="auto"/>
            <w:tcBorders>
              <w:bottom w:val="single" w:color="auto" w:sz="4" w:space="0"/>
            </w:tcBorders>
            <w:vAlign w:val="center"/>
          </w:tcPr>
          <w:p w14:paraId="42DEFB97">
            <w:pPr>
              <w:snapToGrid w:val="0"/>
              <w:spacing w:line="240" w:lineRule="auto"/>
              <w:ind w:left="0" w:leftChars="0" w:right="0" w:rightChars="0" w:firstLine="0" w:firstLineChars="0"/>
              <w:jc w:val="center"/>
              <w:rPr>
                <w:rFonts w:hint="default" w:ascii="Times New Roman" w:hAnsi="Times New Roman" w:eastAsia="宋体" w:cs="Times New Roman"/>
                <w:b/>
                <w:sz w:val="15"/>
                <w:szCs w:val="15"/>
                <w:highlight w:val="none"/>
              </w:rPr>
            </w:pPr>
            <w:r>
              <w:rPr>
                <w:rFonts w:hint="default" w:ascii="Times New Roman" w:hAnsi="Times New Roman" w:eastAsia="宋体" w:cs="Times New Roman"/>
                <w:b/>
                <w:sz w:val="15"/>
                <w:szCs w:val="15"/>
                <w:highlight w:val="none"/>
              </w:rPr>
              <w:t>分句</w:t>
            </w:r>
          </w:p>
        </w:tc>
        <w:tc>
          <w:tcPr>
            <w:tcW w:w="0" w:type="auto"/>
            <w:tcBorders>
              <w:bottom w:val="single" w:color="auto" w:sz="4" w:space="0"/>
            </w:tcBorders>
            <w:vAlign w:val="center"/>
          </w:tcPr>
          <w:p w14:paraId="2E3B23F9">
            <w:pPr>
              <w:snapToGrid w:val="0"/>
              <w:spacing w:line="240" w:lineRule="auto"/>
              <w:ind w:left="0" w:leftChars="0" w:right="0" w:rightChars="0" w:firstLine="0" w:firstLineChars="0"/>
              <w:jc w:val="center"/>
              <w:rPr>
                <w:rFonts w:hint="default" w:ascii="Times New Roman" w:hAnsi="Times New Roman" w:eastAsia="宋体" w:cs="Times New Roman"/>
                <w:b/>
                <w:sz w:val="15"/>
                <w:szCs w:val="15"/>
                <w:highlight w:val="none"/>
              </w:rPr>
            </w:pPr>
            <w:r>
              <w:rPr>
                <w:rFonts w:hint="default" w:ascii="Times New Roman" w:hAnsi="Times New Roman" w:eastAsia="宋体" w:cs="Times New Roman"/>
                <w:b/>
                <w:sz w:val="15"/>
                <w:szCs w:val="15"/>
                <w:highlight w:val="none"/>
              </w:rPr>
              <w:t>评价要素</w:t>
            </w:r>
          </w:p>
        </w:tc>
        <w:tc>
          <w:tcPr>
            <w:tcW w:w="1350" w:type="dxa"/>
            <w:tcBorders>
              <w:bottom w:val="single" w:color="auto" w:sz="4" w:space="0"/>
            </w:tcBorders>
            <w:vAlign w:val="center"/>
          </w:tcPr>
          <w:p w14:paraId="269CADF2">
            <w:pPr>
              <w:snapToGrid w:val="0"/>
              <w:spacing w:line="240" w:lineRule="auto"/>
              <w:ind w:left="0" w:leftChars="0" w:right="0" w:rightChars="0" w:firstLine="0" w:firstLineChars="0"/>
              <w:jc w:val="center"/>
              <w:rPr>
                <w:rFonts w:hint="default" w:ascii="Times New Roman" w:hAnsi="Times New Roman" w:eastAsia="宋体" w:cs="Times New Roman"/>
                <w:b/>
                <w:sz w:val="15"/>
                <w:szCs w:val="15"/>
                <w:highlight w:val="none"/>
              </w:rPr>
            </w:pPr>
            <w:r>
              <w:rPr>
                <w:rFonts w:hint="default" w:ascii="Times New Roman" w:hAnsi="Times New Roman" w:eastAsia="宋体" w:cs="Times New Roman"/>
                <w:b/>
                <w:sz w:val="15"/>
                <w:szCs w:val="15"/>
                <w:highlight w:val="none"/>
              </w:rPr>
              <w:t>感知倾向</w:t>
            </w:r>
          </w:p>
        </w:tc>
      </w:tr>
      <w:tr w14:paraId="09BA87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0" w:type="auto"/>
            <w:tcBorders>
              <w:top w:val="single" w:color="auto" w:sz="4" w:space="0"/>
            </w:tcBorders>
            <w:vAlign w:val="center"/>
          </w:tcPr>
          <w:p w14:paraId="5F42FF2B">
            <w:pPr>
              <w:snapToGrid w:val="0"/>
              <w:spacing w:line="240" w:lineRule="auto"/>
              <w:ind w:left="0" w:leftChars="0" w:right="0" w:rightChars="0" w:firstLine="0" w:firstLineChars="0"/>
              <w:jc w:val="center"/>
              <w:rPr>
                <w:rFonts w:hint="default" w:ascii="Times New Roman" w:hAnsi="Times New Roman" w:eastAsia="宋体" w:cs="Times New Roman"/>
                <w:sz w:val="15"/>
                <w:szCs w:val="15"/>
                <w:highlight w:val="none"/>
              </w:rPr>
            </w:pPr>
            <w:r>
              <w:rPr>
                <w:rFonts w:hint="default" w:ascii="Times New Roman" w:hAnsi="Times New Roman" w:eastAsia="宋体" w:cs="Times New Roman"/>
                <w:sz w:val="15"/>
                <w:szCs w:val="15"/>
                <w:highlight w:val="none"/>
              </w:rPr>
              <w:t>古建筑修缮精美，展现岭南园林特色</w:t>
            </w:r>
          </w:p>
        </w:tc>
        <w:tc>
          <w:tcPr>
            <w:tcW w:w="0" w:type="auto"/>
            <w:tcBorders>
              <w:top w:val="single" w:color="auto" w:sz="4" w:space="0"/>
            </w:tcBorders>
            <w:vAlign w:val="center"/>
          </w:tcPr>
          <w:p w14:paraId="081499DA">
            <w:pPr>
              <w:snapToGrid w:val="0"/>
              <w:spacing w:line="240" w:lineRule="auto"/>
              <w:ind w:left="0" w:leftChars="0" w:right="0" w:rightChars="0" w:firstLine="0" w:firstLineChars="0"/>
              <w:jc w:val="center"/>
              <w:rPr>
                <w:rFonts w:hint="default" w:ascii="Times New Roman" w:hAnsi="Times New Roman" w:eastAsia="宋体" w:cs="Times New Roman"/>
                <w:sz w:val="15"/>
                <w:szCs w:val="15"/>
                <w:highlight w:val="none"/>
              </w:rPr>
            </w:pPr>
            <w:r>
              <w:rPr>
                <w:rFonts w:hint="default" w:ascii="Times New Roman" w:hAnsi="Times New Roman" w:eastAsia="宋体" w:cs="Times New Roman"/>
                <w:sz w:val="15"/>
                <w:szCs w:val="15"/>
                <w:highlight w:val="none"/>
              </w:rPr>
              <w:t>文化遗产服务</w:t>
            </w:r>
          </w:p>
        </w:tc>
        <w:tc>
          <w:tcPr>
            <w:tcW w:w="1350" w:type="dxa"/>
            <w:tcBorders>
              <w:top w:val="single" w:color="auto" w:sz="4" w:space="0"/>
            </w:tcBorders>
            <w:vAlign w:val="center"/>
          </w:tcPr>
          <w:p w14:paraId="4AD68AC0">
            <w:pPr>
              <w:snapToGrid w:val="0"/>
              <w:spacing w:line="240" w:lineRule="auto"/>
              <w:ind w:left="0" w:leftChars="0" w:right="0" w:rightChars="0" w:firstLine="0" w:firstLineChars="0"/>
              <w:jc w:val="center"/>
              <w:rPr>
                <w:rFonts w:hint="default" w:ascii="Times New Roman" w:hAnsi="Times New Roman" w:eastAsia="宋体" w:cs="Times New Roman"/>
                <w:sz w:val="15"/>
                <w:szCs w:val="15"/>
                <w:highlight w:val="none"/>
              </w:rPr>
            </w:pPr>
            <w:r>
              <w:rPr>
                <w:rFonts w:hint="default" w:ascii="Times New Roman" w:hAnsi="Times New Roman" w:eastAsia="宋体" w:cs="Times New Roman"/>
                <w:sz w:val="15"/>
                <w:szCs w:val="15"/>
                <w:highlight w:val="none"/>
              </w:rPr>
              <w:t>0.997</w:t>
            </w:r>
          </w:p>
        </w:tc>
      </w:tr>
      <w:tr w14:paraId="0F9D0A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0" w:type="auto"/>
            <w:vAlign w:val="center"/>
          </w:tcPr>
          <w:p w14:paraId="2667FAB0">
            <w:pPr>
              <w:snapToGrid w:val="0"/>
              <w:spacing w:line="240" w:lineRule="auto"/>
              <w:ind w:left="0" w:leftChars="0" w:right="0" w:rightChars="0" w:firstLine="0" w:firstLineChars="0"/>
              <w:jc w:val="center"/>
              <w:rPr>
                <w:rFonts w:hint="default" w:ascii="Times New Roman" w:hAnsi="Times New Roman" w:eastAsia="宋体" w:cs="Times New Roman"/>
                <w:sz w:val="15"/>
                <w:szCs w:val="15"/>
                <w:highlight w:val="none"/>
              </w:rPr>
            </w:pPr>
            <w:r>
              <w:rPr>
                <w:rFonts w:hint="default" w:ascii="Times New Roman" w:hAnsi="Times New Roman" w:eastAsia="宋体" w:cs="Times New Roman"/>
                <w:sz w:val="15"/>
                <w:szCs w:val="15"/>
                <w:highlight w:val="none"/>
              </w:rPr>
              <w:t>但解说标识模糊影响参观体验</w:t>
            </w:r>
          </w:p>
        </w:tc>
        <w:tc>
          <w:tcPr>
            <w:tcW w:w="0" w:type="auto"/>
            <w:vAlign w:val="center"/>
          </w:tcPr>
          <w:p w14:paraId="272EA49B">
            <w:pPr>
              <w:snapToGrid w:val="0"/>
              <w:spacing w:line="240" w:lineRule="auto"/>
              <w:ind w:left="0" w:leftChars="0" w:right="0" w:rightChars="0" w:firstLine="0" w:firstLineChars="0"/>
              <w:jc w:val="center"/>
              <w:rPr>
                <w:rFonts w:hint="default" w:ascii="Times New Roman" w:hAnsi="Times New Roman" w:eastAsia="宋体" w:cs="Times New Roman"/>
                <w:sz w:val="15"/>
                <w:szCs w:val="15"/>
                <w:highlight w:val="none"/>
              </w:rPr>
            </w:pPr>
            <w:r>
              <w:rPr>
                <w:rFonts w:hint="default" w:ascii="Times New Roman" w:hAnsi="Times New Roman" w:eastAsia="宋体" w:cs="Times New Roman"/>
                <w:sz w:val="15"/>
                <w:szCs w:val="15"/>
                <w:highlight w:val="none"/>
              </w:rPr>
              <w:t>游憩与教育服务</w:t>
            </w:r>
          </w:p>
        </w:tc>
        <w:tc>
          <w:tcPr>
            <w:tcW w:w="1350" w:type="dxa"/>
            <w:vAlign w:val="center"/>
          </w:tcPr>
          <w:p w14:paraId="7BE5120D">
            <w:pPr>
              <w:snapToGrid w:val="0"/>
              <w:spacing w:line="240" w:lineRule="auto"/>
              <w:ind w:left="0" w:leftChars="0" w:right="0" w:rightChars="0" w:firstLine="0" w:firstLineChars="0"/>
              <w:jc w:val="center"/>
              <w:rPr>
                <w:rFonts w:hint="default" w:ascii="Times New Roman" w:hAnsi="Times New Roman" w:eastAsia="宋体" w:cs="Times New Roman"/>
                <w:sz w:val="15"/>
                <w:szCs w:val="15"/>
                <w:highlight w:val="none"/>
              </w:rPr>
            </w:pPr>
            <w:r>
              <w:rPr>
                <w:rFonts w:hint="default" w:ascii="Times New Roman" w:hAnsi="Times New Roman" w:eastAsia="宋体" w:cs="Times New Roman"/>
                <w:sz w:val="15"/>
                <w:szCs w:val="15"/>
                <w:highlight w:val="none"/>
              </w:rPr>
              <w:t>0.192</w:t>
            </w:r>
          </w:p>
        </w:tc>
      </w:tr>
      <w:tr w14:paraId="541102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0" w:type="auto"/>
            <w:vAlign w:val="center"/>
          </w:tcPr>
          <w:p w14:paraId="38A94022">
            <w:pPr>
              <w:snapToGrid w:val="0"/>
              <w:spacing w:line="240" w:lineRule="auto"/>
              <w:ind w:left="0" w:leftChars="0" w:right="0" w:rightChars="0" w:firstLine="0" w:firstLineChars="0"/>
              <w:jc w:val="center"/>
              <w:rPr>
                <w:rFonts w:hint="default" w:ascii="Times New Roman" w:hAnsi="Times New Roman" w:eastAsia="宋体" w:cs="Times New Roman"/>
                <w:sz w:val="15"/>
                <w:szCs w:val="15"/>
                <w:highlight w:val="none"/>
              </w:rPr>
            </w:pPr>
            <w:r>
              <w:rPr>
                <w:rFonts w:hint="default" w:ascii="Times New Roman" w:hAnsi="Times New Roman" w:eastAsia="宋体" w:cs="Times New Roman"/>
                <w:sz w:val="15"/>
                <w:szCs w:val="15"/>
                <w:highlight w:val="none"/>
              </w:rPr>
              <w:t>湖面面积超大，生态湿地令人陶醉</w:t>
            </w:r>
          </w:p>
        </w:tc>
        <w:tc>
          <w:tcPr>
            <w:tcW w:w="0" w:type="auto"/>
            <w:vAlign w:val="center"/>
          </w:tcPr>
          <w:p w14:paraId="38B8C0A3">
            <w:pPr>
              <w:snapToGrid w:val="0"/>
              <w:spacing w:line="240" w:lineRule="auto"/>
              <w:ind w:left="0" w:leftChars="0" w:right="0" w:rightChars="0" w:firstLine="0" w:firstLineChars="0"/>
              <w:jc w:val="center"/>
              <w:rPr>
                <w:rFonts w:hint="default" w:ascii="Times New Roman" w:hAnsi="Times New Roman" w:eastAsia="宋体" w:cs="Times New Roman"/>
                <w:sz w:val="15"/>
                <w:szCs w:val="15"/>
                <w:highlight w:val="none"/>
              </w:rPr>
            </w:pPr>
            <w:commentRangeStart w:id="10"/>
            <w:r>
              <w:rPr>
                <w:highlight w:val="yellow"/>
              </w:rPr>
              <w:t>环境与游憩适宜度服务</w:t>
            </w:r>
            <w:commentRangeEnd w:id="10"/>
            <w:r>
              <w:rPr>
                <w:rStyle w:val="CommentReference"/>
              </w:rPr>
              <w:commentReference w:id="10"/>
            </w:r>
          </w:p>
        </w:tc>
        <w:tc>
          <w:tcPr>
            <w:tcW w:w="1350" w:type="dxa"/>
            <w:vAlign w:val="center"/>
          </w:tcPr>
          <w:p w14:paraId="01B47D65">
            <w:pPr>
              <w:snapToGrid w:val="0"/>
              <w:spacing w:line="240" w:lineRule="auto"/>
              <w:ind w:left="0" w:leftChars="0" w:right="0" w:rightChars="0" w:firstLine="0" w:firstLineChars="0"/>
              <w:jc w:val="center"/>
              <w:rPr>
                <w:rFonts w:hint="default" w:ascii="Times New Roman" w:hAnsi="Times New Roman" w:eastAsia="宋体" w:cs="Times New Roman"/>
                <w:sz w:val="15"/>
                <w:szCs w:val="15"/>
                <w:highlight w:val="none"/>
              </w:rPr>
            </w:pPr>
            <w:r>
              <w:rPr>
                <w:rFonts w:hint="default" w:ascii="Times New Roman" w:hAnsi="Times New Roman" w:eastAsia="宋体" w:cs="Times New Roman"/>
                <w:sz w:val="15"/>
                <w:szCs w:val="15"/>
                <w:highlight w:val="none"/>
              </w:rPr>
              <w:t>0.991</w:t>
            </w:r>
          </w:p>
        </w:tc>
      </w:tr>
      <w:tr w14:paraId="235263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0" w:type="auto"/>
            <w:vAlign w:val="center"/>
          </w:tcPr>
          <w:p w14:paraId="781E65A0">
            <w:pPr>
              <w:snapToGrid w:val="0"/>
              <w:spacing w:line="240" w:lineRule="auto"/>
              <w:ind w:left="0" w:leftChars="0" w:right="0" w:rightChars="0" w:firstLine="0" w:firstLineChars="0"/>
              <w:jc w:val="center"/>
              <w:rPr>
                <w:rFonts w:hint="default" w:ascii="Times New Roman" w:hAnsi="Times New Roman" w:eastAsia="宋体" w:cs="Times New Roman"/>
                <w:sz w:val="15"/>
                <w:szCs w:val="15"/>
                <w:highlight w:val="none"/>
              </w:rPr>
            </w:pPr>
            <w:r>
              <w:rPr>
                <w:rFonts w:hint="default" w:ascii="Times New Roman" w:hAnsi="Times New Roman" w:eastAsia="宋体" w:cs="Times New Roman"/>
                <w:sz w:val="15"/>
                <w:szCs w:val="15"/>
                <w:highlight w:val="none"/>
              </w:rPr>
              <w:t>步行道维护欠佳存在安全隐患</w:t>
            </w:r>
          </w:p>
        </w:tc>
        <w:tc>
          <w:tcPr>
            <w:tcW w:w="0" w:type="auto"/>
            <w:vAlign w:val="center"/>
          </w:tcPr>
          <w:p w14:paraId="7882EC55">
            <w:pPr>
              <w:snapToGrid w:val="0"/>
              <w:spacing w:line="240" w:lineRule="auto"/>
              <w:ind w:left="0" w:leftChars="0" w:right="0" w:rightChars="0" w:firstLine="0" w:firstLineChars="0"/>
              <w:jc w:val="center"/>
              <w:rPr>
                <w:rFonts w:hint="default" w:ascii="Times New Roman" w:hAnsi="Times New Roman" w:eastAsia="宋体" w:cs="Times New Roman"/>
                <w:sz w:val="15"/>
                <w:szCs w:val="15"/>
                <w:highlight w:val="none"/>
              </w:rPr>
            </w:pPr>
            <w:r>
              <w:rPr>
                <w:rFonts w:hint="default" w:ascii="Times New Roman" w:hAnsi="Times New Roman" w:eastAsia="宋体" w:cs="Times New Roman"/>
                <w:sz w:val="15"/>
                <w:szCs w:val="15"/>
                <w:highlight w:val="none"/>
              </w:rPr>
              <w:t>可达性与保障服务</w:t>
            </w:r>
          </w:p>
        </w:tc>
        <w:tc>
          <w:tcPr>
            <w:tcW w:w="1350" w:type="dxa"/>
            <w:vAlign w:val="center"/>
          </w:tcPr>
          <w:p w14:paraId="42093251">
            <w:pPr>
              <w:snapToGrid w:val="0"/>
              <w:spacing w:line="240" w:lineRule="auto"/>
              <w:ind w:left="0" w:leftChars="0" w:right="0" w:rightChars="0" w:firstLine="0" w:firstLineChars="0"/>
              <w:jc w:val="center"/>
              <w:rPr>
                <w:rFonts w:hint="default" w:ascii="Times New Roman" w:hAnsi="Times New Roman" w:eastAsia="宋体" w:cs="Times New Roman"/>
                <w:sz w:val="15"/>
                <w:szCs w:val="15"/>
                <w:highlight w:val="none"/>
              </w:rPr>
            </w:pPr>
            <w:r>
              <w:rPr>
                <w:rFonts w:hint="default" w:ascii="Times New Roman" w:hAnsi="Times New Roman" w:eastAsia="宋体" w:cs="Times New Roman"/>
                <w:sz w:val="15"/>
                <w:szCs w:val="15"/>
                <w:highlight w:val="none"/>
              </w:rPr>
              <w:t>0.085</w:t>
            </w:r>
          </w:p>
        </w:tc>
      </w:tr>
      <w:tr w14:paraId="4D99F4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0" w:type="auto"/>
            <w:vAlign w:val="center"/>
          </w:tcPr>
          <w:p w14:paraId="1DF8D617">
            <w:pPr>
              <w:snapToGrid w:val="0"/>
              <w:spacing w:line="240" w:lineRule="auto"/>
              <w:ind w:left="0" w:leftChars="0" w:right="0" w:rightChars="0" w:firstLine="0" w:firstLineChars="0"/>
              <w:jc w:val="center"/>
              <w:rPr>
                <w:rFonts w:hint="default" w:ascii="Times New Roman" w:hAnsi="Times New Roman" w:eastAsia="宋体" w:cs="Times New Roman"/>
                <w:sz w:val="15"/>
                <w:szCs w:val="15"/>
                <w:highlight w:val="none"/>
              </w:rPr>
            </w:pPr>
            <w:r>
              <w:rPr>
                <w:rFonts w:hint="default" w:ascii="Times New Roman" w:hAnsi="Times New Roman" w:eastAsia="宋体" w:cs="Times New Roman"/>
                <w:sz w:val="15"/>
                <w:szCs w:val="15"/>
                <w:highlight w:val="none"/>
              </w:rPr>
              <w:t>儿童游乐区设备新颖，亲子互动性强</w:t>
            </w:r>
          </w:p>
        </w:tc>
        <w:tc>
          <w:tcPr>
            <w:tcW w:w="0" w:type="auto"/>
            <w:vAlign w:val="center"/>
          </w:tcPr>
          <w:p w14:paraId="5CD30C35">
            <w:pPr>
              <w:snapToGrid w:val="0"/>
              <w:spacing w:line="240" w:lineRule="auto"/>
              <w:ind w:left="0" w:leftChars="0" w:right="0" w:rightChars="0" w:firstLine="0" w:firstLineChars="0"/>
              <w:jc w:val="center"/>
              <w:rPr>
                <w:rFonts w:hint="default" w:ascii="Times New Roman" w:hAnsi="Times New Roman" w:eastAsia="宋体" w:cs="Times New Roman"/>
                <w:sz w:val="15"/>
                <w:szCs w:val="15"/>
                <w:highlight w:val="none"/>
              </w:rPr>
            </w:pPr>
            <w:r>
              <w:rPr>
                <w:rFonts w:hint="default" w:ascii="Times New Roman" w:hAnsi="Times New Roman" w:eastAsia="宋体" w:cs="Times New Roman"/>
                <w:sz w:val="15"/>
                <w:szCs w:val="15"/>
                <w:highlight w:val="none"/>
              </w:rPr>
              <w:t>游憩与教育服务</w:t>
            </w:r>
          </w:p>
        </w:tc>
        <w:tc>
          <w:tcPr>
            <w:tcW w:w="1350" w:type="dxa"/>
            <w:vAlign w:val="center"/>
          </w:tcPr>
          <w:p w14:paraId="543CF8DD">
            <w:pPr>
              <w:snapToGrid w:val="0"/>
              <w:spacing w:line="240" w:lineRule="auto"/>
              <w:ind w:left="0" w:leftChars="0" w:right="0" w:rightChars="0" w:firstLine="0" w:firstLineChars="0"/>
              <w:jc w:val="center"/>
              <w:rPr>
                <w:rFonts w:hint="default" w:ascii="Times New Roman" w:hAnsi="Times New Roman" w:eastAsia="宋体" w:cs="Times New Roman"/>
                <w:sz w:val="15"/>
                <w:szCs w:val="15"/>
                <w:highlight w:val="none"/>
              </w:rPr>
            </w:pPr>
            <w:r>
              <w:rPr>
                <w:rFonts w:hint="default" w:ascii="Times New Roman" w:hAnsi="Times New Roman" w:eastAsia="宋体" w:cs="Times New Roman"/>
                <w:sz w:val="15"/>
                <w:szCs w:val="15"/>
                <w:highlight w:val="none"/>
              </w:rPr>
              <w:t>0.978</w:t>
            </w:r>
          </w:p>
        </w:tc>
      </w:tr>
      <w:tr w14:paraId="7C0CD4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0" w:hRule="atLeast"/>
          <w:jc w:val="center"/>
        </w:trPr>
        <w:tc>
          <w:tcPr>
            <w:tcW w:w="0" w:type="auto"/>
            <w:vAlign w:val="center"/>
          </w:tcPr>
          <w:p w14:paraId="39B66F18">
            <w:pPr>
              <w:snapToGrid w:val="0"/>
              <w:spacing w:line="240" w:lineRule="auto"/>
              <w:ind w:left="0" w:leftChars="0" w:right="0" w:rightChars="0" w:firstLine="0" w:firstLineChars="0"/>
              <w:jc w:val="center"/>
              <w:rPr>
                <w:rFonts w:hint="default" w:ascii="Times New Roman" w:hAnsi="Times New Roman" w:eastAsia="宋体" w:cs="Times New Roman"/>
                <w:sz w:val="15"/>
                <w:szCs w:val="15"/>
                <w:highlight w:val="none"/>
              </w:rPr>
            </w:pPr>
            <w:r>
              <w:rPr>
                <w:rFonts w:hint="default" w:ascii="Times New Roman" w:hAnsi="Times New Roman" w:eastAsia="宋体" w:cs="Times New Roman"/>
                <w:sz w:val="15"/>
                <w:szCs w:val="15"/>
                <w:highlight w:val="none"/>
              </w:rPr>
              <w:t>高峰时段卫生间排队超过15分钟</w:t>
            </w:r>
          </w:p>
        </w:tc>
        <w:tc>
          <w:tcPr>
            <w:tcW w:w="0" w:type="auto"/>
            <w:vAlign w:val="center"/>
          </w:tcPr>
          <w:p w14:paraId="48469C2B">
            <w:pPr>
              <w:snapToGrid w:val="0"/>
              <w:spacing w:line="240" w:lineRule="auto"/>
              <w:ind w:left="0" w:leftChars="0" w:right="0" w:rightChars="0" w:firstLine="0" w:firstLineChars="0"/>
              <w:jc w:val="center"/>
              <w:rPr>
                <w:rFonts w:hint="default" w:ascii="Times New Roman" w:hAnsi="Times New Roman" w:eastAsia="宋体" w:cs="Times New Roman"/>
                <w:sz w:val="15"/>
                <w:szCs w:val="15"/>
                <w:highlight w:val="none"/>
              </w:rPr>
            </w:pPr>
            <w:r>
              <w:rPr>
                <w:rFonts w:hint="default" w:ascii="Times New Roman" w:hAnsi="Times New Roman" w:eastAsia="宋体" w:cs="Times New Roman"/>
                <w:sz w:val="15"/>
                <w:szCs w:val="15"/>
                <w:highlight w:val="none"/>
              </w:rPr>
              <w:t>可达性与保障服务</w:t>
            </w:r>
          </w:p>
        </w:tc>
        <w:tc>
          <w:tcPr>
            <w:tcW w:w="1350" w:type="dxa"/>
            <w:vAlign w:val="center"/>
          </w:tcPr>
          <w:p w14:paraId="5E9AE4AD">
            <w:pPr>
              <w:snapToGrid w:val="0"/>
              <w:spacing w:line="240" w:lineRule="auto"/>
              <w:ind w:left="0" w:leftChars="0" w:right="0" w:rightChars="0" w:firstLine="0" w:firstLineChars="0"/>
              <w:jc w:val="center"/>
              <w:rPr>
                <w:rFonts w:hint="default" w:ascii="Times New Roman" w:hAnsi="Times New Roman" w:eastAsia="宋体" w:cs="Times New Roman"/>
                <w:sz w:val="15"/>
                <w:szCs w:val="15"/>
                <w:highlight w:val="none"/>
              </w:rPr>
            </w:pPr>
            <w:r>
              <w:rPr>
                <w:rFonts w:hint="default" w:ascii="Times New Roman" w:hAnsi="Times New Roman" w:eastAsia="宋体" w:cs="Times New Roman"/>
                <w:sz w:val="15"/>
                <w:szCs w:val="15"/>
                <w:highlight w:val="none"/>
              </w:rPr>
              <w:t>0.102</w:t>
            </w:r>
          </w:p>
        </w:tc>
      </w:tr>
      <w:tr w14:paraId="36EBCB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0" w:type="auto"/>
            <w:vAlign w:val="center"/>
          </w:tcPr>
          <w:p w14:paraId="52CCB353">
            <w:pPr>
              <w:snapToGrid w:val="0"/>
              <w:spacing w:line="240" w:lineRule="auto"/>
              <w:ind w:left="0" w:leftChars="0" w:right="0" w:rightChars="0" w:firstLine="0" w:firstLineChars="0"/>
              <w:jc w:val="center"/>
              <w:rPr>
                <w:rFonts w:hint="default" w:ascii="Times New Roman" w:hAnsi="Times New Roman" w:eastAsia="宋体" w:cs="Times New Roman"/>
                <w:sz w:val="15"/>
                <w:szCs w:val="15"/>
                <w:highlight w:val="none"/>
              </w:rPr>
            </w:pPr>
            <w:r>
              <w:rPr>
                <w:rFonts w:hint="default" w:ascii="Times New Roman" w:hAnsi="Times New Roman" w:eastAsia="宋体" w:cs="Times New Roman"/>
                <w:sz w:val="15"/>
                <w:szCs w:val="15"/>
                <w:highlight w:val="none"/>
              </w:rPr>
              <w:t>紫花风铃木林，视觉效果震撼</w:t>
            </w:r>
          </w:p>
        </w:tc>
        <w:tc>
          <w:tcPr>
            <w:tcW w:w="0" w:type="auto"/>
            <w:vAlign w:val="center"/>
          </w:tcPr>
          <w:p w14:paraId="4FB8A1AE">
            <w:pPr>
              <w:snapToGrid w:val="0"/>
              <w:spacing w:line="240" w:lineRule="auto"/>
              <w:ind w:left="0" w:leftChars="0" w:right="0" w:rightChars="0" w:firstLine="0" w:firstLineChars="0"/>
              <w:jc w:val="center"/>
              <w:rPr>
                <w:rFonts w:hint="default" w:ascii="Times New Roman" w:hAnsi="Times New Roman" w:eastAsia="宋体" w:cs="Times New Roman"/>
                <w:sz w:val="15"/>
                <w:szCs w:val="15"/>
                <w:highlight w:val="none"/>
              </w:rPr>
            </w:pPr>
            <w:r>
              <w:rPr>
                <w:rFonts w:hint="default" w:ascii="Times New Roman" w:hAnsi="Times New Roman" w:eastAsia="宋体" w:cs="Times New Roman"/>
                <w:sz w:val="15"/>
                <w:szCs w:val="15"/>
                <w:highlight w:val="none"/>
              </w:rPr>
              <w:t>美学景观服务</w:t>
            </w:r>
          </w:p>
        </w:tc>
        <w:tc>
          <w:tcPr>
            <w:tcW w:w="1350" w:type="dxa"/>
            <w:vAlign w:val="center"/>
          </w:tcPr>
          <w:p w14:paraId="6505893B">
            <w:pPr>
              <w:snapToGrid w:val="0"/>
              <w:spacing w:line="240" w:lineRule="auto"/>
              <w:ind w:left="0" w:leftChars="0" w:right="0" w:rightChars="0" w:firstLine="0" w:firstLineChars="0"/>
              <w:jc w:val="center"/>
              <w:rPr>
                <w:rFonts w:hint="default" w:ascii="Times New Roman" w:hAnsi="Times New Roman" w:eastAsia="宋体" w:cs="Times New Roman"/>
                <w:sz w:val="15"/>
                <w:szCs w:val="15"/>
                <w:highlight w:val="none"/>
              </w:rPr>
            </w:pPr>
            <w:r>
              <w:rPr>
                <w:rFonts w:hint="default" w:ascii="Times New Roman" w:hAnsi="Times New Roman" w:eastAsia="宋体" w:cs="Times New Roman"/>
                <w:sz w:val="15"/>
                <w:szCs w:val="15"/>
                <w:highlight w:val="none"/>
              </w:rPr>
              <w:t>0.994</w:t>
            </w:r>
          </w:p>
        </w:tc>
      </w:tr>
      <w:tr w14:paraId="0A52F3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4159" w:type="dxa"/>
            <w:tcBorders>
              <w:bottom w:val="single" w:color="auto" w:sz="4" w:space="0"/>
            </w:tcBorders>
            <w:vAlign w:val="center"/>
          </w:tcPr>
          <w:p w14:paraId="09E711C9">
            <w:pPr>
              <w:snapToGrid w:val="0"/>
              <w:spacing w:line="240" w:lineRule="auto"/>
              <w:ind w:left="0" w:leftChars="0" w:right="0" w:rightChars="0" w:firstLine="0" w:firstLineChars="0"/>
              <w:jc w:val="center"/>
              <w:rPr>
                <w:rFonts w:hint="default" w:ascii="Times New Roman" w:hAnsi="Times New Roman" w:eastAsia="宋体" w:cs="Times New Roman"/>
                <w:sz w:val="15"/>
                <w:szCs w:val="15"/>
                <w:highlight w:val="none"/>
              </w:rPr>
            </w:pPr>
            <w:r>
              <w:rPr>
                <w:rFonts w:hint="default" w:ascii="Times New Roman" w:hAnsi="Times New Roman" w:eastAsia="宋体" w:cs="Times New Roman"/>
                <w:sz w:val="15"/>
                <w:szCs w:val="15"/>
                <w:highlight w:val="none"/>
              </w:rPr>
              <w:t>停车场距离入口超过800m不便</w:t>
            </w:r>
          </w:p>
        </w:tc>
        <w:tc>
          <w:tcPr>
            <w:tcW w:w="2986" w:type="dxa"/>
            <w:tcBorders>
              <w:bottom w:val="single" w:color="auto" w:sz="4" w:space="0"/>
            </w:tcBorders>
            <w:vAlign w:val="center"/>
          </w:tcPr>
          <w:p w14:paraId="71254BF8">
            <w:pPr>
              <w:snapToGrid w:val="0"/>
              <w:spacing w:line="240" w:lineRule="auto"/>
              <w:ind w:left="0" w:leftChars="0" w:right="0" w:rightChars="0" w:firstLine="0" w:firstLineChars="0"/>
              <w:jc w:val="center"/>
              <w:rPr>
                <w:rFonts w:hint="default" w:ascii="Times New Roman" w:hAnsi="Times New Roman" w:eastAsia="宋体" w:cs="Times New Roman"/>
                <w:sz w:val="15"/>
                <w:szCs w:val="15"/>
                <w:highlight w:val="none"/>
              </w:rPr>
            </w:pPr>
            <w:r>
              <w:rPr>
                <w:rFonts w:hint="default" w:ascii="Times New Roman" w:hAnsi="Times New Roman" w:eastAsia="宋体" w:cs="Times New Roman"/>
                <w:sz w:val="15"/>
                <w:szCs w:val="15"/>
                <w:highlight w:val="none"/>
              </w:rPr>
              <w:t>可达性与保障服务</w:t>
            </w:r>
          </w:p>
        </w:tc>
        <w:tc>
          <w:tcPr>
            <w:tcW w:w="1350" w:type="dxa"/>
            <w:tcBorders>
              <w:bottom w:val="single" w:color="auto" w:sz="4" w:space="0"/>
            </w:tcBorders>
            <w:vAlign w:val="center"/>
          </w:tcPr>
          <w:p w14:paraId="67FE49C4">
            <w:pPr>
              <w:snapToGrid w:val="0"/>
              <w:spacing w:line="240" w:lineRule="auto"/>
              <w:ind w:left="0" w:leftChars="0" w:right="0" w:rightChars="0" w:firstLine="0" w:firstLineChars="0"/>
              <w:jc w:val="center"/>
              <w:rPr>
                <w:rFonts w:hint="default" w:ascii="Times New Roman" w:hAnsi="Times New Roman" w:eastAsia="宋体" w:cs="Times New Roman"/>
                <w:sz w:val="15"/>
                <w:szCs w:val="15"/>
                <w:highlight w:val="none"/>
              </w:rPr>
            </w:pPr>
            <w:r>
              <w:rPr>
                <w:rFonts w:hint="default" w:ascii="Times New Roman" w:hAnsi="Times New Roman" w:eastAsia="宋体" w:cs="Times New Roman"/>
                <w:sz w:val="15"/>
                <w:szCs w:val="15"/>
                <w:highlight w:val="none"/>
              </w:rPr>
              <w:t>0.203</w:t>
            </w:r>
          </w:p>
        </w:tc>
      </w:tr>
    </w:tbl>
    <w:p w14:paraId="779E4EFA">
      <w:pPr>
        <w:pStyle w:val="33"/>
        <w:bidi w:val="0"/>
        <w:rPr>
          <w:rFonts w:hint="eastAsia"/>
          <w:highlight w:val="none"/>
          <w:lang w:val="en-US" w:eastAsia="zh-CN"/>
        </w:rPr>
      </w:pPr>
      <w:r>
        <w:rPr>
          <w:rFonts w:hint="eastAsia"/>
          <w:highlight w:val="none"/>
          <w:lang w:val="en-US" w:eastAsia="zh-CN"/>
        </w:rPr>
        <w:t>1.3.2  基于大模型辅助识别的感知频率提取</w:t>
      </w:r>
    </w:p>
    <w:p w14:paraId="283748C6">
      <w:pPr>
        <w:pStyle w:val="34"/>
        <w:bidi w:val="0"/>
        <w:rPr>
          <w:highlight w:val="none"/>
        </w:rPr>
      </w:pPr>
      <w:r>
        <w:rPr>
          <w:highlight w:val="none"/>
        </w:rPr>
        <w:t>考虑到</w:t>
      </w:r>
      <w:r>
        <w:rPr>
          <w:rFonts w:hint="eastAsia"/>
          <w:highlight w:val="none"/>
        </w:rPr>
        <w:t>网络评论数据</w:t>
      </w:r>
      <w:r>
        <w:rPr>
          <w:highlight w:val="none"/>
        </w:rPr>
        <w:t>具有口语化、碎片化及隐喻反讽等特征，单一模型在跨场景识别中可能出现鲁棒性下降。为提高CES</w:t>
      </w:r>
      <w:r>
        <w:rPr>
          <w:highlight w:val="none"/>
        </w:rPr>
        <w:t>要素识别的稳定性，既有研究表明，大语言模型能够用于情感分类、方面级情感分析与主观文本分析，并在少样本条件下具有处理标注资源不足问题的潜力；同时，ChatGPT等模型已被应用于旅游评论挖掘、主题识别和IPA诊断</w:t>
      </w:r>
      <w:r>
        <w:rPr>
          <w:rStyle w:val="44"/>
          <w:rFonts w:hint="default"/>
          <w:highlight w:val="none"/>
          <w:lang w:val="en-US"/>
        </w:rPr>
        <w:fldChar w:fldCharType="begin"/>
      </w:r>
      <w:r>
        <w:instrText xml:space="preserve"> REF _Ref8401 \r \h  \* MERGEFORMAT</w:instrText>
      </w:r>
      <w:r>
        <w:rPr>
          <w:rStyle w:val="44"/>
          <w:rFonts w:hint="default"/>
          <w:highlight w:val="none"/>
          <w:lang w:val="en-US"/>
        </w:rPr>
        <w:fldChar w:fldCharType="separate"/>
      </w:r>
      <w:r>
        <w:rPr>
          <w:rStyle w:val="44"/>
          <w:rFonts w:hint="default"/>
          <w:highlight w:val="none"/>
          <w:lang w:val="en-US"/>
        </w:rPr>
        <w:t>[25]</w:t>
      </w:r>
      <w:r>
        <w:rPr>
          <w:rStyle w:val="44"/>
          <w:rFonts w:hint="default"/>
          <w:highlight w:val="none"/>
          <w:lang w:val="en-US"/>
        </w:rPr>
        <w:fldChar w:fldCharType="end"/>
      </w:r>
      <w:r>
        <w:rPr>
          <w:highlight w:val="none"/>
        </w:rPr>
        <w:t>，为网络评论中的语义归类与评价归因提供了方法参考</w:t>
      </w:r>
      <w:r>
        <w:rPr>
          <w:highlight w:val="none"/>
          <w:lang w:val="en-US"/>
        </w:rPr>
        <w:t>，能够进行主题层面的语义抽取与评价归因，可用于网络语义分析</w:t>
      </w:r>
      <w:r>
        <w:rPr>
          <w:rStyle w:val="44"/>
          <w:rFonts w:hint="default"/>
          <w:highlight w:val="none"/>
          <w:lang w:val="en-US"/>
        </w:rPr>
        <w:fldChar w:fldCharType="begin"/>
      </w:r>
      <w:r>
        <w:instrText xml:space="preserve"> REF _Ref8407 \r \h  \* MERGEFORMAT</w:instrText>
      </w:r>
      <w:r>
        <w:rPr>
          <w:rStyle w:val="44"/>
          <w:rFonts w:hint="default"/>
          <w:highlight w:val="none"/>
          <w:lang w:val="en-US"/>
        </w:rPr>
        <w:fldChar w:fldCharType="separate"/>
      </w:r>
      <w:r>
        <w:rPr>
          <w:rStyle w:val="44"/>
          <w:rFonts w:hint="default"/>
          <w:highlight w:val="none"/>
          <w:lang w:val="en-US"/>
        </w:rPr>
        <w:t>[26]</w:t>
      </w:r>
      <w:r>
        <w:rPr>
          <w:rStyle w:val="44"/>
          <w:rFonts w:hint="default"/>
          <w:highlight w:val="none"/>
          <w:lang w:val="en-US"/>
        </w:rPr>
        <w:fldChar w:fldCharType="end"/>
      </w:r>
      <w:r>
        <w:rPr>
          <w:highlight w:val="none"/>
        </w:rPr>
        <w:t>。正式识别前，研究随机抽取500条评论构建验证集，并首先依据10项CES要素定义进行人工标注，形成模型识别的参照样本。人工标注采用多标签0—1编码方式：当评论涉及某一要素时记1，未涉及记0，同一评论可同时对应多个CES要素（表5）。在此基础上，研究将人工标注所采用的分类口径、要素定义和代表性示例纳入提示词模板，使大语言模型按照相同的分类标准进行识别。随后，在统一提示词模板、分类口径和输出格式下，将同一验证集分别交由人工标注、GPT-4.5和DeepSeek-R1进行多标签识别，并将两个模型输出结果与人工标注结果</w:t>
      </w:r>
      <w:r>
        <w:rPr>
          <w:highlight w:val="none"/>
        </w:rPr>
        <w:t>进行比对。正式识别阶段采用双模型交叉识别与人工抽样复核相结合的方式。对于两个模型判断一致的结果，直接纳入统计；对于判断不一致或涉及多重语义的评论，由研究者依据CES要素定义进行人工复核和校正。该处理用于降低单一模型在口语化、碎片化和隐喻反讽评论识别中的偏差，</w:t>
      </w:r>
      <w:r>
        <w:rPr>
          <w:rFonts w:hint="eastAsia"/>
          <w:highlight w:val="none"/>
          <w:lang w:val="en-US"/>
        </w:rPr>
        <w:t>控制</w:t>
      </w:r>
      <w:r>
        <w:rPr>
          <w:highlight w:val="none"/>
        </w:rPr>
        <w:t>感知频率指标的稳定性与</w:t>
      </w:r>
      <w:r>
        <w:rPr>
          <w:rFonts w:hint="eastAsia"/>
          <w:highlight w:val="none"/>
          <w:lang w:val="en-US"/>
        </w:rPr>
        <w:t>鲁棒</w:t>
      </w:r>
      <w:r>
        <w:rPr>
          <w:highlight w:val="none"/>
        </w:rPr>
        <w:t>性。</w:t>
      </w:r>
    </w:p>
    <w:p w14:paraId="297132BA">
      <w:pPr>
        <w:pStyle w:val="34"/>
        <w:bidi w:val="0"/>
        <w:rPr>
          <w:highlight w:val="none"/>
          <w:lang w:val="en-US"/>
        </w:rPr>
      </w:pPr>
      <w:r>
        <w:rPr>
          <w:highlight w:val="none"/>
        </w:rPr>
        <w:t>在提示设计上，遵循少样本学习原则</w:t>
      </w:r>
      <w:r>
        <w:rPr>
          <w:rStyle w:val="44"/>
          <w:highlight w:val="none"/>
        </w:rPr>
        <w:fldChar w:fldCharType="begin"/>
      </w:r>
      <w:r>
        <w:instrText xml:space="preserve"> REF _Ref30191 \r \h  \* MERGEFORMAT</w:instrText>
      </w:r>
      <w:r>
        <w:rPr>
          <w:rStyle w:val="44"/>
          <w:highlight w:val="none"/>
        </w:rPr>
        <w:fldChar w:fldCharType="separate"/>
      </w:r>
      <w:r>
        <w:rPr>
          <w:rStyle w:val="44"/>
          <w:highlight w:val="none"/>
        </w:rPr>
        <w:t>[</w:t>
      </w:r>
      <w:r>
        <w:rPr>
          <w:rStyle w:val="44"/>
          <w:highlight w:val="none"/>
        </w:rPr>
        <w:fldChar w:fldCharType="end"/>
      </w:r>
      <w:r>
        <w:rPr>
          <w:rStyle w:val="44"/>
          <w:rFonts w:hint="default"/>
          <w:highlight w:val="none"/>
          <w:lang w:val="en-US"/>
        </w:rPr>
        <w:fldChar w:fldCharType="begin"/>
      </w:r>
      <w:r>
        <w:instrText xml:space="preserve"> REF _Ref30194 \r \h  \* MERGEFORMAT</w:instrText>
      </w:r>
      <w:r>
        <w:rPr>
          <w:rStyle w:val="44"/>
          <w:rFonts w:hint="default"/>
          <w:highlight w:val="none"/>
          <w:lang w:val="en-US"/>
        </w:rPr>
        <w:fldChar w:fldCharType="separate"/>
      </w:r>
      <w:r>
        <w:rPr>
          <w:rStyle w:val="44"/>
          <w:rFonts w:hint="default"/>
          <w:highlight w:val="none"/>
          <w:lang w:val="en-US"/>
        </w:rPr>
        <w:t>27]</w:t>
      </w:r>
      <w:r>
        <w:rPr>
          <w:rStyle w:val="44"/>
          <w:rFonts w:hint="default"/>
          <w:highlight w:val="none"/>
          <w:lang w:val="en-US"/>
        </w:rPr>
        <w:fldChar w:fldCharType="end"/>
      </w:r>
      <w:r>
        <w:rPr>
          <w:highlight w:val="none"/>
        </w:rPr>
        <w:t>，为降低模型生成结果的随机性，研究在任务说明中采用统一提示词模板，并明确CES分类目标、10项要素定义、代表性示例和输出格式。</w:t>
      </w:r>
      <w:r>
        <w:rPr>
          <w:rFonts w:hint="eastAsia"/>
          <w:highlight w:val="none"/>
          <w:lang w:eastAsia="zh-CN"/>
        </w:rPr>
        <w:t>研究</w:t>
      </w:r>
      <w:r>
        <w:rPr>
          <w:highlight w:val="none"/>
        </w:rPr>
        <w:t>不对模型进行额外训练，分类结果来源于上下文学习与规则约束下的语义判别。</w:t>
      </w:r>
    </w:p>
    <w:p w14:paraId="0B2A9E44">
      <w:pPr>
        <w:pStyle w:val="34"/>
        <w:bidi w:val="0"/>
        <w:jc w:val="center"/>
        <w:rPr>
          <w:rFonts w:hint="eastAsia"/>
          <w:highlight w:val="none"/>
        </w:rPr>
      </w:pPr>
      <w:r>
        <w:rPr>
          <w:rFonts w:hint="eastAsia"/>
          <w:highlight w:val="none"/>
        </w:rPr>
        <w:t>表5指导GPT-4.5与DeepSeek-R1的CES多标签分类的代表性少样本示例</w:t>
      </w:r>
    </w:p>
    <w:p w14:paraId="294076B5">
      <w:pPr>
        <w:pStyle w:val="34"/>
        <w:bidi w:val="0"/>
        <w:jc w:val="center"/>
        <w:rPr>
          <w:rFonts w:hint="default" w:ascii="Times New Roman" w:hAnsi="Times New Roman" w:cs="Times New Roman"/>
          <w:sz w:val="21"/>
          <w:szCs w:val="21"/>
          <w:highlight w:val="none"/>
          <w:lang w:val="en-US"/>
        </w:rPr>
      </w:pPr>
      <w:r>
        <w:rPr>
          <w:rFonts w:hint="default" w:ascii="Times New Roman" w:hAnsi="Times New Roman" w:eastAsia="宋体" w:cs="Times New Roman"/>
          <w:sz w:val="21"/>
          <w:szCs w:val="21"/>
          <w:highlight w:val="none"/>
        </w:rPr>
        <w:t>Table 5 Representative Few-Shot Examples for Guiding CES Multi-Label Classification by GPT-4.5 and DeepSeek-R1</w:t>
      </w:r>
    </w:p>
    <w:tbl>
      <w:tblPr>
        <w:tblStyle w:val="15"/>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4"/>
        <w:gridCol w:w="549"/>
        <w:gridCol w:w="549"/>
        <w:gridCol w:w="658"/>
        <w:gridCol w:w="621"/>
        <w:gridCol w:w="549"/>
        <w:gridCol w:w="694"/>
        <w:gridCol w:w="549"/>
        <w:gridCol w:w="549"/>
        <w:gridCol w:w="658"/>
        <w:gridCol w:w="550"/>
      </w:tblGrid>
      <w:tr w14:paraId="7CAD8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574" w:type="dxa"/>
            <w:tcBorders>
              <w:left w:val="nil"/>
              <w:bottom w:val="single" w:color="auto" w:sz="4" w:space="0"/>
              <w:right w:val="nil"/>
            </w:tcBorders>
            <w:vAlign w:val="center"/>
          </w:tcPr>
          <w:p w14:paraId="5837406F">
            <w:pPr>
              <w:snapToGrid w:val="0"/>
              <w:spacing w:line="240" w:lineRule="auto"/>
              <w:ind w:left="0" w:leftChars="0" w:right="0" w:rightChars="0" w:firstLine="0" w:firstLineChars="0"/>
              <w:jc w:val="center"/>
              <w:rPr>
                <w:rFonts w:hint="eastAsia" w:ascii="宋体" w:hAnsi="宋体" w:eastAsia="宋体" w:cs="宋体"/>
                <w:b/>
                <w:kern w:val="2"/>
                <w:sz w:val="15"/>
                <w:szCs w:val="15"/>
                <w:highlight w:val="none"/>
              </w:rPr>
            </w:pPr>
            <w:r>
              <w:rPr>
                <w:rFonts w:hint="eastAsia" w:ascii="宋体" w:hAnsi="宋体" w:eastAsia="宋体" w:cs="宋体"/>
                <w:b/>
                <w:kern w:val="2"/>
                <w:sz w:val="15"/>
                <w:szCs w:val="15"/>
                <w:highlight w:val="none"/>
              </w:rPr>
              <w:t>评论（节选）</w:t>
            </w:r>
          </w:p>
        </w:tc>
        <w:tc>
          <w:tcPr>
            <w:tcW w:w="0" w:type="auto"/>
            <w:tcBorders>
              <w:left w:val="nil"/>
              <w:bottom w:val="single" w:color="auto" w:sz="4" w:space="0"/>
              <w:right w:val="nil"/>
            </w:tcBorders>
            <w:vAlign w:val="center"/>
          </w:tcPr>
          <w:p w14:paraId="6D4FC5C7">
            <w:pPr>
              <w:snapToGrid w:val="0"/>
              <w:spacing w:line="240" w:lineRule="auto"/>
              <w:ind w:left="0" w:leftChars="0" w:right="0" w:rightChars="0" w:firstLine="0" w:firstLineChars="0"/>
              <w:jc w:val="center"/>
              <w:rPr>
                <w:rFonts w:hint="eastAsia" w:ascii="宋体" w:hAnsi="宋体" w:eastAsia="宋体" w:cs="宋体"/>
                <w:b/>
                <w:kern w:val="2"/>
                <w:sz w:val="15"/>
                <w:szCs w:val="15"/>
                <w:highlight w:val="none"/>
              </w:rPr>
            </w:pPr>
            <w:r>
              <w:rPr>
                <w:rFonts w:hint="eastAsia" w:ascii="宋体" w:hAnsi="宋体" w:eastAsia="宋体" w:cs="宋体"/>
                <w:b/>
                <w:kern w:val="2"/>
                <w:sz w:val="15"/>
                <w:szCs w:val="15"/>
                <w:highlight w:val="none"/>
              </w:rPr>
              <w:t>美学景观服务</w:t>
            </w:r>
          </w:p>
        </w:tc>
        <w:tc>
          <w:tcPr>
            <w:tcW w:w="0" w:type="auto"/>
            <w:tcBorders>
              <w:left w:val="nil"/>
              <w:bottom w:val="single" w:color="auto" w:sz="4" w:space="0"/>
              <w:right w:val="nil"/>
            </w:tcBorders>
            <w:vAlign w:val="center"/>
          </w:tcPr>
          <w:p w14:paraId="722BC431">
            <w:pPr>
              <w:snapToGrid w:val="0"/>
              <w:spacing w:line="240" w:lineRule="auto"/>
              <w:ind w:left="0" w:leftChars="0" w:right="0" w:rightChars="0" w:firstLine="0" w:firstLineChars="0"/>
              <w:jc w:val="center"/>
              <w:rPr>
                <w:rFonts w:hint="eastAsia" w:ascii="宋体" w:hAnsi="宋体" w:eastAsia="宋体" w:cs="宋体"/>
                <w:b/>
                <w:kern w:val="2"/>
                <w:sz w:val="15"/>
                <w:szCs w:val="15"/>
                <w:highlight w:val="none"/>
              </w:rPr>
            </w:pPr>
            <w:r>
              <w:rPr>
                <w:rFonts w:hint="eastAsia" w:ascii="宋体" w:hAnsi="宋体" w:eastAsia="宋体" w:cs="宋体"/>
                <w:b/>
                <w:kern w:val="2"/>
                <w:sz w:val="15"/>
                <w:szCs w:val="15"/>
                <w:highlight w:val="none"/>
              </w:rPr>
              <w:t>文化遗产服务</w:t>
            </w:r>
          </w:p>
        </w:tc>
        <w:tc>
          <w:tcPr>
            <w:tcW w:w="0" w:type="auto"/>
            <w:tcBorders>
              <w:left w:val="nil"/>
              <w:bottom w:val="single" w:color="auto" w:sz="4" w:space="0"/>
              <w:right w:val="nil"/>
            </w:tcBorders>
            <w:vAlign w:val="center"/>
          </w:tcPr>
          <w:p w14:paraId="089C6402">
            <w:pPr>
              <w:snapToGrid w:val="0"/>
              <w:spacing w:line="240" w:lineRule="auto"/>
              <w:ind w:left="0" w:leftChars="0" w:right="0" w:rightChars="0" w:firstLine="0" w:firstLineChars="0"/>
              <w:jc w:val="center"/>
              <w:rPr>
                <w:rFonts w:hint="eastAsia" w:ascii="宋体" w:hAnsi="宋体" w:eastAsia="宋体" w:cs="宋体"/>
                <w:b/>
                <w:kern w:val="2"/>
                <w:sz w:val="15"/>
                <w:szCs w:val="15"/>
                <w:highlight w:val="none"/>
              </w:rPr>
            </w:pPr>
            <w:r>
              <w:rPr>
                <w:rFonts w:hint="eastAsia" w:ascii="宋体" w:hAnsi="宋体" w:eastAsia="宋体" w:cs="宋体"/>
                <w:b/>
                <w:kern w:val="2"/>
                <w:sz w:val="15"/>
                <w:szCs w:val="15"/>
                <w:highlight w:val="none"/>
              </w:rPr>
              <w:t>精神福祉与社交服务</w:t>
            </w:r>
          </w:p>
        </w:tc>
        <w:tc>
          <w:tcPr>
            <w:tcW w:w="0" w:type="auto"/>
            <w:tcBorders>
              <w:left w:val="nil"/>
              <w:bottom w:val="single" w:color="auto" w:sz="4" w:space="0"/>
              <w:right w:val="nil"/>
            </w:tcBorders>
            <w:vAlign w:val="center"/>
          </w:tcPr>
          <w:p w14:paraId="5455DD94">
            <w:pPr>
              <w:snapToGrid w:val="0"/>
              <w:spacing w:line="240" w:lineRule="auto"/>
              <w:ind w:left="0" w:leftChars="0" w:right="0" w:rightChars="0" w:firstLine="0" w:firstLineChars="0"/>
              <w:jc w:val="center"/>
              <w:rPr>
                <w:rFonts w:hint="eastAsia" w:ascii="宋体" w:hAnsi="宋体" w:eastAsia="宋体" w:cs="宋体"/>
                <w:b/>
                <w:kern w:val="2"/>
                <w:sz w:val="15"/>
                <w:szCs w:val="15"/>
                <w:highlight w:val="none"/>
              </w:rPr>
            </w:pPr>
            <w:r>
              <w:rPr>
                <w:rFonts w:hint="eastAsia" w:ascii="宋体" w:hAnsi="宋体" w:eastAsia="宋体" w:cs="宋体"/>
                <w:b/>
                <w:kern w:val="2"/>
                <w:sz w:val="15"/>
                <w:szCs w:val="15"/>
                <w:highlight w:val="none"/>
              </w:rPr>
              <w:t>可达性与保障服务</w:t>
            </w:r>
          </w:p>
        </w:tc>
        <w:tc>
          <w:tcPr>
            <w:tcW w:w="0" w:type="auto"/>
            <w:tcBorders>
              <w:left w:val="nil"/>
              <w:bottom w:val="single" w:color="auto" w:sz="4" w:space="0"/>
              <w:right w:val="nil"/>
            </w:tcBorders>
            <w:vAlign w:val="center"/>
          </w:tcPr>
          <w:p w14:paraId="55868F33">
            <w:pPr>
              <w:snapToGrid w:val="0"/>
              <w:spacing w:line="240" w:lineRule="auto"/>
              <w:ind w:left="0" w:leftChars="0" w:right="0" w:rightChars="0" w:firstLine="0" w:firstLineChars="0"/>
              <w:jc w:val="center"/>
              <w:rPr>
                <w:rFonts w:hint="eastAsia" w:ascii="宋体" w:hAnsi="宋体" w:eastAsia="宋体" w:cs="宋体"/>
                <w:b/>
                <w:kern w:val="2"/>
                <w:sz w:val="15"/>
                <w:szCs w:val="15"/>
                <w:highlight w:val="none"/>
              </w:rPr>
            </w:pPr>
            <w:r>
              <w:rPr>
                <w:rFonts w:hint="eastAsia" w:ascii="宋体" w:hAnsi="宋体" w:eastAsia="宋体" w:cs="宋体"/>
                <w:b/>
                <w:kern w:val="2"/>
                <w:sz w:val="15"/>
                <w:szCs w:val="15"/>
                <w:highlight w:val="none"/>
              </w:rPr>
              <w:t>教育体验服务</w:t>
            </w:r>
          </w:p>
        </w:tc>
        <w:tc>
          <w:tcPr>
            <w:tcW w:w="0" w:type="auto"/>
            <w:tcBorders>
              <w:left w:val="nil"/>
              <w:bottom w:val="single" w:color="auto" w:sz="4" w:space="0"/>
              <w:right w:val="nil"/>
            </w:tcBorders>
            <w:vAlign w:val="center"/>
          </w:tcPr>
          <w:p w14:paraId="695925A7">
            <w:pPr>
              <w:snapToGrid w:val="0"/>
              <w:spacing w:line="240" w:lineRule="auto"/>
              <w:ind w:left="0" w:leftChars="0" w:right="0" w:rightChars="0" w:firstLine="0" w:firstLineChars="0"/>
              <w:jc w:val="center"/>
              <w:rPr>
                <w:rFonts w:hint="eastAsia" w:ascii="宋体" w:hAnsi="宋体" w:eastAsia="宋体" w:cs="宋体"/>
                <w:b/>
                <w:kern w:val="2"/>
                <w:sz w:val="15"/>
                <w:szCs w:val="15"/>
                <w:highlight w:val="none"/>
              </w:rPr>
            </w:pPr>
            <w:r>
              <w:rPr>
                <w:rFonts w:hint="eastAsia" w:ascii="宋体" w:hAnsi="宋体" w:eastAsia="宋体" w:cs="宋体"/>
                <w:b/>
                <w:kern w:val="2"/>
                <w:sz w:val="15"/>
                <w:szCs w:val="15"/>
                <w:highlight w:val="none"/>
              </w:rPr>
              <w:t>环境与游憩适宜度服务</w:t>
            </w:r>
          </w:p>
        </w:tc>
        <w:tc>
          <w:tcPr>
            <w:tcW w:w="0" w:type="auto"/>
            <w:tcBorders>
              <w:left w:val="nil"/>
              <w:bottom w:val="single" w:color="auto" w:sz="4" w:space="0"/>
              <w:right w:val="nil"/>
            </w:tcBorders>
            <w:vAlign w:val="center"/>
          </w:tcPr>
          <w:p w14:paraId="53F6A142">
            <w:pPr>
              <w:snapToGrid w:val="0"/>
              <w:spacing w:line="240" w:lineRule="auto"/>
              <w:ind w:left="0" w:leftChars="0" w:right="0" w:rightChars="0" w:firstLine="0" w:firstLineChars="0"/>
              <w:jc w:val="center"/>
              <w:rPr>
                <w:rFonts w:hint="eastAsia" w:ascii="宋体" w:hAnsi="宋体" w:eastAsia="宋体" w:cs="宋体"/>
                <w:b/>
                <w:kern w:val="2"/>
                <w:sz w:val="15"/>
                <w:szCs w:val="15"/>
                <w:highlight w:val="none"/>
              </w:rPr>
            </w:pPr>
            <w:r>
              <w:rPr>
                <w:rFonts w:hint="eastAsia" w:ascii="宋体" w:hAnsi="宋体" w:eastAsia="宋体" w:cs="宋体"/>
                <w:b/>
                <w:kern w:val="2"/>
                <w:sz w:val="15"/>
                <w:szCs w:val="15"/>
                <w:highlight w:val="none"/>
              </w:rPr>
              <w:t>沉浸体验服务</w:t>
            </w:r>
          </w:p>
        </w:tc>
        <w:tc>
          <w:tcPr>
            <w:tcW w:w="0" w:type="auto"/>
            <w:tcBorders>
              <w:left w:val="nil"/>
              <w:bottom w:val="single" w:color="auto" w:sz="4" w:space="0"/>
              <w:right w:val="nil"/>
            </w:tcBorders>
            <w:vAlign w:val="center"/>
          </w:tcPr>
          <w:p w14:paraId="49F83E24">
            <w:pPr>
              <w:snapToGrid w:val="0"/>
              <w:spacing w:line="240" w:lineRule="auto"/>
              <w:ind w:left="0" w:leftChars="0" w:right="0" w:rightChars="0" w:firstLine="0" w:firstLineChars="0"/>
              <w:jc w:val="center"/>
              <w:rPr>
                <w:rFonts w:hint="eastAsia" w:ascii="宋体" w:hAnsi="宋体" w:eastAsia="宋体" w:cs="宋体"/>
                <w:b/>
                <w:kern w:val="2"/>
                <w:sz w:val="15"/>
                <w:szCs w:val="15"/>
                <w:highlight w:val="none"/>
              </w:rPr>
            </w:pPr>
            <w:r>
              <w:rPr>
                <w:rFonts w:hint="eastAsia" w:ascii="宋体" w:hAnsi="宋体" w:eastAsia="宋体" w:cs="宋体"/>
                <w:b/>
                <w:kern w:val="2"/>
                <w:sz w:val="15"/>
                <w:szCs w:val="15"/>
                <w:highlight w:val="none"/>
              </w:rPr>
              <w:t>生态健康指标</w:t>
            </w:r>
          </w:p>
        </w:tc>
        <w:tc>
          <w:tcPr>
            <w:tcW w:w="0" w:type="auto"/>
            <w:tcBorders>
              <w:left w:val="nil"/>
              <w:bottom w:val="single" w:color="auto" w:sz="4" w:space="0"/>
              <w:right w:val="nil"/>
            </w:tcBorders>
            <w:vAlign w:val="center"/>
          </w:tcPr>
          <w:p w14:paraId="0A793A8E">
            <w:pPr>
              <w:snapToGrid w:val="0"/>
              <w:spacing w:line="240" w:lineRule="auto"/>
              <w:ind w:left="0" w:leftChars="0" w:right="0" w:rightChars="0" w:firstLine="0" w:firstLineChars="0"/>
              <w:jc w:val="center"/>
              <w:rPr>
                <w:rFonts w:hint="eastAsia" w:ascii="宋体" w:hAnsi="宋体" w:eastAsia="宋体" w:cs="宋体"/>
                <w:b/>
                <w:kern w:val="2"/>
                <w:sz w:val="15"/>
                <w:szCs w:val="15"/>
                <w:highlight w:val="none"/>
                <w:lang w:eastAsia="zh-CN"/>
              </w:rPr>
            </w:pPr>
            <w:r>
              <w:rPr>
                <w:rFonts w:hint="eastAsia" w:ascii="宋体" w:hAnsi="宋体" w:eastAsia="宋体" w:cs="宋体"/>
                <w:b/>
                <w:kern w:val="2"/>
                <w:sz w:val="15"/>
                <w:szCs w:val="15"/>
                <w:highlight w:val="none"/>
                <w:lang w:eastAsia="zh-CN"/>
              </w:rPr>
              <w:t>空间开敞与通行服务</w:t>
            </w:r>
          </w:p>
        </w:tc>
        <w:tc>
          <w:tcPr>
            <w:tcW w:w="550" w:type="dxa"/>
            <w:tcBorders>
              <w:left w:val="nil"/>
              <w:bottom w:val="single" w:color="auto" w:sz="4" w:space="0"/>
              <w:right w:val="nil"/>
            </w:tcBorders>
            <w:vAlign w:val="center"/>
          </w:tcPr>
          <w:p w14:paraId="6AE3A228">
            <w:pPr>
              <w:snapToGrid w:val="0"/>
              <w:spacing w:line="240" w:lineRule="auto"/>
              <w:ind w:left="0" w:leftChars="0" w:right="0" w:rightChars="0" w:firstLine="0" w:firstLineChars="0"/>
              <w:jc w:val="center"/>
              <w:rPr>
                <w:rFonts w:hint="eastAsia" w:ascii="宋体" w:hAnsi="宋体" w:eastAsia="宋体" w:cs="宋体"/>
                <w:b/>
                <w:kern w:val="2"/>
                <w:sz w:val="15"/>
                <w:szCs w:val="15"/>
                <w:highlight w:val="none"/>
              </w:rPr>
            </w:pPr>
            <w:r>
              <w:rPr>
                <w:rFonts w:hint="eastAsia" w:ascii="宋体" w:hAnsi="宋体" w:eastAsia="宋体" w:cs="宋体"/>
                <w:b/>
                <w:kern w:val="2"/>
                <w:sz w:val="15"/>
                <w:szCs w:val="15"/>
                <w:highlight w:val="none"/>
              </w:rPr>
              <w:t>体验地形服务</w:t>
            </w:r>
          </w:p>
        </w:tc>
      </w:tr>
      <w:tr w14:paraId="4E1EB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74" w:type="dxa"/>
            <w:tcBorders>
              <w:top w:val="single" w:color="auto" w:sz="4" w:space="0"/>
              <w:left w:val="nil"/>
              <w:bottom w:val="nil"/>
              <w:right w:val="nil"/>
            </w:tcBorders>
            <w:vAlign w:val="center"/>
          </w:tcPr>
          <w:p w14:paraId="0E9485B0">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（1）非常好，很适合朋友周末露营野餐的一个地方</w:t>
            </w:r>
          </w:p>
        </w:tc>
        <w:tc>
          <w:tcPr>
            <w:tcW w:w="0" w:type="auto"/>
            <w:tcBorders>
              <w:top w:val="single" w:color="auto" w:sz="4" w:space="0"/>
              <w:left w:val="nil"/>
              <w:bottom w:val="nil"/>
              <w:right w:val="nil"/>
            </w:tcBorders>
            <w:vAlign w:val="center"/>
          </w:tcPr>
          <w:p w14:paraId="2B44F510">
            <w:pPr>
              <w:snapToGrid w:val="0"/>
              <w:spacing w:line="240" w:lineRule="auto"/>
              <w:ind w:left="0" w:leftChars="0" w:right="0" w:rightChars="0" w:firstLine="0" w:firstLineChars="0"/>
              <w:jc w:val="left"/>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c>
          <w:tcPr>
            <w:tcW w:w="0" w:type="auto"/>
            <w:tcBorders>
              <w:top w:val="single" w:color="auto" w:sz="4" w:space="0"/>
              <w:left w:val="nil"/>
              <w:bottom w:val="nil"/>
              <w:right w:val="nil"/>
            </w:tcBorders>
            <w:vAlign w:val="center"/>
          </w:tcPr>
          <w:p w14:paraId="2FDCCD3C">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c>
          <w:tcPr>
            <w:tcW w:w="0" w:type="auto"/>
            <w:tcBorders>
              <w:top w:val="single" w:color="auto" w:sz="4" w:space="0"/>
              <w:left w:val="nil"/>
              <w:bottom w:val="nil"/>
              <w:right w:val="nil"/>
            </w:tcBorders>
            <w:vAlign w:val="center"/>
          </w:tcPr>
          <w:p w14:paraId="0C2EC516">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1</w:t>
            </w:r>
          </w:p>
        </w:tc>
        <w:tc>
          <w:tcPr>
            <w:tcW w:w="0" w:type="auto"/>
            <w:tcBorders>
              <w:top w:val="single" w:color="auto" w:sz="4" w:space="0"/>
              <w:left w:val="nil"/>
              <w:bottom w:val="nil"/>
              <w:right w:val="nil"/>
            </w:tcBorders>
            <w:vAlign w:val="center"/>
          </w:tcPr>
          <w:p w14:paraId="716DAE78">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c>
          <w:tcPr>
            <w:tcW w:w="0" w:type="auto"/>
            <w:tcBorders>
              <w:top w:val="single" w:color="auto" w:sz="4" w:space="0"/>
              <w:left w:val="nil"/>
              <w:bottom w:val="nil"/>
              <w:right w:val="nil"/>
            </w:tcBorders>
            <w:vAlign w:val="center"/>
          </w:tcPr>
          <w:p w14:paraId="06E7D767">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c>
          <w:tcPr>
            <w:tcW w:w="0" w:type="auto"/>
            <w:tcBorders>
              <w:top w:val="single" w:color="auto" w:sz="4" w:space="0"/>
              <w:left w:val="nil"/>
              <w:bottom w:val="nil"/>
              <w:right w:val="nil"/>
            </w:tcBorders>
            <w:vAlign w:val="center"/>
          </w:tcPr>
          <w:p w14:paraId="4B63FE7F">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1</w:t>
            </w:r>
          </w:p>
        </w:tc>
        <w:tc>
          <w:tcPr>
            <w:tcW w:w="0" w:type="auto"/>
            <w:tcBorders>
              <w:top w:val="single" w:color="auto" w:sz="4" w:space="0"/>
              <w:left w:val="nil"/>
              <w:bottom w:val="nil"/>
              <w:right w:val="nil"/>
            </w:tcBorders>
            <w:vAlign w:val="center"/>
          </w:tcPr>
          <w:p w14:paraId="527FABFB">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c>
          <w:tcPr>
            <w:tcW w:w="0" w:type="auto"/>
            <w:tcBorders>
              <w:top w:val="single" w:color="auto" w:sz="4" w:space="0"/>
              <w:left w:val="nil"/>
              <w:bottom w:val="nil"/>
              <w:right w:val="nil"/>
            </w:tcBorders>
            <w:vAlign w:val="center"/>
          </w:tcPr>
          <w:p w14:paraId="154E8A15">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c>
          <w:tcPr>
            <w:tcW w:w="0" w:type="auto"/>
            <w:tcBorders>
              <w:top w:val="single" w:color="auto" w:sz="4" w:space="0"/>
              <w:left w:val="nil"/>
              <w:bottom w:val="nil"/>
              <w:right w:val="nil"/>
            </w:tcBorders>
            <w:vAlign w:val="center"/>
          </w:tcPr>
          <w:p w14:paraId="236D2D0A">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c>
          <w:tcPr>
            <w:tcW w:w="550" w:type="dxa"/>
            <w:tcBorders>
              <w:top w:val="single" w:color="auto" w:sz="4" w:space="0"/>
              <w:left w:val="nil"/>
              <w:bottom w:val="nil"/>
              <w:right w:val="nil"/>
            </w:tcBorders>
            <w:vAlign w:val="center"/>
          </w:tcPr>
          <w:p w14:paraId="13B1A427">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r>
      <w:tr w14:paraId="00AE8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74" w:type="dxa"/>
            <w:tcBorders>
              <w:top w:val="nil"/>
              <w:left w:val="nil"/>
              <w:bottom w:val="nil"/>
              <w:right w:val="nil"/>
            </w:tcBorders>
            <w:vAlign w:val="center"/>
          </w:tcPr>
          <w:p w14:paraId="0476CF39">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（2）一起相约一场美丽的落日…海边散步跑步…鸟儿…下午4:30–6:00…公园内方便停车…可搭帐篷野餐</w:t>
            </w:r>
          </w:p>
        </w:tc>
        <w:tc>
          <w:tcPr>
            <w:tcW w:w="0" w:type="auto"/>
            <w:tcBorders>
              <w:top w:val="nil"/>
              <w:left w:val="nil"/>
              <w:bottom w:val="nil"/>
              <w:right w:val="nil"/>
            </w:tcBorders>
            <w:vAlign w:val="center"/>
          </w:tcPr>
          <w:p w14:paraId="11E77D08">
            <w:pPr>
              <w:snapToGrid w:val="0"/>
              <w:spacing w:line="240" w:lineRule="auto"/>
              <w:ind w:left="0" w:leftChars="0" w:right="0" w:rightChars="0" w:firstLine="0" w:firstLineChars="0"/>
              <w:jc w:val="left"/>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1</w:t>
            </w:r>
          </w:p>
        </w:tc>
        <w:tc>
          <w:tcPr>
            <w:tcW w:w="0" w:type="auto"/>
            <w:tcBorders>
              <w:top w:val="nil"/>
              <w:left w:val="nil"/>
              <w:bottom w:val="nil"/>
              <w:right w:val="nil"/>
            </w:tcBorders>
            <w:vAlign w:val="center"/>
          </w:tcPr>
          <w:p w14:paraId="0315A3E6">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c>
          <w:tcPr>
            <w:tcW w:w="0" w:type="auto"/>
            <w:tcBorders>
              <w:top w:val="nil"/>
              <w:left w:val="nil"/>
              <w:bottom w:val="nil"/>
              <w:right w:val="nil"/>
            </w:tcBorders>
            <w:vAlign w:val="center"/>
          </w:tcPr>
          <w:p w14:paraId="699DD6B2">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c>
          <w:tcPr>
            <w:tcW w:w="0" w:type="auto"/>
            <w:tcBorders>
              <w:top w:val="nil"/>
              <w:left w:val="nil"/>
              <w:bottom w:val="nil"/>
              <w:right w:val="nil"/>
            </w:tcBorders>
            <w:vAlign w:val="center"/>
          </w:tcPr>
          <w:p w14:paraId="44C0AAFA">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1</w:t>
            </w:r>
          </w:p>
        </w:tc>
        <w:tc>
          <w:tcPr>
            <w:tcW w:w="0" w:type="auto"/>
            <w:tcBorders>
              <w:top w:val="nil"/>
              <w:left w:val="nil"/>
              <w:bottom w:val="nil"/>
              <w:right w:val="nil"/>
            </w:tcBorders>
            <w:vAlign w:val="center"/>
          </w:tcPr>
          <w:p w14:paraId="6B32E325">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c>
          <w:tcPr>
            <w:tcW w:w="0" w:type="auto"/>
            <w:tcBorders>
              <w:top w:val="nil"/>
              <w:left w:val="nil"/>
              <w:bottom w:val="nil"/>
              <w:right w:val="nil"/>
            </w:tcBorders>
            <w:vAlign w:val="center"/>
          </w:tcPr>
          <w:p w14:paraId="2C60F3EC">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1</w:t>
            </w:r>
          </w:p>
        </w:tc>
        <w:tc>
          <w:tcPr>
            <w:tcW w:w="0" w:type="auto"/>
            <w:tcBorders>
              <w:top w:val="nil"/>
              <w:left w:val="nil"/>
              <w:bottom w:val="nil"/>
              <w:right w:val="nil"/>
            </w:tcBorders>
            <w:vAlign w:val="center"/>
          </w:tcPr>
          <w:p w14:paraId="2BF3A154">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1</w:t>
            </w:r>
          </w:p>
        </w:tc>
        <w:tc>
          <w:tcPr>
            <w:tcW w:w="0" w:type="auto"/>
            <w:tcBorders>
              <w:top w:val="nil"/>
              <w:left w:val="nil"/>
              <w:bottom w:val="nil"/>
              <w:right w:val="nil"/>
            </w:tcBorders>
            <w:vAlign w:val="center"/>
          </w:tcPr>
          <w:p w14:paraId="0ACCAA8C">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1</w:t>
            </w:r>
          </w:p>
        </w:tc>
        <w:tc>
          <w:tcPr>
            <w:tcW w:w="0" w:type="auto"/>
            <w:tcBorders>
              <w:top w:val="nil"/>
              <w:left w:val="nil"/>
              <w:bottom w:val="nil"/>
              <w:right w:val="nil"/>
            </w:tcBorders>
            <w:vAlign w:val="center"/>
          </w:tcPr>
          <w:p w14:paraId="356F4AF1">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1</w:t>
            </w:r>
          </w:p>
        </w:tc>
        <w:tc>
          <w:tcPr>
            <w:tcW w:w="550" w:type="dxa"/>
            <w:tcBorders>
              <w:top w:val="nil"/>
              <w:left w:val="nil"/>
              <w:bottom w:val="nil"/>
              <w:right w:val="nil"/>
            </w:tcBorders>
            <w:vAlign w:val="center"/>
          </w:tcPr>
          <w:p w14:paraId="2AC6FEFB">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r>
      <w:tr w14:paraId="2059D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74" w:type="dxa"/>
            <w:tcBorders>
              <w:top w:val="nil"/>
              <w:left w:val="nil"/>
              <w:bottom w:val="nil"/>
              <w:right w:val="nil"/>
            </w:tcBorders>
            <w:vAlign w:val="center"/>
          </w:tcPr>
          <w:p w14:paraId="486CFE76">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（3）提前住附近酒店步行过去…晚上看夕阳特别美…夕阳+大海+飞机同框…步道很长很宽…适合散步跑步</w:t>
            </w:r>
          </w:p>
        </w:tc>
        <w:tc>
          <w:tcPr>
            <w:tcW w:w="0" w:type="auto"/>
            <w:tcBorders>
              <w:top w:val="nil"/>
              <w:left w:val="nil"/>
              <w:bottom w:val="nil"/>
              <w:right w:val="nil"/>
            </w:tcBorders>
            <w:vAlign w:val="center"/>
          </w:tcPr>
          <w:p w14:paraId="6BA651C1">
            <w:pPr>
              <w:snapToGrid w:val="0"/>
              <w:spacing w:line="240" w:lineRule="auto"/>
              <w:ind w:left="0" w:leftChars="0" w:right="0" w:rightChars="0" w:firstLine="0" w:firstLineChars="0"/>
              <w:jc w:val="left"/>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1</w:t>
            </w:r>
          </w:p>
        </w:tc>
        <w:tc>
          <w:tcPr>
            <w:tcW w:w="0" w:type="auto"/>
            <w:tcBorders>
              <w:top w:val="nil"/>
              <w:left w:val="nil"/>
              <w:bottom w:val="nil"/>
              <w:right w:val="nil"/>
            </w:tcBorders>
            <w:vAlign w:val="center"/>
          </w:tcPr>
          <w:p w14:paraId="003BB79D">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c>
          <w:tcPr>
            <w:tcW w:w="0" w:type="auto"/>
            <w:tcBorders>
              <w:top w:val="nil"/>
              <w:left w:val="nil"/>
              <w:bottom w:val="nil"/>
              <w:right w:val="nil"/>
            </w:tcBorders>
            <w:vAlign w:val="center"/>
          </w:tcPr>
          <w:p w14:paraId="15CACA2E">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c>
          <w:tcPr>
            <w:tcW w:w="0" w:type="auto"/>
            <w:tcBorders>
              <w:top w:val="nil"/>
              <w:left w:val="nil"/>
              <w:bottom w:val="nil"/>
              <w:right w:val="nil"/>
            </w:tcBorders>
            <w:vAlign w:val="center"/>
          </w:tcPr>
          <w:p w14:paraId="4B05D1B4">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1</w:t>
            </w:r>
          </w:p>
        </w:tc>
        <w:tc>
          <w:tcPr>
            <w:tcW w:w="0" w:type="auto"/>
            <w:tcBorders>
              <w:top w:val="nil"/>
              <w:left w:val="nil"/>
              <w:bottom w:val="nil"/>
              <w:right w:val="nil"/>
            </w:tcBorders>
            <w:vAlign w:val="center"/>
          </w:tcPr>
          <w:p w14:paraId="5F694D21">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c>
          <w:tcPr>
            <w:tcW w:w="0" w:type="auto"/>
            <w:tcBorders>
              <w:top w:val="nil"/>
              <w:left w:val="nil"/>
              <w:bottom w:val="nil"/>
              <w:right w:val="nil"/>
            </w:tcBorders>
            <w:vAlign w:val="center"/>
          </w:tcPr>
          <w:p w14:paraId="61C7BA85">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1</w:t>
            </w:r>
          </w:p>
        </w:tc>
        <w:tc>
          <w:tcPr>
            <w:tcW w:w="0" w:type="auto"/>
            <w:tcBorders>
              <w:top w:val="nil"/>
              <w:left w:val="nil"/>
              <w:bottom w:val="nil"/>
              <w:right w:val="nil"/>
            </w:tcBorders>
            <w:vAlign w:val="center"/>
          </w:tcPr>
          <w:p w14:paraId="6E7D1486">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1</w:t>
            </w:r>
          </w:p>
        </w:tc>
        <w:tc>
          <w:tcPr>
            <w:tcW w:w="0" w:type="auto"/>
            <w:tcBorders>
              <w:top w:val="nil"/>
              <w:left w:val="nil"/>
              <w:bottom w:val="nil"/>
              <w:right w:val="nil"/>
            </w:tcBorders>
            <w:vAlign w:val="center"/>
          </w:tcPr>
          <w:p w14:paraId="0E78EB81">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c>
          <w:tcPr>
            <w:tcW w:w="0" w:type="auto"/>
            <w:tcBorders>
              <w:top w:val="nil"/>
              <w:left w:val="nil"/>
              <w:bottom w:val="nil"/>
              <w:right w:val="nil"/>
            </w:tcBorders>
            <w:vAlign w:val="center"/>
          </w:tcPr>
          <w:p w14:paraId="7878EC74">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1</w:t>
            </w:r>
          </w:p>
        </w:tc>
        <w:tc>
          <w:tcPr>
            <w:tcW w:w="550" w:type="dxa"/>
            <w:tcBorders>
              <w:top w:val="nil"/>
              <w:left w:val="nil"/>
              <w:bottom w:val="nil"/>
              <w:right w:val="nil"/>
            </w:tcBorders>
            <w:vAlign w:val="center"/>
          </w:tcPr>
          <w:p w14:paraId="435E3CA6">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r>
      <w:tr w14:paraId="68F1D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74" w:type="dxa"/>
            <w:tcBorders>
              <w:top w:val="nil"/>
              <w:left w:val="nil"/>
              <w:bottom w:val="nil"/>
              <w:right w:val="nil"/>
            </w:tcBorders>
            <w:vAlign w:val="center"/>
          </w:tcPr>
          <w:p w14:paraId="5B1F87FD">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（4）宝安傍晚闲逛好去处，海边，红树，夕阳，小鸟</w:t>
            </w:r>
          </w:p>
        </w:tc>
        <w:tc>
          <w:tcPr>
            <w:tcW w:w="0" w:type="auto"/>
            <w:tcBorders>
              <w:top w:val="nil"/>
              <w:left w:val="nil"/>
              <w:bottom w:val="nil"/>
              <w:right w:val="nil"/>
            </w:tcBorders>
            <w:vAlign w:val="center"/>
          </w:tcPr>
          <w:p w14:paraId="29BECF09">
            <w:pPr>
              <w:snapToGrid w:val="0"/>
              <w:spacing w:line="240" w:lineRule="auto"/>
              <w:ind w:left="0" w:leftChars="0" w:right="0" w:rightChars="0" w:firstLine="0" w:firstLineChars="0"/>
              <w:jc w:val="left"/>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1</w:t>
            </w:r>
          </w:p>
        </w:tc>
        <w:tc>
          <w:tcPr>
            <w:tcW w:w="0" w:type="auto"/>
            <w:tcBorders>
              <w:top w:val="nil"/>
              <w:left w:val="nil"/>
              <w:bottom w:val="nil"/>
              <w:right w:val="nil"/>
            </w:tcBorders>
            <w:vAlign w:val="center"/>
          </w:tcPr>
          <w:p w14:paraId="19BDDDCE">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c>
          <w:tcPr>
            <w:tcW w:w="0" w:type="auto"/>
            <w:tcBorders>
              <w:top w:val="nil"/>
              <w:left w:val="nil"/>
              <w:bottom w:val="nil"/>
              <w:right w:val="nil"/>
            </w:tcBorders>
            <w:vAlign w:val="center"/>
          </w:tcPr>
          <w:p w14:paraId="0231A8E9">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1</w:t>
            </w:r>
          </w:p>
        </w:tc>
        <w:tc>
          <w:tcPr>
            <w:tcW w:w="0" w:type="auto"/>
            <w:tcBorders>
              <w:top w:val="nil"/>
              <w:left w:val="nil"/>
              <w:bottom w:val="nil"/>
              <w:right w:val="nil"/>
            </w:tcBorders>
            <w:vAlign w:val="center"/>
          </w:tcPr>
          <w:p w14:paraId="69C5FB05">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c>
          <w:tcPr>
            <w:tcW w:w="0" w:type="auto"/>
            <w:tcBorders>
              <w:top w:val="nil"/>
              <w:left w:val="nil"/>
              <w:bottom w:val="nil"/>
              <w:right w:val="nil"/>
            </w:tcBorders>
            <w:vAlign w:val="center"/>
          </w:tcPr>
          <w:p w14:paraId="10DD577B">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c>
          <w:tcPr>
            <w:tcW w:w="0" w:type="auto"/>
            <w:tcBorders>
              <w:top w:val="nil"/>
              <w:left w:val="nil"/>
              <w:bottom w:val="nil"/>
              <w:right w:val="nil"/>
            </w:tcBorders>
            <w:vAlign w:val="center"/>
          </w:tcPr>
          <w:p w14:paraId="377881A7">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1</w:t>
            </w:r>
          </w:p>
        </w:tc>
        <w:tc>
          <w:tcPr>
            <w:tcW w:w="0" w:type="auto"/>
            <w:tcBorders>
              <w:top w:val="nil"/>
              <w:left w:val="nil"/>
              <w:bottom w:val="nil"/>
              <w:right w:val="nil"/>
            </w:tcBorders>
            <w:vAlign w:val="center"/>
          </w:tcPr>
          <w:p w14:paraId="7377D67F">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c>
          <w:tcPr>
            <w:tcW w:w="0" w:type="auto"/>
            <w:tcBorders>
              <w:top w:val="nil"/>
              <w:left w:val="nil"/>
              <w:bottom w:val="nil"/>
              <w:right w:val="nil"/>
            </w:tcBorders>
            <w:vAlign w:val="center"/>
          </w:tcPr>
          <w:p w14:paraId="6208962C">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1</w:t>
            </w:r>
          </w:p>
        </w:tc>
        <w:tc>
          <w:tcPr>
            <w:tcW w:w="0" w:type="auto"/>
            <w:tcBorders>
              <w:top w:val="nil"/>
              <w:left w:val="nil"/>
              <w:bottom w:val="nil"/>
              <w:right w:val="nil"/>
            </w:tcBorders>
            <w:vAlign w:val="center"/>
          </w:tcPr>
          <w:p w14:paraId="494584BE">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c>
          <w:tcPr>
            <w:tcW w:w="550" w:type="dxa"/>
            <w:tcBorders>
              <w:top w:val="nil"/>
              <w:left w:val="nil"/>
              <w:bottom w:val="nil"/>
              <w:right w:val="nil"/>
            </w:tcBorders>
            <w:vAlign w:val="center"/>
          </w:tcPr>
          <w:p w14:paraId="77C0DE47">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r>
      <w:tr w14:paraId="1C46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74" w:type="dxa"/>
            <w:tcBorders>
              <w:top w:val="nil"/>
              <w:left w:val="nil"/>
              <w:right w:val="nil"/>
            </w:tcBorders>
            <w:vAlign w:val="center"/>
          </w:tcPr>
          <w:p w14:paraId="1532397A">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（5）超大的海边公园…草坪适合露营…约上好友带孩子…够宽敞…退潮抓小螃蟹…挖沙池/滑梯</w:t>
            </w:r>
          </w:p>
        </w:tc>
        <w:tc>
          <w:tcPr>
            <w:tcW w:w="549" w:type="dxa"/>
            <w:tcBorders>
              <w:top w:val="nil"/>
              <w:left w:val="nil"/>
              <w:right w:val="nil"/>
            </w:tcBorders>
            <w:vAlign w:val="center"/>
          </w:tcPr>
          <w:p w14:paraId="39B019E1">
            <w:pPr>
              <w:snapToGrid w:val="0"/>
              <w:spacing w:line="240" w:lineRule="auto"/>
              <w:ind w:left="0" w:leftChars="0" w:right="0" w:rightChars="0" w:firstLine="0" w:firstLineChars="0"/>
              <w:jc w:val="left"/>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c>
          <w:tcPr>
            <w:tcW w:w="549" w:type="dxa"/>
            <w:tcBorders>
              <w:top w:val="nil"/>
              <w:left w:val="nil"/>
              <w:right w:val="nil"/>
            </w:tcBorders>
            <w:vAlign w:val="center"/>
          </w:tcPr>
          <w:p w14:paraId="59E4E13D">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c>
          <w:tcPr>
            <w:tcW w:w="658" w:type="dxa"/>
            <w:tcBorders>
              <w:top w:val="nil"/>
              <w:left w:val="nil"/>
              <w:right w:val="nil"/>
            </w:tcBorders>
            <w:vAlign w:val="center"/>
          </w:tcPr>
          <w:p w14:paraId="56D39F74">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1</w:t>
            </w:r>
          </w:p>
        </w:tc>
        <w:tc>
          <w:tcPr>
            <w:tcW w:w="621" w:type="dxa"/>
            <w:tcBorders>
              <w:top w:val="nil"/>
              <w:left w:val="nil"/>
              <w:right w:val="nil"/>
            </w:tcBorders>
            <w:vAlign w:val="center"/>
          </w:tcPr>
          <w:p w14:paraId="77F1AC45">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c>
          <w:tcPr>
            <w:tcW w:w="549" w:type="dxa"/>
            <w:tcBorders>
              <w:top w:val="nil"/>
              <w:left w:val="nil"/>
              <w:right w:val="nil"/>
            </w:tcBorders>
            <w:vAlign w:val="center"/>
          </w:tcPr>
          <w:p w14:paraId="22AA3F34">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c>
          <w:tcPr>
            <w:tcW w:w="694" w:type="dxa"/>
            <w:tcBorders>
              <w:top w:val="nil"/>
              <w:left w:val="nil"/>
              <w:right w:val="nil"/>
            </w:tcBorders>
            <w:vAlign w:val="center"/>
          </w:tcPr>
          <w:p w14:paraId="2E3290AD">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1</w:t>
            </w:r>
          </w:p>
        </w:tc>
        <w:tc>
          <w:tcPr>
            <w:tcW w:w="549" w:type="dxa"/>
            <w:tcBorders>
              <w:top w:val="nil"/>
              <w:left w:val="nil"/>
              <w:right w:val="nil"/>
            </w:tcBorders>
            <w:vAlign w:val="center"/>
          </w:tcPr>
          <w:p w14:paraId="6CF442AA">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c>
          <w:tcPr>
            <w:tcW w:w="549" w:type="dxa"/>
            <w:tcBorders>
              <w:top w:val="nil"/>
              <w:left w:val="nil"/>
              <w:right w:val="nil"/>
            </w:tcBorders>
            <w:vAlign w:val="center"/>
          </w:tcPr>
          <w:p w14:paraId="68DF8671">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1</w:t>
            </w:r>
          </w:p>
        </w:tc>
        <w:tc>
          <w:tcPr>
            <w:tcW w:w="658" w:type="dxa"/>
            <w:tcBorders>
              <w:top w:val="nil"/>
              <w:left w:val="nil"/>
              <w:right w:val="nil"/>
            </w:tcBorders>
            <w:vAlign w:val="center"/>
          </w:tcPr>
          <w:p w14:paraId="7DD35FD6">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1</w:t>
            </w:r>
          </w:p>
        </w:tc>
        <w:tc>
          <w:tcPr>
            <w:tcW w:w="550" w:type="dxa"/>
            <w:tcBorders>
              <w:top w:val="nil"/>
              <w:left w:val="nil"/>
              <w:right w:val="nil"/>
            </w:tcBorders>
            <w:vAlign w:val="center"/>
          </w:tcPr>
          <w:p w14:paraId="4349963E">
            <w:pPr>
              <w:snapToGrid w:val="0"/>
              <w:spacing w:line="240" w:lineRule="auto"/>
              <w:ind w:left="0" w:leftChars="0" w:right="0" w:rightChars="0" w:firstLine="0" w:firstLineChars="0"/>
              <w:jc w:val="center"/>
              <w:rPr>
                <w:rFonts w:hint="eastAsia" w:ascii="宋体" w:hAnsi="宋体" w:eastAsia="宋体" w:cs="宋体"/>
                <w:kern w:val="2"/>
                <w:sz w:val="15"/>
                <w:szCs w:val="15"/>
                <w:highlight w:val="none"/>
              </w:rPr>
            </w:pPr>
            <w:r>
              <w:rPr>
                <w:rFonts w:hint="eastAsia" w:ascii="宋体" w:hAnsi="宋体" w:eastAsia="宋体" w:cs="宋体"/>
                <w:kern w:val="2"/>
                <w:sz w:val="15"/>
                <w:szCs w:val="15"/>
                <w:highlight w:val="none"/>
              </w:rPr>
              <w:t>0</w:t>
            </w:r>
          </w:p>
        </w:tc>
      </w:tr>
    </w:tbl>
    <w:p w14:paraId="2DCE19B1">
      <w:pPr>
        <w:pStyle w:val="36"/>
        <w:jc w:val="both"/>
        <w:rPr>
          <w:rFonts w:hint="eastAsia" w:ascii="宋体" w:hAnsi="宋体" w:eastAsia="宋体" w:cs="宋体"/>
          <w:sz w:val="21"/>
          <w:szCs w:val="21"/>
          <w:highlight w:val="none"/>
        </w:rPr>
      </w:pPr>
      <w:r>
        <w:rPr>
          <w:rFonts w:hint="eastAsia" w:ascii="宋体" w:hAnsi="宋体" w:eastAsia="宋体" w:cs="宋体"/>
          <w:sz w:val="21"/>
          <w:szCs w:val="21"/>
          <w:highlight w:val="none"/>
        </w:rPr>
        <w:t>注：1=该价值存在；0=该价值不存在。提示中为每类CES至少提供一条示例评论。</w:t>
      </w:r>
    </w:p>
    <w:p w14:paraId="40063FDC">
      <w:pPr>
        <w:pStyle w:val="34"/>
        <w:bidi w:val="0"/>
        <w:rPr>
          <w:rFonts w:hint="eastAsia"/>
          <w:highlight w:val="none"/>
          <w:lang w:val="en-US" w:eastAsia="zh-CN"/>
        </w:rPr>
      </w:pPr>
      <w:r>
        <w:rPr>
          <w:rFonts w:hint="eastAsia"/>
          <w:highlight w:val="none"/>
          <w:lang w:val="en-US" w:eastAsia="zh-CN"/>
        </w:rPr>
        <w:t>CES要素感知频率以“提及比例”表征：统计各公园在每一要素上的有效提及次数</w:t>
      </w:r>
      <w:r>
        <w:rPr>
          <w:rFonts w:hint="eastAsia"/>
          <w:i/>
          <w:iCs/>
          <w:highlight w:val="none"/>
          <w:lang w:val="en-US" w:eastAsia="zh-CN"/>
        </w:rPr>
        <w:t>C</w:t>
      </w:r>
      <w:r>
        <w:rPr>
          <w:rFonts w:hint="eastAsia"/>
          <w:i/>
          <w:iCs/>
          <w:highlight w:val="none"/>
          <w:vertAlign w:val="subscript"/>
          <w:lang w:val="en-US" w:eastAsia="zh-CN"/>
        </w:rPr>
        <w:t>ij</w:t>
      </w:r>
      <w:r>
        <w:rPr>
          <w:rFonts w:hint="eastAsia"/>
          <w:highlight w:val="none"/>
          <w:lang w:val="en-US" w:eastAsia="zh-CN"/>
        </w:rPr>
        <w:t>，并除以该公园评论总条数</w:t>
      </w:r>
      <w:r>
        <w:rPr>
          <w:rFonts w:hint="eastAsia"/>
          <w:i/>
          <w:iCs/>
          <w:highlight w:val="none"/>
          <w:lang w:val="en-US" w:eastAsia="zh-CN"/>
        </w:rPr>
        <w:t>C</w:t>
      </w:r>
      <w:r>
        <w:rPr>
          <w:rFonts w:hint="eastAsia"/>
          <w:i/>
          <w:iCs/>
          <w:highlight w:val="none"/>
          <w:vertAlign w:val="subscript"/>
          <w:lang w:val="en-US" w:eastAsia="zh-CN"/>
        </w:rPr>
        <w:t>i</w:t>
      </w:r>
      <w:r>
        <w:rPr>
          <w:rFonts w:hint="eastAsia"/>
          <w:highlight w:val="none"/>
          <w:lang w:val="en-US" w:eastAsia="zh-CN"/>
        </w:rPr>
        <w:t>得到感知频率</w:t>
      </w:r>
      <w:r>
        <w:rPr>
          <w:rFonts w:hint="eastAsia"/>
          <w:i/>
          <w:iCs/>
          <w:highlight w:val="none"/>
          <w:lang w:val="en-US" w:eastAsia="zh-CN"/>
        </w:rPr>
        <w:t>F</w:t>
      </w:r>
      <w:r>
        <w:rPr>
          <w:rFonts w:hint="eastAsia"/>
          <w:i/>
          <w:iCs/>
          <w:highlight w:val="none"/>
          <w:vertAlign w:val="subscript"/>
          <w:lang w:val="en-US" w:eastAsia="zh-CN"/>
        </w:rPr>
        <w:t>ij</w:t>
      </w:r>
      <w:r>
        <w:rPr>
          <w:rFonts w:hint="eastAsia"/>
          <w:highlight w:val="none"/>
          <w:lang w:val="en-US" w:eastAsia="zh-CN"/>
        </w:rPr>
        <w:t>。为降低误判，随机抽查不少于5%的候选句进行人工复核，并记录修正情况。</w:t>
      </w:r>
    </w:p>
    <w:p w14:paraId="58580128">
      <w:pPr>
        <w:pStyle w:val="34"/>
        <w:bidi w:val="0"/>
        <w:rPr>
          <w:rFonts w:hint="eastAsia"/>
          <w:highlight w:val="none"/>
          <w:lang w:val="en-US" w:eastAsia="zh-CN"/>
        </w:rPr>
      </w:pPr>
      <w:r>
        <w:rPr>
          <w:rFonts w:hint="eastAsia"/>
          <w:highlight w:val="none"/>
          <w:lang w:val="en-US" w:eastAsia="zh-CN"/>
        </w:rPr>
        <w:t>要素感知频率计算公式：</w:t>
      </w:r>
    </w:p>
    <w:p w14:paraId="0D8DBAA4">
      <w:pPr>
        <w:pStyle w:val="34"/>
        <w:bidi w:val="0"/>
        <w:rPr>
          <w:rFonts w:hint="eastAsia"/>
          <w:i/>
          <w:iCs/>
          <w:highlight w:val="none"/>
          <w:lang w:val="en-US" w:eastAsia="zh-CN"/>
        </w:rPr>
      </w:pPr>
      <w:commentRangeStart w:id="22"/>
      <w:r>
        <w:rPr>
          <w:highlight w:val="yellow"/>
        </w:rPr>
        <w:t>F_{ij}=C_{ij}/C_i</w:t>
      </w:r>
      <w:commentRangeEnd w:id="22"/>
      <w:r>
        <w:rPr>
          <w:rStyle w:val="CommentReference"/>
        </w:rPr>
        <w:commentReference w:id="22"/>
      </w:r>
    </w:p>
    <w:p w14:paraId="7140E22C">
      <w:pPr>
        <w:pStyle w:val="34"/>
        <w:bidi w:val="0"/>
        <w:rPr>
          <w:rFonts w:hint="eastAsia"/>
          <w:highlight w:val="none"/>
          <w:lang w:val="en-US" w:eastAsia="zh-CN"/>
        </w:rPr>
      </w:pPr>
      <w:r>
        <w:rPr>
          <w:rFonts w:hint="eastAsia"/>
          <w:highlight w:val="none"/>
          <w:lang w:val="en-US" w:eastAsia="zh-CN"/>
        </w:rPr>
        <w:t>其中：F</w:t>
      </w:r>
      <w:r>
        <w:rPr>
          <w:rFonts w:hint="eastAsia"/>
          <w:highlight w:val="none"/>
          <w:vertAlign w:val="subscript"/>
          <w:lang w:val="en-US" w:eastAsia="zh-CN"/>
        </w:rPr>
        <w:t>ij</w:t>
      </w:r>
      <w:r>
        <w:rPr>
          <w:rFonts w:hint="eastAsia"/>
          <w:highlight w:val="none"/>
          <w:lang w:val="en-US" w:eastAsia="zh-CN"/>
        </w:rPr>
        <w:t>是i公园j要素的感知频率，</w:t>
      </w:r>
      <w:r>
        <w:rPr>
          <w:rFonts w:hint="eastAsia"/>
          <w:i/>
          <w:iCs/>
          <w:highlight w:val="none"/>
          <w:lang w:val="en-US" w:eastAsia="zh-CN"/>
        </w:rPr>
        <w:t>C</w:t>
      </w:r>
      <w:r>
        <w:rPr>
          <w:rFonts w:hint="eastAsia"/>
          <w:i/>
          <w:iCs/>
          <w:highlight w:val="none"/>
          <w:vertAlign w:val="subscript"/>
          <w:lang w:val="en-US" w:eastAsia="zh-CN"/>
        </w:rPr>
        <w:t>ij</w:t>
      </w:r>
      <w:r>
        <w:rPr>
          <w:rFonts w:hint="eastAsia"/>
          <w:highlight w:val="none"/>
          <w:lang w:val="en-US" w:eastAsia="zh-CN"/>
        </w:rPr>
        <w:t>是</w:t>
      </w:r>
      <w:r>
        <w:rPr>
          <w:rFonts w:hint="eastAsia"/>
          <w:i/>
          <w:iCs/>
          <w:highlight w:val="none"/>
          <w:lang w:val="en-US" w:eastAsia="zh-CN"/>
        </w:rPr>
        <w:t>j</w:t>
      </w:r>
      <w:r>
        <w:rPr>
          <w:rFonts w:hint="eastAsia"/>
          <w:highlight w:val="none"/>
          <w:lang w:val="en-US" w:eastAsia="zh-CN"/>
        </w:rPr>
        <w:t>要素词频，</w:t>
      </w:r>
      <w:r>
        <w:rPr>
          <w:rFonts w:hint="eastAsia"/>
          <w:i/>
          <w:iCs/>
          <w:highlight w:val="none"/>
          <w:lang w:val="en-US" w:eastAsia="zh-CN"/>
        </w:rPr>
        <w:t>C</w:t>
      </w:r>
      <w:r>
        <w:rPr>
          <w:rFonts w:hint="eastAsia"/>
          <w:i/>
          <w:iCs/>
          <w:highlight w:val="none"/>
          <w:vertAlign w:val="subscript"/>
          <w:lang w:val="en-US" w:eastAsia="zh-CN"/>
        </w:rPr>
        <w:t>i</w:t>
      </w:r>
      <w:r>
        <w:rPr>
          <w:rFonts w:hint="eastAsia"/>
          <w:highlight w:val="none"/>
          <w:lang w:val="en-US" w:eastAsia="zh-CN"/>
        </w:rPr>
        <w:t>是该</w:t>
      </w:r>
      <w:r>
        <w:rPr>
          <w:rFonts w:hint="eastAsia"/>
          <w:i/>
          <w:iCs/>
          <w:highlight w:val="none"/>
          <w:lang w:val="en-US" w:eastAsia="zh-CN"/>
        </w:rPr>
        <w:t>i</w:t>
      </w:r>
      <w:r>
        <w:rPr>
          <w:rFonts w:hint="eastAsia"/>
          <w:highlight w:val="none"/>
          <w:lang w:val="en-US" w:eastAsia="zh-CN"/>
        </w:rPr>
        <w:t>公园评论总条数。</w:t>
      </w:r>
    </w:p>
    <w:p w14:paraId="3B70CD16">
      <w:pPr>
        <w:pStyle w:val="34"/>
        <w:bidi w:val="0"/>
        <w:rPr>
          <w:rFonts w:hint="default"/>
          <w:highlight w:val="none"/>
          <w:lang w:val="en-US" w:eastAsia="zh-CN"/>
        </w:rPr>
      </w:pPr>
      <w:r>
        <w:rPr>
          <w:rFonts w:hint="eastAsia"/>
          <w:highlight w:val="none"/>
          <w:lang w:val="en-US" w:eastAsia="zh-CN"/>
        </w:rPr>
        <w:t>1.3.3  主要驱动要素分析</w:t>
      </w:r>
    </w:p>
    <w:p w14:paraId="237097C1">
      <w:pPr>
        <w:pStyle w:val="34"/>
        <w:bidi w:val="0"/>
        <w:rPr>
          <w:rFonts w:hint="eastAsia"/>
          <w:highlight w:val="none"/>
          <w:lang w:val="en-US" w:eastAsia="zh-CN"/>
        </w:rPr>
      </w:pPr>
      <w:r>
        <w:rPr>
          <w:rFonts w:hint="eastAsia"/>
          <w:highlight w:val="none"/>
          <w:lang w:val="en-US" w:eastAsia="zh-CN"/>
        </w:rPr>
        <w:t>公园总体感知由多要素共同作用。当感知频率高而感知倾向显著偏低，提示存在负面感知放大，应优先补齐短板；当两者均高，则为核心优势，可作为百姓园林实践中的优势维持内容。</w:t>
      </w:r>
    </w:p>
    <w:p w14:paraId="421BFC4E">
      <w:pPr>
        <w:pStyle w:val="34"/>
        <w:bidi w:val="0"/>
        <w:rPr>
          <w:rFonts w:hint="eastAsia"/>
          <w:highlight w:val="none"/>
          <w:lang w:val="en-US" w:eastAsia="zh-CN"/>
        </w:rPr>
      </w:pPr>
      <w:r>
        <w:rPr>
          <w:rFonts w:hint="eastAsia"/>
          <w:highlight w:val="none"/>
          <w:lang w:val="en-US" w:eastAsia="zh-CN"/>
        </w:rPr>
        <w:t>在完成要素识别后，研究先对4项CES维度的感知频率与感知倾向进行描述性比较，并采用相关分析考察各要素与总体感知倾向的关联方向；在此基础上，以总体感知倾向为因变量、10项要素感知指标为自变量建立岭回归模型，以缓解多重共线性并识别关键解释变量。显著性达到p&lt;0.05的要素被视为关键影响要素，并进一步结合IPA结果讨论其在“需求侧—供给侧”结构中的治理意义。</w:t>
      </w:r>
    </w:p>
    <w:p w14:paraId="2A205523">
      <w:pPr>
        <w:pStyle w:val="40"/>
        <w:bidi w:val="0"/>
        <w:rPr>
          <w:rFonts w:hint="eastAsia"/>
          <w:highlight w:val="none"/>
          <w:lang w:val="en-US" w:eastAsia="zh-CN"/>
        </w:rPr>
      </w:pPr>
      <w:r>
        <w:rPr>
          <w:rFonts w:hint="eastAsia"/>
          <w:highlight w:val="none"/>
          <w:lang w:val="en-US" w:eastAsia="zh-CN"/>
        </w:rPr>
        <w:t>2  百姓园林导向下深圳城市公园CES供需结果</w:t>
      </w:r>
    </w:p>
    <w:p w14:paraId="60C40B45">
      <w:pPr>
        <w:pStyle w:val="33"/>
        <w:bidi w:val="0"/>
        <w:rPr>
          <w:rFonts w:hint="eastAsia"/>
          <w:highlight w:val="none"/>
          <w:lang w:val="en-US" w:eastAsia="zh-CN"/>
        </w:rPr>
      </w:pPr>
      <w:r>
        <w:rPr>
          <w:rFonts w:hint="eastAsia"/>
          <w:highlight w:val="none"/>
          <w:lang w:val="en-US" w:eastAsia="zh-CN"/>
        </w:rPr>
        <w:t xml:space="preserve">2.1  </w:t>
      </w:r>
      <w:r>
        <w:rPr>
          <w:highlight w:val="none"/>
        </w:rPr>
        <w:t>CES关注与</w:t>
      </w:r>
      <w:r>
        <w:rPr>
          <w:rFonts w:hint="eastAsia"/>
          <w:highlight w:val="none"/>
          <w:lang w:val="en-US" w:eastAsia="zh-CN"/>
        </w:rPr>
        <w:t>公园</w:t>
      </w:r>
      <w:r>
        <w:rPr>
          <w:highlight w:val="none"/>
        </w:rPr>
        <w:t>日常获得</w:t>
      </w:r>
      <w:r>
        <w:rPr>
          <w:rFonts w:hint="eastAsia"/>
          <w:highlight w:val="none"/>
          <w:lang w:val="en-US" w:eastAsia="zh-CN"/>
        </w:rPr>
        <w:t>结果</w:t>
      </w:r>
    </w:p>
    <w:p w14:paraId="52191E82">
      <w:pPr>
        <w:pStyle w:val="34"/>
        <w:bidi w:val="0"/>
        <w:rPr>
          <w:highlight w:val="none"/>
        </w:rPr>
      </w:pPr>
      <w:r>
        <w:rPr>
          <w:highlight w:val="none"/>
        </w:rPr>
        <w:t>总体</w:t>
      </w:r>
      <w:r>
        <w:rPr>
          <w:rFonts w:hint="eastAsia"/>
          <w:highlight w:val="none"/>
          <w:lang w:val="en-US" w:eastAsia="zh-CN"/>
        </w:rPr>
        <w:t>观察</w:t>
      </w:r>
      <w:r>
        <w:rPr>
          <w:highlight w:val="none"/>
        </w:rPr>
        <w:t>，4类评价维度在</w:t>
      </w:r>
      <w:r>
        <w:rPr>
          <w:rFonts w:hint="eastAsia"/>
          <w:highlight w:val="none"/>
          <w:lang w:val="en-US" w:eastAsia="zh-CN"/>
        </w:rPr>
        <w:t>感知倾向</w:t>
      </w:r>
      <w:r>
        <w:rPr>
          <w:highlight w:val="none"/>
        </w:rPr>
        <w:t>与</w:t>
      </w:r>
      <w:r>
        <w:rPr>
          <w:rFonts w:hint="eastAsia"/>
          <w:highlight w:val="none"/>
          <w:lang w:val="en-US" w:eastAsia="zh-CN"/>
        </w:rPr>
        <w:t>感知频率</w:t>
      </w:r>
      <w:r>
        <w:rPr>
          <w:highlight w:val="none"/>
        </w:rPr>
        <w:t>上均呈现差异。不同类型公园并未表现出完全一致的关注焦点，呈现出景观、活动、管理与承载等多维复合感知特征。</w:t>
      </w:r>
    </w:p>
    <w:p w14:paraId="5B2DA6F6">
      <w:pPr>
        <w:pStyle w:val="34"/>
        <w:bidi w:val="0"/>
        <w:rPr>
          <w:highlight w:val="none"/>
        </w:rPr>
      </w:pPr>
      <w:r>
        <w:rPr>
          <w:rFonts w:hint="eastAsia"/>
          <w:highlight w:val="none"/>
          <w:lang w:val="en-US" w:eastAsia="zh-CN"/>
        </w:rPr>
        <w:t>从感知频率看（图2A），美学与文化服务的频率最高，并且领先较多，环境感知与恢复性服务次之，空间承载服务最低。感知倾向方面（图2B），4类维度整体均呈积极取向，然而波动程度并不一致，其中美学与文化服务和空间承载服务的积极倾向较高、波动相对较大，游憩与教育服务的积极倾向最低，波动度较大，而环境感知与恢复性服务、空间承载服务分别位列第二第三，均波动较小。</w:t>
      </w: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436"/>
      </w:tblGrid>
      <w:tr w14:paraId="17192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10" w:hRule="atLeast"/>
          <w:jc w:val="center"/>
        </w:trPr>
        <w:tc>
          <w:tcPr>
            <w:tcW w:w="4800" w:type="dxa"/>
          </w:tcPr>
          <w:p w14:paraId="102B2FB6">
            <w:pPr>
              <w:jc w:val="both"/>
              <w:rPr>
                <w:kern w:val="2"/>
                <w:highlight w:val="none"/>
              </w:rPr>
            </w:pPr>
            <w:r>
              <w:rPr>
                <w:rFonts w:eastAsia="宋体" w:cs="Times New Roman"/>
                <w:color w:val="auto"/>
                <w:kern w:val="2"/>
                <w:highlight w:val="none"/>
                <w:lang w:eastAsia="zh-CN"/>
              </w:rPr>
              <w:drawing>
                <wp:inline distT="0" distB="0" distL="114300" distR="114300">
                  <wp:extent cx="3033395" cy="1207770"/>
                  <wp:effectExtent l="0" t="0" r="14605" b="11430"/>
                  <wp:docPr id="11" name="图片 11" descr="D:/仲恺文件/论文/ing/深圳园/ipa/图6感知倾向+频率华黑细文1.8.png图6感知倾向+频率华黑细文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仲恺文件/论文/ing/深圳园/ipa/图6感知倾向+频率华黑细文1.8.png图6感知倾向+频率华黑细文1.8"/>
                          <pic:cNvPicPr>
                            <a:picLocks noChangeAspect="1"/>
                          </pic:cNvPicPr>
                        </pic:nvPicPr>
                        <pic:blipFill>
                          <a:blip r:embed="rId13"/>
                          <a:srcRect t="19" b="19"/>
                          <a:stretch>
                            <a:fillRect/>
                          </a:stretch>
                        </pic:blipFill>
                        <pic:spPr>
                          <a:xfrm>
                            <a:off x="0" y="0"/>
                            <a:ext cx="3033395" cy="1207770"/>
                          </a:xfrm>
                          <a:prstGeom prst="rect">
                            <a:avLst/>
                          </a:prstGeom>
                        </pic:spPr>
                      </pic:pic>
                    </a:graphicData>
                  </a:graphic>
                </wp:inline>
              </w:drawing>
            </w:r>
          </w:p>
        </w:tc>
      </w:tr>
    </w:tbl>
    <w:p w14:paraId="48AA6CBF">
      <w:pPr>
        <w:pStyle w:val="36"/>
        <w:jc w:val="center"/>
        <w:rPr>
          <w:rFonts w:hint="eastAsia" w:ascii="宋体" w:hAnsi="宋体" w:eastAsia="宋体" w:cs="宋体"/>
          <w:b w:val="0"/>
          <w:bCs/>
          <w:sz w:val="21"/>
          <w:szCs w:val="21"/>
          <w:highlight w:val="none"/>
        </w:rPr>
      </w:pPr>
      <w:r>
        <w:rPr>
          <w:rFonts w:hint="eastAsia" w:ascii="宋体" w:hAnsi="宋体" w:eastAsia="宋体" w:cs="宋体"/>
          <w:b w:val="0"/>
          <w:bCs/>
          <w:sz w:val="21"/>
          <w:szCs w:val="21"/>
          <w:highlight w:val="none"/>
        </w:rPr>
        <w:t>图2总体要素感知频率和感知倾向箱图</w:t>
      </w:r>
    </w:p>
    <w:p w14:paraId="5F710F7C">
      <w:pPr>
        <w:pStyle w:val="36"/>
        <w:jc w:val="center"/>
        <w:rPr>
          <w:rFonts w:hint="default" w:ascii="Times New Roman" w:hAnsi="Times New Roman" w:eastAsia="黑体" w:cs="Times New Roman"/>
          <w:b w:val="0"/>
          <w:bCs/>
          <w:sz w:val="21"/>
          <w:szCs w:val="21"/>
          <w:highlight w:val="none"/>
        </w:rPr>
      </w:pPr>
      <w:r>
        <w:rPr>
          <w:rFonts w:hint="default" w:ascii="Times New Roman" w:hAnsi="Times New Roman" w:eastAsia="宋体" w:cs="Times New Roman"/>
          <w:b w:val="0"/>
          <w:bCs/>
          <w:sz w:val="21"/>
          <w:szCs w:val="21"/>
          <w:highlight w:val="none"/>
        </w:rPr>
        <w:t>Figure 2 Boxplots of Overall Element-Level Perceived Frequency and Perceived Tendency</w:t>
      </w:r>
    </w:p>
    <w:p w14:paraId="65D0F531">
      <w:pPr>
        <w:pStyle w:val="34"/>
        <w:bidi w:val="0"/>
        <w:rPr>
          <w:highlight w:val="none"/>
        </w:rPr>
      </w:pPr>
      <w:r>
        <w:rPr>
          <w:highlight w:val="none"/>
        </w:rPr>
        <w:t>从公园类型看（图3），基干公园的感知倾向总体最高，特色公园次之，自然公园相对较低</w:t>
      </w:r>
      <w:r>
        <w:rPr>
          <w:rFonts w:hint="eastAsia"/>
          <w:highlight w:val="none"/>
          <w:lang w:eastAsia="zh-CN"/>
        </w:rPr>
        <w:t>，</w:t>
      </w:r>
      <w:r>
        <w:rPr>
          <w:rFonts w:hint="eastAsia"/>
          <w:highlight w:val="none"/>
          <w:lang w:val="en-US" w:eastAsia="zh-CN"/>
        </w:rPr>
        <w:t>而波动方面，美学与文化服务、游憩与教育服务较大，环境感知与恢复性服务与空间承载服务较小</w:t>
      </w:r>
      <w:r>
        <w:rPr>
          <w:highlight w:val="none"/>
        </w:rPr>
        <w:t>。</w:t>
      </w: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06"/>
      </w:tblGrid>
      <w:tr w14:paraId="56B9C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06" w:type="dxa"/>
          </w:tcPr>
          <w:p w14:paraId="716B7C49">
            <w:pPr>
              <w:jc w:val="center"/>
              <w:rPr>
                <w:kern w:val="2"/>
                <w:highlight w:val="none"/>
              </w:rPr>
            </w:pPr>
            <w:r>
              <w:rPr>
                <w:rFonts w:eastAsia="宋体" w:cs="Times New Roman"/>
                <w:color w:val="auto"/>
                <w:kern w:val="2"/>
                <w:sz w:val="22"/>
                <w:highlight w:val="none"/>
                <w:shd w:val="clear" w:color="auto" w:fill="FCFCFC"/>
                <w:lang w:eastAsia="zh-CN"/>
              </w:rPr>
              <w:drawing>
                <wp:inline distT="0" distB="0" distL="114300" distR="114300">
                  <wp:extent cx="2811145" cy="2234565"/>
                  <wp:effectExtent l="0" t="0" r="8255" b="13335"/>
                  <wp:docPr id="12" name="图片 12" descr="图7不同类型公园感知倾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7不同类型公园感知倾向"/>
                          <pic:cNvPicPr>
                            <a:picLocks noChangeAspect="1"/>
                          </pic:cNvPicPr>
                        </pic:nvPicPr>
                        <pic:blipFill>
                          <a:blip r:embed="rId14"/>
                          <a:srcRect l="5455" t="4624" r="8453" b="5961"/>
                          <a:stretch>
                            <a:fillRect/>
                          </a:stretch>
                        </pic:blipFill>
                        <pic:spPr>
                          <a:xfrm>
                            <a:off x="0" y="0"/>
                            <a:ext cx="2811145" cy="2234565"/>
                          </a:xfrm>
                          <a:prstGeom prst="rect">
                            <a:avLst/>
                          </a:prstGeom>
                        </pic:spPr>
                      </pic:pic>
                    </a:graphicData>
                  </a:graphic>
                </wp:inline>
              </w:drawing>
            </w:r>
          </w:p>
        </w:tc>
      </w:tr>
    </w:tbl>
    <w:p w14:paraId="40C1EB72">
      <w:pPr>
        <w:pStyle w:val="36"/>
        <w:jc w:val="center"/>
        <w:rPr>
          <w:rFonts w:hint="eastAsia" w:ascii="Times New Roman" w:hAnsi="Times New Roman" w:eastAsia="宋体" w:cs="Times New Roman"/>
          <w:b w:val="0"/>
          <w:bCs/>
          <w:sz w:val="21"/>
          <w:szCs w:val="21"/>
          <w:highlight w:val="none"/>
        </w:rPr>
      </w:pPr>
      <w:r>
        <w:rPr>
          <w:rFonts w:hint="eastAsia" w:ascii="Times New Roman" w:hAnsi="Times New Roman" w:eastAsia="宋体" w:cs="Times New Roman"/>
          <w:b w:val="0"/>
          <w:bCs/>
          <w:sz w:val="21"/>
          <w:szCs w:val="21"/>
          <w:highlight w:val="none"/>
        </w:rPr>
        <w:t>图3不同类型公园CES感知倾向</w:t>
      </w:r>
    </w:p>
    <w:p w14:paraId="6954E601">
      <w:pPr>
        <w:pStyle w:val="36"/>
        <w:jc w:val="center"/>
        <w:rPr>
          <w:rFonts w:hint="default" w:ascii="Times New Roman" w:hAnsi="Times New Roman" w:eastAsia="黑体" w:cs="Times New Roman"/>
          <w:b w:val="0"/>
          <w:bCs/>
          <w:sz w:val="13"/>
          <w:szCs w:val="13"/>
          <w:highlight w:val="none"/>
        </w:rPr>
      </w:pPr>
      <w:r>
        <w:rPr>
          <w:rFonts w:hint="default" w:ascii="Times New Roman" w:hAnsi="Times New Roman" w:eastAsia="宋体" w:cs="Times New Roman"/>
          <w:b w:val="0"/>
          <w:bCs/>
          <w:sz w:val="24"/>
          <w:szCs w:val="24"/>
          <w:highlight w:val="none"/>
        </w:rPr>
        <w:t>Figure 3 Perceived Tendency of CES Across Different Types of Parks</w:t>
      </w:r>
    </w:p>
    <w:p w14:paraId="3ED84F24">
      <w:pPr>
        <w:pStyle w:val="34"/>
        <w:bidi w:val="0"/>
        <w:rPr>
          <w:rFonts w:hint="eastAsia"/>
          <w:highlight w:val="none"/>
          <w:lang w:val="en-US" w:eastAsia="zh-CN"/>
        </w:rPr>
      </w:pPr>
      <w:r>
        <w:rPr>
          <w:rFonts w:hint="eastAsia"/>
          <w:highlight w:val="none"/>
          <w:lang w:val="en-US" w:eastAsia="zh-CN"/>
        </w:rPr>
        <w:t>进一步结合表6与图4可见，三类公园在评价维度上既存在共性，也存在差异。共性表现为：美学与文化服务在三类公园中均保持较高关注度和较好</w:t>
      </w:r>
      <w:r>
        <w:rPr>
          <w:rFonts w:hint="eastAsia"/>
          <w:highlight w:val="none"/>
          <w:lang w:val="en-US" w:eastAsia="zh-CN"/>
        </w:rPr>
        <w:t>的正向感知，游憩与教育服务在三类公园中均相对偏弱。</w:t>
      </w:r>
    </w:p>
    <w:p w14:paraId="2A621FB4">
      <w:pPr>
        <w:pStyle w:val="36"/>
        <w:jc w:val="center"/>
        <w:rPr>
          <w:rFonts w:hint="default" w:ascii="Times New Roman" w:hAnsi="Times New Roman" w:eastAsia="宋体" w:cs="Times New Roman"/>
          <w:b w:val="0"/>
          <w:bCs/>
          <w:sz w:val="21"/>
          <w:szCs w:val="21"/>
          <w:highlight w:val="none"/>
        </w:rPr>
      </w:pPr>
      <w:r>
        <w:rPr>
          <w:rFonts w:hint="default" w:ascii="Times New Roman" w:hAnsi="Times New Roman" w:eastAsia="宋体" w:cs="Times New Roman"/>
          <w:b w:val="0"/>
          <w:bCs/>
          <w:sz w:val="21"/>
          <w:szCs w:val="21"/>
          <w:highlight w:val="none"/>
        </w:rPr>
        <w:t xml:space="preserve">表6 </w:t>
      </w:r>
      <w:r>
        <w:rPr>
          <w:rFonts w:hint="default" w:ascii="Times New Roman" w:hAnsi="Times New Roman" w:eastAsia="宋体" w:cs="Times New Roman"/>
          <w:b w:val="0"/>
          <w:bCs/>
          <w:sz w:val="21"/>
          <w:szCs w:val="21"/>
          <w:highlight w:val="none"/>
          <w:lang w:val="en-US" w:eastAsia="zh-CN"/>
        </w:rPr>
        <w:t>不同公园CES</w:t>
      </w:r>
      <w:r>
        <w:rPr>
          <w:rFonts w:hint="default" w:ascii="Times New Roman" w:hAnsi="Times New Roman" w:eastAsia="宋体" w:cs="Times New Roman"/>
          <w:b w:val="0"/>
          <w:bCs/>
          <w:sz w:val="21"/>
          <w:szCs w:val="21"/>
          <w:highlight w:val="none"/>
        </w:rPr>
        <w:t>感知特征</w:t>
      </w:r>
    </w:p>
    <w:p w14:paraId="09A4563D">
      <w:pPr>
        <w:pStyle w:val="36"/>
        <w:jc w:val="center"/>
        <w:rPr>
          <w:rFonts w:hint="default" w:ascii="Times New Roman" w:hAnsi="Times New Roman" w:eastAsia="宋体" w:cs="Times New Roman"/>
          <w:b w:val="0"/>
          <w:bCs/>
          <w:sz w:val="21"/>
          <w:szCs w:val="21"/>
          <w:highlight w:val="none"/>
        </w:rPr>
      </w:pPr>
      <w:r>
        <w:rPr>
          <w:rFonts w:hint="default" w:ascii="Times New Roman" w:hAnsi="Times New Roman" w:eastAsia="宋体" w:cs="Times New Roman"/>
          <w:b w:val="0"/>
          <w:bCs/>
          <w:sz w:val="21"/>
          <w:szCs w:val="21"/>
          <w:highlight w:val="none"/>
        </w:rPr>
        <w:t>Table 6 CES Perception Characteristics of Different Parks</w:t>
      </w:r>
    </w:p>
    <w:tbl>
      <w:tblPr>
        <w:tblStyle w:val="15"/>
        <w:tblW w:w="44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721"/>
        <w:gridCol w:w="1370"/>
      </w:tblGrid>
      <w:tr w14:paraId="56782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0" w:type="dxa"/>
            <w:tcBorders>
              <w:top w:val="single" w:color="auto" w:sz="4" w:space="0"/>
              <w:left w:val="nil"/>
              <w:bottom w:val="single" w:color="auto" w:sz="4" w:space="0"/>
              <w:right w:val="nil"/>
            </w:tcBorders>
            <w:vAlign w:val="center"/>
          </w:tcPr>
          <w:p w14:paraId="4B431802">
            <w:pPr>
              <w:snapToGrid w:val="0"/>
              <w:ind w:left="0" w:leftChars="0" w:right="0" w:rightChars="0" w:firstLine="0" w:firstLineChars="0"/>
              <w:jc w:val="both"/>
              <w:rPr>
                <w:kern w:val="2"/>
                <w:sz w:val="15"/>
                <w:szCs w:val="15"/>
                <w:highlight w:val="none"/>
              </w:rPr>
            </w:pPr>
            <w:r>
              <w:rPr>
                <w:kern w:val="2"/>
                <w:sz w:val="15"/>
                <w:szCs w:val="15"/>
                <w:highlight w:val="none"/>
              </w:rPr>
              <w:t>公园类型</w:t>
            </w:r>
          </w:p>
        </w:tc>
        <w:tc>
          <w:tcPr>
            <w:tcW w:w="1721" w:type="dxa"/>
            <w:tcBorders>
              <w:top w:val="single" w:color="auto" w:sz="4" w:space="0"/>
              <w:left w:val="nil"/>
              <w:bottom w:val="single" w:color="auto" w:sz="4" w:space="0"/>
              <w:right w:val="nil"/>
            </w:tcBorders>
            <w:vAlign w:val="center"/>
          </w:tcPr>
          <w:p w14:paraId="7685A2CF">
            <w:pPr>
              <w:snapToGrid w:val="0"/>
              <w:ind w:left="0" w:leftChars="0" w:right="0" w:rightChars="0" w:firstLine="0" w:firstLineChars="0"/>
              <w:jc w:val="both"/>
              <w:rPr>
                <w:kern w:val="2"/>
                <w:sz w:val="15"/>
                <w:szCs w:val="15"/>
                <w:highlight w:val="none"/>
              </w:rPr>
            </w:pPr>
            <w:r>
              <w:rPr>
                <w:kern w:val="2"/>
                <w:sz w:val="15"/>
                <w:szCs w:val="15"/>
                <w:highlight w:val="none"/>
              </w:rPr>
              <w:t>感知倾向</w:t>
            </w:r>
          </w:p>
        </w:tc>
        <w:tc>
          <w:tcPr>
            <w:tcW w:w="1370" w:type="dxa"/>
            <w:tcBorders>
              <w:top w:val="single" w:color="auto" w:sz="4" w:space="0"/>
              <w:left w:val="nil"/>
              <w:bottom w:val="single" w:color="auto" w:sz="4" w:space="0"/>
              <w:right w:val="nil"/>
            </w:tcBorders>
            <w:vAlign w:val="center"/>
          </w:tcPr>
          <w:p w14:paraId="47620B8E">
            <w:pPr>
              <w:snapToGrid w:val="0"/>
              <w:ind w:left="0" w:leftChars="0" w:right="0" w:rightChars="0" w:firstLine="0" w:firstLineChars="0"/>
              <w:jc w:val="both"/>
              <w:rPr>
                <w:kern w:val="2"/>
                <w:sz w:val="15"/>
                <w:szCs w:val="15"/>
                <w:highlight w:val="none"/>
              </w:rPr>
            </w:pPr>
            <w:r>
              <w:rPr>
                <w:kern w:val="2"/>
                <w:sz w:val="15"/>
                <w:szCs w:val="15"/>
                <w:highlight w:val="none"/>
              </w:rPr>
              <w:t>感知频率</w:t>
            </w:r>
          </w:p>
        </w:tc>
      </w:tr>
      <w:tr w14:paraId="53CD4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80" w:type="dxa"/>
            <w:tcBorders>
              <w:top w:val="single" w:color="auto" w:sz="4" w:space="0"/>
              <w:left w:val="nil"/>
              <w:bottom w:val="nil"/>
              <w:right w:val="nil"/>
            </w:tcBorders>
            <w:shd w:val="clear" w:color="auto" w:fill="auto"/>
            <w:vAlign w:val="center"/>
          </w:tcPr>
          <w:p w14:paraId="340427C8">
            <w:pPr>
              <w:snapToGrid w:val="0"/>
              <w:ind w:left="0" w:leftChars="0" w:right="0" w:rightChars="0" w:firstLine="0" w:firstLineChars="0"/>
              <w:jc w:val="both"/>
              <w:rPr>
                <w:rFonts w:eastAsia="宋体" w:asciiTheme="minorHAnsi" w:hAnsiTheme="minorHAnsi" w:cstheme="minorBidi"/>
                <w:kern w:val="2"/>
                <w:sz w:val="15"/>
                <w:szCs w:val="15"/>
                <w:highlight w:val="none"/>
                <w:lang w:val="en-US" w:eastAsia="en-US" w:bidi="ar-SA"/>
              </w:rPr>
            </w:pPr>
            <w:r>
              <w:rPr>
                <w:kern w:val="2"/>
                <w:sz w:val="15"/>
                <w:szCs w:val="15"/>
                <w:highlight w:val="none"/>
              </w:rPr>
              <w:t>特色公园</w:t>
            </w:r>
          </w:p>
        </w:tc>
        <w:tc>
          <w:tcPr>
            <w:tcW w:w="1721" w:type="dxa"/>
            <w:tcBorders>
              <w:top w:val="single" w:color="auto" w:sz="4" w:space="0"/>
              <w:left w:val="nil"/>
              <w:bottom w:val="nil"/>
              <w:right w:val="nil"/>
            </w:tcBorders>
            <w:shd w:val="clear" w:color="auto" w:fill="auto"/>
            <w:vAlign w:val="center"/>
          </w:tcPr>
          <w:p w14:paraId="50E52899">
            <w:pPr>
              <w:snapToGrid w:val="0"/>
              <w:ind w:left="0" w:leftChars="0" w:right="0" w:rightChars="0" w:firstLine="0" w:firstLineChars="0"/>
              <w:jc w:val="both"/>
              <w:rPr>
                <w:rFonts w:eastAsia="宋体" w:asciiTheme="minorHAnsi" w:hAnsiTheme="minorHAnsi" w:cstheme="minorBidi"/>
                <w:kern w:val="2"/>
                <w:sz w:val="15"/>
                <w:szCs w:val="15"/>
                <w:highlight w:val="none"/>
                <w:lang w:val="en-US" w:eastAsia="en-US" w:bidi="ar-SA"/>
              </w:rPr>
            </w:pPr>
            <w:r>
              <w:rPr>
                <w:kern w:val="2"/>
                <w:sz w:val="15"/>
                <w:szCs w:val="15"/>
                <w:highlight w:val="none"/>
              </w:rPr>
              <w:t>1＞4＞2＞3</w:t>
            </w:r>
          </w:p>
        </w:tc>
        <w:tc>
          <w:tcPr>
            <w:tcW w:w="1370" w:type="dxa"/>
            <w:tcBorders>
              <w:top w:val="single" w:color="auto" w:sz="4" w:space="0"/>
              <w:left w:val="nil"/>
              <w:bottom w:val="nil"/>
              <w:right w:val="nil"/>
            </w:tcBorders>
            <w:shd w:val="clear" w:color="auto" w:fill="auto"/>
            <w:vAlign w:val="center"/>
          </w:tcPr>
          <w:p w14:paraId="12B94592">
            <w:pPr>
              <w:snapToGrid w:val="0"/>
              <w:ind w:left="0" w:leftChars="0" w:right="0" w:rightChars="0" w:firstLine="0" w:firstLineChars="0"/>
              <w:jc w:val="both"/>
              <w:rPr>
                <w:rFonts w:hint="eastAsia" w:asciiTheme="minorHAnsi" w:hAnsiTheme="minorHAnsi" w:eastAsiaTheme="minorEastAsia" w:cstheme="minorBidi"/>
                <w:kern w:val="2"/>
                <w:sz w:val="15"/>
                <w:szCs w:val="15"/>
                <w:highlight w:val="none"/>
                <w:lang w:val="en-US" w:eastAsia="zh-CN" w:bidi="ar-SA"/>
              </w:rPr>
            </w:pPr>
            <w:r>
              <w:rPr>
                <w:rFonts w:hint="eastAsia"/>
                <w:kern w:val="2"/>
                <w:sz w:val="15"/>
                <w:szCs w:val="15"/>
                <w:highlight w:val="none"/>
                <w:lang w:val="en-US" w:eastAsia="zh-CN"/>
              </w:rPr>
              <w:t>3</w:t>
            </w:r>
            <w:r>
              <w:rPr>
                <w:kern w:val="2"/>
                <w:sz w:val="15"/>
                <w:szCs w:val="15"/>
                <w:highlight w:val="none"/>
              </w:rPr>
              <w:t>＞</w:t>
            </w:r>
            <w:r>
              <w:rPr>
                <w:rFonts w:hint="eastAsia"/>
                <w:kern w:val="2"/>
                <w:sz w:val="15"/>
                <w:szCs w:val="15"/>
                <w:highlight w:val="none"/>
                <w:lang w:val="en-US" w:eastAsia="zh-CN"/>
              </w:rPr>
              <w:t>1</w:t>
            </w:r>
            <w:r>
              <w:rPr>
                <w:kern w:val="2"/>
                <w:sz w:val="15"/>
                <w:szCs w:val="15"/>
                <w:highlight w:val="none"/>
              </w:rPr>
              <w:t>＞</w:t>
            </w:r>
            <w:r>
              <w:rPr>
                <w:rFonts w:hint="eastAsia"/>
                <w:kern w:val="2"/>
                <w:sz w:val="15"/>
                <w:szCs w:val="15"/>
                <w:highlight w:val="none"/>
                <w:lang w:val="en-US" w:eastAsia="zh-CN"/>
              </w:rPr>
              <w:t>4</w:t>
            </w:r>
            <w:r>
              <w:rPr>
                <w:kern w:val="2"/>
                <w:sz w:val="15"/>
                <w:szCs w:val="15"/>
                <w:highlight w:val="none"/>
              </w:rPr>
              <w:t>＞</w:t>
            </w:r>
            <w:r>
              <w:rPr>
                <w:rFonts w:hint="eastAsia"/>
                <w:kern w:val="2"/>
                <w:sz w:val="15"/>
                <w:szCs w:val="15"/>
                <w:highlight w:val="none"/>
                <w:lang w:val="en-US" w:eastAsia="zh-CN"/>
              </w:rPr>
              <w:t>2</w:t>
            </w:r>
          </w:p>
        </w:tc>
      </w:tr>
      <w:tr w14:paraId="5315D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80" w:type="dxa"/>
            <w:tcBorders>
              <w:top w:val="nil"/>
              <w:left w:val="nil"/>
              <w:bottom w:val="nil"/>
              <w:right w:val="nil"/>
            </w:tcBorders>
            <w:vAlign w:val="center"/>
          </w:tcPr>
          <w:p w14:paraId="13A3A23C">
            <w:pPr>
              <w:snapToGrid w:val="0"/>
              <w:ind w:left="0" w:leftChars="0" w:right="0" w:rightChars="0" w:firstLine="0" w:firstLineChars="0"/>
              <w:jc w:val="both"/>
              <w:rPr>
                <w:kern w:val="2"/>
                <w:sz w:val="15"/>
                <w:szCs w:val="15"/>
                <w:highlight w:val="none"/>
              </w:rPr>
            </w:pPr>
            <w:r>
              <w:rPr>
                <w:kern w:val="2"/>
                <w:sz w:val="15"/>
                <w:szCs w:val="15"/>
                <w:highlight w:val="none"/>
              </w:rPr>
              <w:t>基干公园</w:t>
            </w:r>
          </w:p>
        </w:tc>
        <w:tc>
          <w:tcPr>
            <w:tcW w:w="1721" w:type="dxa"/>
            <w:tcBorders>
              <w:top w:val="nil"/>
              <w:left w:val="nil"/>
              <w:bottom w:val="nil"/>
              <w:right w:val="nil"/>
            </w:tcBorders>
            <w:vAlign w:val="center"/>
          </w:tcPr>
          <w:p w14:paraId="0A95E294">
            <w:pPr>
              <w:snapToGrid w:val="0"/>
              <w:ind w:left="0" w:leftChars="0" w:right="0" w:rightChars="0" w:firstLine="0" w:firstLineChars="0"/>
              <w:jc w:val="both"/>
              <w:rPr>
                <w:kern w:val="2"/>
                <w:sz w:val="15"/>
                <w:szCs w:val="15"/>
                <w:highlight w:val="none"/>
              </w:rPr>
            </w:pPr>
            <w:r>
              <w:rPr>
                <w:kern w:val="2"/>
                <w:sz w:val="15"/>
                <w:szCs w:val="15"/>
                <w:highlight w:val="none"/>
              </w:rPr>
              <w:t>1＞4＞2＞3</w:t>
            </w:r>
          </w:p>
        </w:tc>
        <w:tc>
          <w:tcPr>
            <w:tcW w:w="1370" w:type="dxa"/>
            <w:tcBorders>
              <w:top w:val="nil"/>
              <w:left w:val="nil"/>
              <w:bottom w:val="nil"/>
              <w:right w:val="nil"/>
            </w:tcBorders>
            <w:vAlign w:val="center"/>
          </w:tcPr>
          <w:p w14:paraId="56C459E2">
            <w:pPr>
              <w:snapToGrid w:val="0"/>
              <w:ind w:left="0" w:leftChars="0" w:right="0" w:rightChars="0" w:firstLine="0" w:firstLineChars="0"/>
              <w:jc w:val="both"/>
              <w:rPr>
                <w:kern w:val="2"/>
                <w:sz w:val="15"/>
                <w:szCs w:val="15"/>
                <w:highlight w:val="none"/>
              </w:rPr>
            </w:pPr>
            <w:r>
              <w:rPr>
                <w:kern w:val="2"/>
                <w:sz w:val="15"/>
                <w:szCs w:val="15"/>
                <w:highlight w:val="none"/>
              </w:rPr>
              <w:t>1＞4＞2＞3</w:t>
            </w:r>
          </w:p>
        </w:tc>
      </w:tr>
      <w:tr w14:paraId="7A84F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80" w:type="dxa"/>
            <w:tcBorders>
              <w:top w:val="nil"/>
              <w:left w:val="nil"/>
              <w:bottom w:val="single" w:color="auto" w:sz="4" w:space="0"/>
              <w:right w:val="nil"/>
            </w:tcBorders>
            <w:vAlign w:val="center"/>
          </w:tcPr>
          <w:p w14:paraId="34AE9C0E">
            <w:pPr>
              <w:snapToGrid w:val="0"/>
              <w:ind w:left="0" w:leftChars="0" w:right="0" w:rightChars="0" w:firstLine="0" w:firstLineChars="0"/>
              <w:jc w:val="both"/>
              <w:rPr>
                <w:kern w:val="2"/>
                <w:sz w:val="15"/>
                <w:szCs w:val="15"/>
                <w:highlight w:val="none"/>
              </w:rPr>
            </w:pPr>
            <w:r>
              <w:rPr>
                <w:kern w:val="2"/>
                <w:sz w:val="15"/>
                <w:szCs w:val="15"/>
                <w:highlight w:val="none"/>
              </w:rPr>
              <w:t>自然公园</w:t>
            </w:r>
          </w:p>
        </w:tc>
        <w:tc>
          <w:tcPr>
            <w:tcW w:w="1721" w:type="dxa"/>
            <w:tcBorders>
              <w:top w:val="nil"/>
              <w:left w:val="nil"/>
              <w:bottom w:val="single" w:color="auto" w:sz="4" w:space="0"/>
              <w:right w:val="nil"/>
            </w:tcBorders>
            <w:vAlign w:val="center"/>
          </w:tcPr>
          <w:p w14:paraId="6322FB22">
            <w:pPr>
              <w:snapToGrid w:val="0"/>
              <w:ind w:left="0" w:leftChars="0" w:right="0" w:rightChars="0" w:firstLine="0" w:firstLineChars="0"/>
              <w:jc w:val="both"/>
              <w:rPr>
                <w:kern w:val="2"/>
                <w:sz w:val="15"/>
                <w:szCs w:val="15"/>
                <w:highlight w:val="none"/>
              </w:rPr>
            </w:pPr>
            <w:r>
              <w:rPr>
                <w:kern w:val="2"/>
                <w:sz w:val="15"/>
                <w:szCs w:val="15"/>
                <w:highlight w:val="none"/>
              </w:rPr>
              <w:t>2＞1＞4＞3</w:t>
            </w:r>
          </w:p>
        </w:tc>
        <w:tc>
          <w:tcPr>
            <w:tcW w:w="1370" w:type="dxa"/>
            <w:tcBorders>
              <w:top w:val="nil"/>
              <w:left w:val="nil"/>
              <w:bottom w:val="single" w:color="auto" w:sz="4" w:space="0"/>
              <w:right w:val="nil"/>
            </w:tcBorders>
            <w:vAlign w:val="center"/>
          </w:tcPr>
          <w:p w14:paraId="4A353929">
            <w:pPr>
              <w:snapToGrid w:val="0"/>
              <w:ind w:left="0" w:leftChars="0" w:right="0" w:rightChars="0" w:firstLine="0" w:firstLineChars="0"/>
              <w:jc w:val="both"/>
              <w:rPr>
                <w:rFonts w:hint="eastAsia" w:eastAsiaTheme="minorEastAsia"/>
                <w:kern w:val="2"/>
                <w:sz w:val="15"/>
                <w:szCs w:val="15"/>
                <w:highlight w:val="none"/>
                <w:lang w:eastAsia="zh-CN"/>
              </w:rPr>
            </w:pPr>
            <w:r>
              <w:rPr>
                <w:rFonts w:hint="eastAsia"/>
                <w:kern w:val="2"/>
                <w:sz w:val="15"/>
                <w:szCs w:val="15"/>
                <w:highlight w:val="none"/>
                <w:lang w:val="en-US" w:eastAsia="zh-CN"/>
              </w:rPr>
              <w:t>4</w:t>
            </w:r>
            <w:r>
              <w:rPr>
                <w:kern w:val="2"/>
                <w:sz w:val="15"/>
                <w:szCs w:val="15"/>
                <w:highlight w:val="none"/>
              </w:rPr>
              <w:t>＞</w:t>
            </w:r>
            <w:r>
              <w:rPr>
                <w:rFonts w:hint="eastAsia"/>
                <w:kern w:val="2"/>
                <w:sz w:val="15"/>
                <w:szCs w:val="15"/>
                <w:highlight w:val="none"/>
                <w:lang w:val="en-US" w:eastAsia="zh-CN"/>
              </w:rPr>
              <w:t>1</w:t>
            </w:r>
            <w:r>
              <w:rPr>
                <w:kern w:val="2"/>
                <w:sz w:val="15"/>
                <w:szCs w:val="15"/>
                <w:highlight w:val="none"/>
              </w:rPr>
              <w:t>＞</w:t>
            </w:r>
            <w:r>
              <w:rPr>
                <w:rFonts w:hint="eastAsia"/>
                <w:kern w:val="2"/>
                <w:sz w:val="15"/>
                <w:szCs w:val="15"/>
                <w:highlight w:val="none"/>
                <w:lang w:val="en-US" w:eastAsia="zh-CN"/>
              </w:rPr>
              <w:t>2</w:t>
            </w:r>
            <w:r>
              <w:rPr>
                <w:kern w:val="2"/>
                <w:sz w:val="15"/>
                <w:szCs w:val="15"/>
                <w:highlight w:val="none"/>
              </w:rPr>
              <w:t>＞</w:t>
            </w:r>
            <w:r>
              <w:rPr>
                <w:rFonts w:hint="eastAsia"/>
                <w:kern w:val="2"/>
                <w:sz w:val="15"/>
                <w:szCs w:val="15"/>
                <w:highlight w:val="none"/>
                <w:lang w:val="en-US" w:eastAsia="zh-CN"/>
              </w:rPr>
              <w:t>3</w:t>
            </w:r>
          </w:p>
        </w:tc>
      </w:tr>
    </w:tbl>
    <w:p w14:paraId="2F1F88FC">
      <w:pPr>
        <w:pStyle w:val="31"/>
        <w:bidi w:val="0"/>
        <w:jc w:val="both"/>
        <w:rPr>
          <w:rFonts w:hint="eastAsia" w:ascii="黑体" w:hAnsi="黑体" w:eastAsia="黑体" w:cs="黑体"/>
          <w:b w:val="0"/>
          <w:bCs/>
          <w:color w:val="auto"/>
          <w:sz w:val="13"/>
          <w:szCs w:val="13"/>
          <w:highlight w:val="none"/>
          <w:lang w:val="en-US" w:eastAsia="zh-CN" w:bidi="ar-SA"/>
        </w:rPr>
      </w:pPr>
      <w:r>
        <w:rPr>
          <w:rFonts w:hint="eastAsia" w:ascii="黑体" w:hAnsi="黑体" w:eastAsia="黑体" w:cs="黑体"/>
          <w:b w:val="0"/>
          <w:bCs/>
          <w:color w:val="auto"/>
          <w:sz w:val="13"/>
          <w:szCs w:val="13"/>
          <w:highlight w:val="none"/>
          <w:lang w:val="en-US" w:eastAsia="zh-CN" w:bidi="ar-SA"/>
        </w:rPr>
        <w:t>注：1.美学与文化服务，2.环境感知与恢复性服务，3.游憩与教育服务，4.空间承载服务</w:t>
      </w:r>
    </w:p>
    <w:p w14:paraId="24F67AA7">
      <w:pPr>
        <w:pStyle w:val="34"/>
        <w:bidi w:val="0"/>
        <w:rPr>
          <w:rFonts w:hint="eastAsia"/>
          <w:highlight w:val="none"/>
          <w:lang w:val="en-US" w:eastAsia="zh-CN"/>
        </w:rPr>
      </w:pPr>
      <w:r>
        <w:rPr>
          <w:rFonts w:hint="eastAsia"/>
          <w:highlight w:val="none"/>
          <w:lang w:val="en-US" w:eastAsia="zh-CN"/>
        </w:rPr>
        <w:t>感知倾向方面差异表现为：特色公园在空间承载和美学与文化方面表现更突出；基干公园的各维度分布更均衡；自然公园的环境感知与恢复性服务较高，美学与文化服务次之。三类公园的游憩与教育服务均较低。</w:t>
      </w:r>
    </w:p>
    <w:p w14:paraId="746D0CF0">
      <w:pPr>
        <w:pStyle w:val="34"/>
        <w:bidi w:val="0"/>
        <w:rPr>
          <w:rFonts w:hint="eastAsia"/>
          <w:highlight w:val="none"/>
          <w:lang w:val="en-US" w:eastAsia="zh-CN"/>
        </w:rPr>
      </w:pPr>
      <w:r>
        <w:rPr>
          <w:rFonts w:hint="eastAsia"/>
          <w:highlight w:val="none"/>
          <w:lang w:val="en-US" w:eastAsia="zh-CN"/>
        </w:rPr>
        <w:t>感知频率方面差异表现为：特色公园在游憩与教育服务表现最突出，美学与文化服务次之，而环境感知与恢复性服务最弱；基干公园则为美学与文化服务最突出，空间承载服务次之，并且波动最大；自然公园在空间承载服务方面最为突出，美学与文化服务次之，游憩与教育方面在三类公园中最弱。</w:t>
      </w:r>
    </w:p>
    <w:tbl>
      <w:tblPr>
        <w:tblStyle w:val="15"/>
        <w:tblW w:w="66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660"/>
      </w:tblGrid>
      <w:tr w14:paraId="60228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0" w:hRule="atLeast"/>
          <w:jc w:val="center"/>
        </w:trPr>
        <w:tc>
          <w:tcPr>
            <w:tcW w:w="6660" w:type="dxa"/>
          </w:tcPr>
          <w:p w14:paraId="4E2FD29B">
            <w:pPr>
              <w:ind w:left="0" w:leftChars="0" w:firstLine="0" w:firstLineChars="0"/>
              <w:jc w:val="both"/>
              <w:rPr>
                <w:kern w:val="2"/>
                <w:highlight w:val="none"/>
              </w:rPr>
            </w:pPr>
            <w:r>
              <w:rPr>
                <w:rFonts w:eastAsia="宋体" w:cs="Times New Roman"/>
                <w:color w:val="auto"/>
                <w:kern w:val="2"/>
                <w:sz w:val="24"/>
                <w:szCs w:val="24"/>
                <w:highlight w:val="none"/>
                <w:lang w:eastAsia="zh-CN"/>
              </w:rPr>
              <w:drawing>
                <wp:inline distT="0" distB="0" distL="114300" distR="114300">
                  <wp:extent cx="4183380" cy="1681480"/>
                  <wp:effectExtent l="0" t="0" r="7620" b="13970"/>
                  <wp:docPr id="13" name="图片 13" descr="三类频率倾向华文细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三类频率倾向华文细黑"/>
                          <pic:cNvPicPr>
                            <a:picLocks noChangeAspect="1"/>
                          </pic:cNvPicPr>
                        </pic:nvPicPr>
                        <pic:blipFill>
                          <a:blip r:embed="rId15"/>
                          <a:stretch>
                            <a:fillRect/>
                          </a:stretch>
                        </pic:blipFill>
                        <pic:spPr>
                          <a:xfrm>
                            <a:off x="0" y="0"/>
                            <a:ext cx="4183380" cy="1681480"/>
                          </a:xfrm>
                          <a:prstGeom prst="rect">
                            <a:avLst/>
                          </a:prstGeom>
                        </pic:spPr>
                      </pic:pic>
                    </a:graphicData>
                  </a:graphic>
                </wp:inline>
              </w:drawing>
            </w:r>
          </w:p>
        </w:tc>
      </w:tr>
    </w:tbl>
    <w:p w14:paraId="4FA0DF71">
      <w:pPr>
        <w:pStyle w:val="36"/>
        <w:jc w:val="center"/>
        <w:rPr>
          <w:rFonts w:hint="eastAsia" w:ascii="宋体" w:hAnsi="宋体" w:eastAsia="宋体" w:cs="宋体"/>
          <w:b w:val="0"/>
          <w:bCs/>
          <w:sz w:val="21"/>
          <w:szCs w:val="21"/>
          <w:highlight w:val="none"/>
          <w:lang w:val="zh-TW" w:eastAsia="zh-CN"/>
        </w:rPr>
      </w:pPr>
      <w:r>
        <w:rPr>
          <w:rFonts w:hint="eastAsia" w:ascii="宋体" w:hAnsi="宋体" w:eastAsia="宋体" w:cs="宋体"/>
          <w:b w:val="0"/>
          <w:bCs/>
          <w:sz w:val="21"/>
          <w:szCs w:val="21"/>
          <w:highlight w:val="none"/>
          <w:lang w:val="zh-TW" w:eastAsia="zh-CN"/>
        </w:rPr>
        <w:t>图4不同类型公园CES要素感知倾向与感知频率</w:t>
      </w:r>
    </w:p>
    <w:p w14:paraId="7F892FA7">
      <w:pPr>
        <w:pStyle w:val="36"/>
        <w:jc w:val="center"/>
        <w:rPr>
          <w:rFonts w:hint="default" w:ascii="Times New Roman" w:hAnsi="Times New Roman" w:eastAsia="黑体" w:cs="Times New Roman"/>
          <w:b w:val="0"/>
          <w:bCs/>
          <w:sz w:val="21"/>
          <w:szCs w:val="21"/>
          <w:highlight w:val="none"/>
          <w:lang w:val="zh-TW" w:eastAsia="zh-CN"/>
        </w:rPr>
      </w:pPr>
      <w:r>
        <w:rPr>
          <w:rFonts w:hint="default" w:ascii="Times New Roman" w:hAnsi="Times New Roman" w:eastAsia="宋体" w:cs="Times New Roman"/>
          <w:b w:val="0"/>
          <w:bCs/>
          <w:sz w:val="21"/>
          <w:szCs w:val="21"/>
          <w:highlight w:val="none"/>
        </w:rPr>
        <w:t>Figure 4 Perceived Tendency and Perceived Frequency of CES Elements Across Different Types of Parks</w:t>
      </w:r>
    </w:p>
    <w:p w14:paraId="033DC779">
      <w:pPr>
        <w:pStyle w:val="33"/>
        <w:bidi w:val="0"/>
        <w:rPr>
          <w:rFonts w:hint="default"/>
          <w:highlight w:val="none"/>
          <w:lang w:val="en-US" w:eastAsia="zh-CN"/>
        </w:rPr>
      </w:pPr>
      <w:r>
        <w:rPr>
          <w:rFonts w:hint="eastAsia"/>
          <w:highlight w:val="none"/>
          <w:lang w:val="en-US" w:eastAsia="zh-CN"/>
        </w:rPr>
        <w:t>2.2  CES关键要素与体验制约</w:t>
      </w:r>
    </w:p>
    <w:p w14:paraId="432B34C2">
      <w:pPr>
        <w:pStyle w:val="34"/>
        <w:bidi w:val="0"/>
        <w:rPr>
          <w:highlight w:val="none"/>
        </w:rPr>
      </w:pPr>
      <w:r>
        <w:rPr>
          <w:highlight w:val="none"/>
        </w:rPr>
        <w:t>为识别影响总体感知倾向的关键机制，</w:t>
      </w:r>
      <w:r>
        <w:rPr>
          <w:rFonts w:hint="eastAsia"/>
          <w:highlight w:val="none"/>
          <w:lang w:eastAsia="zh-CN"/>
        </w:rPr>
        <w:t>研究</w:t>
      </w:r>
      <w:r>
        <w:rPr>
          <w:highlight w:val="none"/>
        </w:rPr>
        <w:t>将分析尺度从评价维度下沉至10项评价要素层面，以总体感知倾向为因变量建立岭回归模型。该处理</w:t>
      </w:r>
      <w:r>
        <w:rPr>
          <w:rFonts w:hint="eastAsia"/>
          <w:highlight w:val="none"/>
          <w:lang w:val="en-US" w:eastAsia="zh-CN"/>
        </w:rPr>
        <w:t>旨在</w:t>
      </w:r>
      <w:r>
        <w:rPr>
          <w:highlight w:val="none"/>
        </w:rPr>
        <w:t>存在相关性的多要素体系中识别方向稳定、解释力较强的核心变量。</w:t>
      </w:r>
    </w:p>
    <w:p w14:paraId="211B0BD5">
      <w:pPr>
        <w:pStyle w:val="34"/>
        <w:bidi w:val="0"/>
        <w:rPr>
          <w:rFonts w:hint="default" w:ascii="Times New Roman" w:hAnsi="Times New Roman" w:eastAsia="宋体" w:cs="Times New Roman"/>
          <w:b w:val="0"/>
          <w:bCs/>
          <w:kern w:val="2"/>
          <w:sz w:val="21"/>
          <w:szCs w:val="21"/>
          <w:highlight w:val="none"/>
          <w:lang w:val="zh-TW" w:eastAsia="zh-CN" w:bidi="ar-SA"/>
        </w:rPr>
      </w:pPr>
      <w:r>
        <w:rPr>
          <w:rFonts w:hint="default" w:ascii="Times New Roman" w:hAnsi="Times New Roman" w:eastAsia="宋体" w:cs="Times New Roman"/>
          <w:b w:val="0"/>
          <w:bCs/>
          <w:kern w:val="2"/>
          <w:sz w:val="21"/>
          <w:szCs w:val="21"/>
          <w:highlight w:val="none"/>
          <w:lang w:val="zh-TW" w:eastAsia="zh-CN" w:bidi="ar-SA"/>
        </w:rPr>
        <w:t>岭回归分析结果表明（表7），文化遗产服务（Beta=0.</w:t>
      </w:r>
      <w:r>
        <w:rPr>
          <w:rFonts w:hint="eastAsia" w:ascii="Times New Roman" w:hAnsi="Times New Roman" w:eastAsia="宋体" w:cs="Times New Roman"/>
          <w:b w:val="0"/>
          <w:bCs/>
          <w:kern w:val="2"/>
          <w:sz w:val="21"/>
          <w:szCs w:val="21"/>
          <w:highlight w:val="none"/>
          <w:lang w:val="en-US" w:eastAsia="zh-CN" w:bidi="ar-SA"/>
        </w:rPr>
        <w:t>489</w:t>
      </w:r>
      <w:r>
        <w:rPr>
          <w:rFonts w:hint="default" w:ascii="Times New Roman" w:hAnsi="Times New Roman" w:eastAsia="宋体" w:cs="Times New Roman"/>
          <w:b w:val="0"/>
          <w:bCs/>
          <w:kern w:val="2"/>
          <w:sz w:val="21"/>
          <w:szCs w:val="21"/>
          <w:highlight w:val="none"/>
          <w:lang w:val="zh-TW" w:eastAsia="zh-CN" w:bidi="ar-SA"/>
        </w:rPr>
        <w:t>，p&lt;0.001）</w:t>
      </w:r>
      <w:r>
        <w:rPr>
          <w:rFonts w:hint="eastAsia" w:ascii="Times New Roman" w:hAnsi="Times New Roman" w:eastAsia="宋体" w:cs="Times New Roman"/>
          <w:b w:val="0"/>
          <w:bCs/>
          <w:kern w:val="2"/>
          <w:sz w:val="21"/>
          <w:szCs w:val="21"/>
          <w:highlight w:val="none"/>
          <w:lang w:val="en-US" w:eastAsia="zh-CN" w:bidi="ar-SA"/>
        </w:rPr>
        <w:t>、</w:t>
      </w:r>
      <w:r>
        <w:rPr>
          <w:rFonts w:hint="eastAsia" w:ascii="Times New Roman" w:hAnsi="Times New Roman" w:eastAsia="宋体" w:cs="Times New Roman"/>
          <w:b w:val="0"/>
          <w:bCs/>
          <w:kern w:val="2"/>
          <w:sz w:val="21"/>
          <w:szCs w:val="21"/>
          <w:highlight w:val="none"/>
          <w:lang w:val="zh-TW" w:eastAsia="zh-CN" w:bidi="ar-SA"/>
        </w:rPr>
        <w:t>空间开敞与通行服务</w:t>
      </w:r>
      <w:r>
        <w:rPr>
          <w:rFonts w:hint="default" w:ascii="Times New Roman" w:hAnsi="Times New Roman" w:eastAsia="宋体" w:cs="Times New Roman"/>
          <w:b w:val="0"/>
          <w:bCs/>
          <w:kern w:val="2"/>
          <w:sz w:val="21"/>
          <w:szCs w:val="21"/>
          <w:highlight w:val="none"/>
          <w:lang w:val="zh-TW" w:eastAsia="zh-CN" w:bidi="ar-SA"/>
        </w:rPr>
        <w:t>（Beta=0.</w:t>
      </w:r>
      <w:r>
        <w:rPr>
          <w:rFonts w:hint="eastAsia" w:ascii="Times New Roman" w:hAnsi="Times New Roman" w:eastAsia="宋体" w:cs="Times New Roman"/>
          <w:b w:val="0"/>
          <w:bCs/>
          <w:kern w:val="2"/>
          <w:sz w:val="21"/>
          <w:szCs w:val="21"/>
          <w:highlight w:val="none"/>
          <w:lang w:val="en-US" w:eastAsia="zh-CN" w:bidi="ar-SA"/>
        </w:rPr>
        <w:t>362</w:t>
      </w:r>
      <w:r>
        <w:rPr>
          <w:rFonts w:hint="default" w:ascii="Times New Roman" w:hAnsi="Times New Roman" w:eastAsia="宋体" w:cs="Times New Roman"/>
          <w:b w:val="0"/>
          <w:bCs/>
          <w:kern w:val="2"/>
          <w:sz w:val="21"/>
          <w:szCs w:val="21"/>
          <w:highlight w:val="none"/>
          <w:lang w:val="zh-TW" w:eastAsia="zh-CN" w:bidi="ar-SA"/>
        </w:rPr>
        <w:t>，p&lt;0.001）</w:t>
      </w:r>
      <w:r>
        <w:rPr>
          <w:rFonts w:hint="eastAsia" w:ascii="Times New Roman" w:hAnsi="Times New Roman" w:eastAsia="宋体" w:cs="Times New Roman"/>
          <w:b w:val="0"/>
          <w:bCs/>
          <w:kern w:val="2"/>
          <w:sz w:val="21"/>
          <w:szCs w:val="21"/>
          <w:highlight w:val="none"/>
          <w:lang w:val="en-US" w:eastAsia="zh-CN" w:bidi="ar-SA"/>
        </w:rPr>
        <w:t>均</w:t>
      </w:r>
      <w:r>
        <w:rPr>
          <w:rFonts w:hint="default" w:ascii="Times New Roman" w:hAnsi="Times New Roman" w:eastAsia="宋体" w:cs="Times New Roman"/>
          <w:b w:val="0"/>
          <w:bCs/>
          <w:kern w:val="2"/>
          <w:sz w:val="21"/>
          <w:szCs w:val="21"/>
          <w:highlight w:val="none"/>
          <w:lang w:val="zh-TW" w:eastAsia="zh-CN" w:bidi="ar-SA"/>
        </w:rPr>
        <w:t>与总体感知倾向呈显著正</w:t>
      </w:r>
      <w:r>
        <w:rPr>
          <w:rFonts w:hint="eastAsia" w:ascii="Times New Roman" w:hAnsi="Times New Roman" w:eastAsia="宋体" w:cs="Times New Roman"/>
          <w:b w:val="0"/>
          <w:bCs/>
          <w:kern w:val="2"/>
          <w:sz w:val="21"/>
          <w:szCs w:val="21"/>
          <w:highlight w:val="none"/>
          <w:lang w:val="en-US" w:eastAsia="zh-CN" w:bidi="ar-SA"/>
        </w:rPr>
        <w:t>相关</w:t>
      </w:r>
      <w:r>
        <w:rPr>
          <w:rFonts w:hint="default" w:ascii="Times New Roman" w:hAnsi="Times New Roman" w:eastAsia="宋体" w:cs="Times New Roman"/>
          <w:b w:val="0"/>
          <w:bCs/>
          <w:kern w:val="2"/>
          <w:sz w:val="21"/>
          <w:szCs w:val="21"/>
          <w:highlight w:val="none"/>
          <w:lang w:val="zh-TW" w:eastAsia="zh-CN" w:bidi="ar-SA"/>
        </w:rPr>
        <w:t>，提示二者对供给侧体验具有较强解释力；可达性与保障服务呈显著负</w:t>
      </w:r>
      <w:r>
        <w:rPr>
          <w:rFonts w:hint="eastAsia" w:ascii="Times New Roman" w:hAnsi="Times New Roman" w:eastAsia="宋体" w:cs="Times New Roman"/>
          <w:b w:val="0"/>
          <w:bCs/>
          <w:kern w:val="2"/>
          <w:sz w:val="21"/>
          <w:szCs w:val="21"/>
          <w:highlight w:val="none"/>
          <w:lang w:val="en-US" w:eastAsia="zh-CN" w:bidi="ar-SA"/>
        </w:rPr>
        <w:t>相关</w:t>
      </w:r>
      <w:r>
        <w:rPr>
          <w:rFonts w:hint="default" w:ascii="Times New Roman" w:hAnsi="Times New Roman" w:eastAsia="宋体" w:cs="Times New Roman"/>
          <w:b w:val="0"/>
          <w:bCs/>
          <w:kern w:val="2"/>
          <w:sz w:val="21"/>
          <w:szCs w:val="21"/>
          <w:highlight w:val="none"/>
          <w:lang w:val="zh-TW" w:eastAsia="zh-CN" w:bidi="ar-SA"/>
        </w:rPr>
        <w:t>（Beta=-0.2</w:t>
      </w:r>
      <w:r>
        <w:rPr>
          <w:rFonts w:hint="eastAsia" w:ascii="Times New Roman" w:hAnsi="Times New Roman" w:eastAsia="宋体" w:cs="Times New Roman"/>
          <w:b w:val="0"/>
          <w:bCs/>
          <w:kern w:val="2"/>
          <w:sz w:val="21"/>
          <w:szCs w:val="21"/>
          <w:highlight w:val="none"/>
          <w:lang w:val="en-US" w:eastAsia="zh-CN" w:bidi="ar-SA"/>
        </w:rPr>
        <w:t>69</w:t>
      </w:r>
      <w:r>
        <w:rPr>
          <w:rFonts w:hint="default" w:ascii="Times New Roman" w:hAnsi="Times New Roman" w:eastAsia="宋体" w:cs="Times New Roman"/>
          <w:b w:val="0"/>
          <w:bCs/>
          <w:kern w:val="2"/>
          <w:sz w:val="21"/>
          <w:szCs w:val="21"/>
          <w:highlight w:val="none"/>
          <w:lang w:val="zh-TW" w:eastAsia="zh-CN" w:bidi="ar-SA"/>
        </w:rPr>
        <w:t>，p</w:t>
      </w:r>
      <w:r>
        <w:rPr>
          <w:rFonts w:hint="eastAsia" w:cs="Times New Roman"/>
          <w:b w:val="0"/>
          <w:bCs/>
          <w:kern w:val="2"/>
          <w:sz w:val="21"/>
          <w:szCs w:val="21"/>
          <w:highlight w:val="none"/>
          <w:lang w:val="en-US" w:eastAsia="zh-CN" w:bidi="ar-SA"/>
        </w:rPr>
        <w:t>=</w:t>
      </w:r>
      <w:r>
        <w:rPr>
          <w:rFonts w:hint="default" w:ascii="Times New Roman" w:hAnsi="Times New Roman" w:eastAsia="宋体" w:cs="Times New Roman"/>
          <w:b w:val="0"/>
          <w:bCs/>
          <w:kern w:val="2"/>
          <w:sz w:val="21"/>
          <w:szCs w:val="21"/>
          <w:highlight w:val="none"/>
          <w:lang w:val="zh-TW" w:eastAsia="zh-CN" w:bidi="ar-SA"/>
        </w:rPr>
        <w:t>0.013），提示其基础保障波动可能抑制整体感知倾向并形成“短板效应”。</w:t>
      </w:r>
    </w:p>
    <w:p w14:paraId="30F8D44B">
      <w:pPr>
        <w:pStyle w:val="39"/>
        <w:bidi w:val="0"/>
        <w:jc w:val="center"/>
        <w:rPr>
          <w:rFonts w:hint="default" w:ascii="Times New Roman" w:hAnsi="Times New Roman" w:eastAsia="宋体" w:cs="Times New Roman"/>
          <w:sz w:val="21"/>
          <w:szCs w:val="21"/>
          <w:highlight w:val="none"/>
          <w:lang w:val="zh-TW" w:eastAsia="zh-CN"/>
        </w:rPr>
      </w:pPr>
      <w:r>
        <w:rPr>
          <w:rFonts w:hint="default" w:ascii="Times New Roman" w:hAnsi="Times New Roman" w:eastAsia="宋体" w:cs="Times New Roman"/>
          <w:sz w:val="21"/>
          <w:szCs w:val="21"/>
          <w:highlight w:val="none"/>
          <w:lang w:val="zh-TW" w:eastAsia="zh-CN"/>
        </w:rPr>
        <w:t>表7 岭回归结果表</w:t>
      </w:r>
    </w:p>
    <w:p w14:paraId="4776033D">
      <w:pPr>
        <w:pStyle w:val="39"/>
        <w:bidi w:val="0"/>
        <w:jc w:val="center"/>
        <w:rPr>
          <w:rFonts w:hint="default" w:ascii="Times New Roman" w:hAnsi="Times New Roman" w:eastAsia="宋体" w:cs="Times New Roman"/>
          <w:sz w:val="21"/>
          <w:szCs w:val="21"/>
          <w:highlight w:val="none"/>
          <w:lang w:val="zh-TW" w:eastAsia="zh-CN"/>
        </w:rPr>
      </w:pPr>
      <w:r>
        <w:rPr>
          <w:rFonts w:hint="default" w:ascii="Times New Roman" w:hAnsi="Times New Roman" w:eastAsia="宋体" w:cs="Times New Roman"/>
          <w:sz w:val="21"/>
          <w:szCs w:val="21"/>
          <w:highlight w:val="none"/>
        </w:rPr>
        <w:t>Table 7 Results of Ridge Regression Analysis</w:t>
      </w:r>
    </w:p>
    <w:tbl>
      <w:tblPr>
        <w:tblStyle w:val="15"/>
        <w:tblW w:w="85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74"/>
        <w:gridCol w:w="1497"/>
        <w:gridCol w:w="1143"/>
        <w:gridCol w:w="1333"/>
        <w:gridCol w:w="869"/>
        <w:gridCol w:w="1184"/>
      </w:tblGrid>
      <w:tr w14:paraId="172AD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474" w:type="dxa"/>
            <w:vMerge w:val="restart"/>
            <w:tcBorders>
              <w:top w:val="single" w:color="auto" w:sz="4" w:space="0"/>
            </w:tcBorders>
            <w:vAlign w:val="center"/>
          </w:tcPr>
          <w:p w14:paraId="7C28ACFA">
            <w:pPr>
              <w:keepNext/>
              <w:snapToGrid w:val="0"/>
              <w:spacing w:line="240" w:lineRule="auto"/>
              <w:ind w:left="0" w:leftChars="0" w:right="0" w:rightChars="0" w:firstLine="0" w:firstLineChars="0"/>
              <w:jc w:val="center"/>
              <w:rPr>
                <w:rFonts w:hint="default" w:ascii="Times New Roman" w:hAnsi="Times New Roman" w:cs="Times New Roman"/>
                <w:b/>
                <w:kern w:val="2"/>
                <w:sz w:val="15"/>
                <w:szCs w:val="15"/>
                <w:highlight w:val="none"/>
              </w:rPr>
            </w:pPr>
            <w:r>
              <w:rPr>
                <w:rFonts w:hint="default" w:ascii="Times New Roman" w:hAnsi="Times New Roman" w:cs="Times New Roman"/>
                <w:b/>
                <w:kern w:val="2"/>
                <w:sz w:val="15"/>
                <w:szCs w:val="15"/>
                <w:highlight w:val="none"/>
              </w:rPr>
              <w:t>CES评价要素</w:t>
            </w:r>
          </w:p>
        </w:tc>
        <w:tc>
          <w:tcPr>
            <w:tcW w:w="1143" w:type="dxa"/>
            <w:gridSpan w:val="2"/>
            <w:tcBorders>
              <w:top w:val="single" w:color="auto" w:sz="4" w:space="0"/>
              <w:bottom w:val="single" w:color="auto" w:sz="4" w:space="0"/>
            </w:tcBorders>
            <w:vAlign w:val="center"/>
          </w:tcPr>
          <w:p w14:paraId="1CA82BAE">
            <w:pPr>
              <w:keepNext/>
              <w:snapToGrid w:val="0"/>
              <w:spacing w:line="240" w:lineRule="auto"/>
              <w:ind w:left="0" w:leftChars="0" w:right="0" w:rightChars="0" w:firstLine="0" w:firstLineChars="0"/>
              <w:jc w:val="center"/>
              <w:rPr>
                <w:rFonts w:hint="default" w:ascii="Times New Roman" w:hAnsi="Times New Roman" w:cs="Times New Roman"/>
                <w:b/>
                <w:kern w:val="2"/>
                <w:sz w:val="15"/>
                <w:szCs w:val="15"/>
                <w:highlight w:val="none"/>
              </w:rPr>
            </w:pPr>
            <w:r>
              <w:rPr>
                <w:rFonts w:hint="default" w:ascii="Times New Roman" w:hAnsi="Times New Roman" w:cs="Times New Roman"/>
                <w:b/>
                <w:kern w:val="2"/>
                <w:sz w:val="15"/>
                <w:szCs w:val="15"/>
                <w:highlight w:val="none"/>
              </w:rPr>
              <w:t>非标准化系数</w:t>
            </w:r>
          </w:p>
        </w:tc>
        <w:tc>
          <w:tcPr>
            <w:tcW w:w="1333" w:type="dxa"/>
            <w:tcBorders>
              <w:top w:val="single" w:color="auto" w:sz="4" w:space="0"/>
              <w:bottom w:val="single" w:color="auto" w:sz="4" w:space="0"/>
            </w:tcBorders>
            <w:vAlign w:val="center"/>
          </w:tcPr>
          <w:p w14:paraId="269DBF80">
            <w:pPr>
              <w:keepNext/>
              <w:snapToGrid w:val="0"/>
              <w:spacing w:line="240" w:lineRule="auto"/>
              <w:ind w:left="0" w:leftChars="0" w:right="0" w:rightChars="0" w:firstLine="0" w:firstLineChars="0"/>
              <w:jc w:val="center"/>
              <w:rPr>
                <w:rFonts w:hint="default" w:ascii="Times New Roman" w:hAnsi="Times New Roman" w:cs="Times New Roman"/>
                <w:b/>
                <w:kern w:val="2"/>
                <w:sz w:val="15"/>
                <w:szCs w:val="15"/>
                <w:highlight w:val="none"/>
              </w:rPr>
            </w:pPr>
            <w:r>
              <w:rPr>
                <w:rFonts w:hint="default" w:ascii="Times New Roman" w:hAnsi="Times New Roman" w:cs="Times New Roman"/>
                <w:b/>
                <w:kern w:val="2"/>
                <w:sz w:val="15"/>
                <w:szCs w:val="15"/>
                <w:highlight w:val="none"/>
              </w:rPr>
              <w:t>标准化系数</w:t>
            </w:r>
          </w:p>
        </w:tc>
        <w:tc>
          <w:tcPr>
            <w:tcW w:w="869" w:type="dxa"/>
            <w:vMerge w:val="restart"/>
            <w:tcBorders>
              <w:top w:val="single" w:color="auto" w:sz="4" w:space="0"/>
            </w:tcBorders>
            <w:vAlign w:val="center"/>
          </w:tcPr>
          <w:p w14:paraId="16DBE4AD">
            <w:pPr>
              <w:keepNext/>
              <w:snapToGrid w:val="0"/>
              <w:spacing w:line="240" w:lineRule="auto"/>
              <w:ind w:left="0" w:leftChars="0" w:right="0" w:rightChars="0" w:firstLine="0" w:firstLineChars="0"/>
              <w:jc w:val="center"/>
              <w:rPr>
                <w:rFonts w:hint="default" w:ascii="Times New Roman" w:hAnsi="Times New Roman" w:cs="Times New Roman"/>
                <w:b/>
                <w:kern w:val="2"/>
                <w:sz w:val="15"/>
                <w:szCs w:val="15"/>
                <w:highlight w:val="none"/>
              </w:rPr>
            </w:pPr>
            <w:r>
              <w:rPr>
                <w:rFonts w:hint="default" w:ascii="Times New Roman" w:hAnsi="Times New Roman" w:cs="Times New Roman"/>
                <w:b/>
                <w:kern w:val="2"/>
                <w:sz w:val="15"/>
                <w:szCs w:val="15"/>
                <w:highlight w:val="none"/>
              </w:rPr>
              <w:t>t</w:t>
            </w:r>
          </w:p>
        </w:tc>
        <w:tc>
          <w:tcPr>
            <w:tcW w:w="1184" w:type="dxa"/>
            <w:vMerge w:val="restart"/>
            <w:tcBorders>
              <w:top w:val="single" w:color="auto" w:sz="4" w:space="0"/>
            </w:tcBorders>
            <w:vAlign w:val="center"/>
          </w:tcPr>
          <w:p w14:paraId="71A89DEF">
            <w:pPr>
              <w:keepNext/>
              <w:snapToGrid w:val="0"/>
              <w:spacing w:line="240" w:lineRule="auto"/>
              <w:ind w:left="0" w:leftChars="0" w:right="0" w:rightChars="0" w:firstLine="0" w:firstLineChars="0"/>
              <w:jc w:val="center"/>
              <w:rPr>
                <w:rFonts w:hint="default" w:ascii="Times New Roman" w:hAnsi="Times New Roman" w:cs="Times New Roman"/>
                <w:b/>
                <w:kern w:val="2"/>
                <w:sz w:val="15"/>
                <w:szCs w:val="15"/>
                <w:highlight w:val="none"/>
              </w:rPr>
            </w:pPr>
            <w:r>
              <w:rPr>
                <w:rFonts w:hint="default" w:ascii="Times New Roman" w:hAnsi="Times New Roman" w:cs="Times New Roman"/>
                <w:b/>
                <w:kern w:val="2"/>
                <w:sz w:val="15"/>
                <w:szCs w:val="15"/>
                <w:highlight w:val="none"/>
              </w:rPr>
              <w:t>显著性(p)</w:t>
            </w:r>
          </w:p>
        </w:tc>
      </w:tr>
      <w:tr w14:paraId="1CB91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474" w:type="dxa"/>
            <w:vMerge w:val="continue"/>
            <w:tcBorders>
              <w:bottom w:val="single" w:color="auto" w:sz="4" w:space="0"/>
            </w:tcBorders>
            <w:vAlign w:val="center"/>
          </w:tcPr>
          <w:p w14:paraId="35EF2B9F">
            <w:pPr>
              <w:keepNext/>
              <w:snapToGrid w:val="0"/>
              <w:spacing w:line="240" w:lineRule="auto"/>
              <w:ind w:left="0" w:leftChars="0" w:right="0" w:rightChars="0" w:firstLine="0" w:firstLineChars="0"/>
              <w:jc w:val="center"/>
              <w:rPr>
                <w:rFonts w:hint="default" w:ascii="Times New Roman" w:hAnsi="Times New Roman" w:cs="Times New Roman"/>
                <w:b/>
                <w:kern w:val="2"/>
                <w:sz w:val="15"/>
                <w:szCs w:val="15"/>
                <w:highlight w:val="none"/>
              </w:rPr>
            </w:pPr>
          </w:p>
        </w:tc>
        <w:tc>
          <w:tcPr>
            <w:tcW w:w="1497" w:type="dxa"/>
            <w:tcBorders>
              <w:top w:val="single" w:color="auto" w:sz="4" w:space="0"/>
              <w:bottom w:val="single" w:color="auto" w:sz="4" w:space="0"/>
            </w:tcBorders>
            <w:vAlign w:val="center"/>
          </w:tcPr>
          <w:p w14:paraId="5AF3DA72">
            <w:pPr>
              <w:keepNext/>
              <w:snapToGrid w:val="0"/>
              <w:spacing w:line="240" w:lineRule="auto"/>
              <w:ind w:left="0" w:leftChars="0" w:right="0" w:rightChars="0" w:firstLine="0" w:firstLineChars="0"/>
              <w:jc w:val="center"/>
              <w:rPr>
                <w:rFonts w:hint="default" w:ascii="Times New Roman" w:hAnsi="Times New Roman" w:cs="Times New Roman"/>
                <w:b/>
                <w:kern w:val="2"/>
                <w:sz w:val="15"/>
                <w:szCs w:val="15"/>
                <w:highlight w:val="none"/>
              </w:rPr>
            </w:pPr>
            <w:r>
              <w:rPr>
                <w:rFonts w:hint="default" w:ascii="Times New Roman" w:hAnsi="Times New Roman" w:cs="Times New Roman"/>
                <w:b/>
                <w:kern w:val="2"/>
                <w:sz w:val="15"/>
                <w:szCs w:val="15"/>
                <w:highlight w:val="none"/>
              </w:rPr>
              <w:t>回归系数（</w:t>
            </w:r>
            <w:r>
              <w:rPr>
                <w:rFonts w:hint="eastAsia" w:ascii="Times New Roman" w:hAnsi="Times New Roman" w:cs="Times New Roman"/>
                <w:b/>
                <w:kern w:val="2"/>
                <w:sz w:val="15"/>
                <w:szCs w:val="15"/>
                <w:highlight w:val="none"/>
                <w:lang w:val="en-US" w:eastAsia="zh-CN"/>
              </w:rPr>
              <w:t>B</w:t>
            </w:r>
            <w:r>
              <w:rPr>
                <w:rFonts w:hint="default" w:ascii="Times New Roman" w:hAnsi="Times New Roman" w:cs="Times New Roman"/>
                <w:b/>
                <w:kern w:val="2"/>
                <w:sz w:val="15"/>
                <w:szCs w:val="15"/>
                <w:highlight w:val="none"/>
              </w:rPr>
              <w:t>)</w:t>
            </w:r>
          </w:p>
        </w:tc>
        <w:tc>
          <w:tcPr>
            <w:tcW w:w="1143" w:type="dxa"/>
            <w:tcBorders>
              <w:top w:val="single" w:color="auto" w:sz="4" w:space="0"/>
              <w:bottom w:val="single" w:color="auto" w:sz="4" w:space="0"/>
            </w:tcBorders>
            <w:vAlign w:val="center"/>
          </w:tcPr>
          <w:p w14:paraId="5E0979B5">
            <w:pPr>
              <w:keepNext/>
              <w:snapToGrid w:val="0"/>
              <w:spacing w:line="240" w:lineRule="auto"/>
              <w:ind w:left="0" w:leftChars="0" w:right="0" w:rightChars="0" w:firstLine="0" w:firstLineChars="0"/>
              <w:jc w:val="center"/>
              <w:rPr>
                <w:rFonts w:hint="default" w:ascii="Times New Roman" w:hAnsi="Times New Roman" w:cs="Times New Roman"/>
                <w:b/>
                <w:kern w:val="2"/>
                <w:sz w:val="15"/>
                <w:szCs w:val="15"/>
                <w:highlight w:val="none"/>
              </w:rPr>
            </w:pPr>
            <w:r>
              <w:rPr>
                <w:rFonts w:hint="eastAsia" w:ascii="Times New Roman" w:hAnsi="Times New Roman" w:cs="Times New Roman"/>
                <w:b/>
                <w:kern w:val="2"/>
                <w:sz w:val="15"/>
                <w:szCs w:val="15"/>
                <w:highlight w:val="none"/>
                <w:lang w:val="en-US" w:eastAsia="zh-CN"/>
              </w:rPr>
              <w:t>标准</w:t>
            </w:r>
            <w:r>
              <w:rPr>
                <w:rFonts w:hint="default" w:ascii="Times New Roman" w:hAnsi="Times New Roman" w:cs="Times New Roman"/>
                <w:b/>
                <w:kern w:val="2"/>
                <w:sz w:val="15"/>
                <w:szCs w:val="15"/>
                <w:highlight w:val="none"/>
              </w:rPr>
              <w:t>误差</w:t>
            </w:r>
          </w:p>
        </w:tc>
        <w:tc>
          <w:tcPr>
            <w:tcW w:w="1333" w:type="dxa"/>
            <w:tcBorders>
              <w:top w:val="single" w:color="auto" w:sz="4" w:space="0"/>
              <w:bottom w:val="single" w:color="auto" w:sz="4" w:space="0"/>
            </w:tcBorders>
            <w:vAlign w:val="center"/>
          </w:tcPr>
          <w:p w14:paraId="6756E91F">
            <w:pPr>
              <w:keepNext/>
              <w:snapToGrid w:val="0"/>
              <w:spacing w:line="240" w:lineRule="auto"/>
              <w:ind w:left="0" w:leftChars="0" w:right="0" w:rightChars="0" w:firstLine="0" w:firstLineChars="0"/>
              <w:jc w:val="center"/>
              <w:rPr>
                <w:rFonts w:hint="default" w:ascii="Times New Roman" w:hAnsi="Times New Roman" w:cs="Times New Roman"/>
                <w:b/>
                <w:kern w:val="2"/>
                <w:sz w:val="15"/>
                <w:szCs w:val="15"/>
                <w:highlight w:val="none"/>
              </w:rPr>
            </w:pPr>
            <w:r>
              <w:rPr>
                <w:rFonts w:hint="default" w:ascii="Times New Roman" w:hAnsi="Times New Roman" w:cs="Times New Roman"/>
                <w:b/>
                <w:kern w:val="2"/>
                <w:sz w:val="15"/>
                <w:szCs w:val="15"/>
                <w:highlight w:val="none"/>
              </w:rPr>
              <w:t>Beta</w:t>
            </w:r>
          </w:p>
        </w:tc>
        <w:tc>
          <w:tcPr>
            <w:tcW w:w="869" w:type="dxa"/>
            <w:vMerge w:val="continue"/>
            <w:tcBorders>
              <w:bottom w:val="single" w:color="auto" w:sz="4" w:space="0"/>
            </w:tcBorders>
            <w:vAlign w:val="center"/>
          </w:tcPr>
          <w:p w14:paraId="2FF3610D">
            <w:pPr>
              <w:keepNext/>
              <w:snapToGrid w:val="0"/>
              <w:spacing w:line="240" w:lineRule="auto"/>
              <w:ind w:left="0" w:leftChars="0" w:right="0" w:rightChars="0" w:firstLine="0" w:firstLineChars="0"/>
              <w:jc w:val="center"/>
              <w:rPr>
                <w:rFonts w:hint="default" w:ascii="Times New Roman" w:hAnsi="Times New Roman" w:cs="Times New Roman"/>
                <w:b/>
                <w:kern w:val="2"/>
                <w:sz w:val="15"/>
                <w:szCs w:val="15"/>
                <w:highlight w:val="none"/>
              </w:rPr>
            </w:pPr>
          </w:p>
        </w:tc>
        <w:tc>
          <w:tcPr>
            <w:tcW w:w="1184" w:type="dxa"/>
            <w:vMerge w:val="continue"/>
            <w:tcBorders>
              <w:bottom w:val="single" w:color="auto" w:sz="4" w:space="0"/>
            </w:tcBorders>
            <w:vAlign w:val="center"/>
          </w:tcPr>
          <w:p w14:paraId="0FCC0CAA">
            <w:pPr>
              <w:keepNext/>
              <w:snapToGrid w:val="0"/>
              <w:spacing w:line="240" w:lineRule="auto"/>
              <w:ind w:left="0" w:leftChars="0" w:right="0" w:rightChars="0" w:firstLine="0" w:firstLineChars="0"/>
              <w:jc w:val="center"/>
              <w:rPr>
                <w:rFonts w:hint="default" w:ascii="Times New Roman" w:hAnsi="Times New Roman" w:cs="Times New Roman"/>
                <w:b/>
                <w:kern w:val="2"/>
                <w:sz w:val="15"/>
                <w:szCs w:val="15"/>
                <w:highlight w:val="none"/>
              </w:rPr>
            </w:pPr>
          </w:p>
        </w:tc>
      </w:tr>
      <w:tr w14:paraId="0E2AC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74" w:type="dxa"/>
            <w:tcBorders>
              <w:top w:val="single" w:color="auto" w:sz="4" w:space="0"/>
            </w:tcBorders>
            <w:vAlign w:val="center"/>
          </w:tcPr>
          <w:p w14:paraId="2E7AFFF5">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美学景观服务</w:t>
            </w:r>
          </w:p>
        </w:tc>
        <w:tc>
          <w:tcPr>
            <w:tcW w:w="1497" w:type="dxa"/>
            <w:tcBorders>
              <w:top w:val="single" w:color="auto" w:sz="4" w:space="0"/>
            </w:tcBorders>
            <w:vAlign w:val="center"/>
          </w:tcPr>
          <w:p w14:paraId="5625214D">
            <w:pPr>
              <w:keepNext/>
              <w:snapToGrid w:val="0"/>
              <w:spacing w:line="240" w:lineRule="auto"/>
              <w:ind w:left="0" w:leftChars="0" w:right="0" w:rightChars="0" w:firstLine="0" w:firstLineChars="0"/>
              <w:jc w:val="left"/>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-0.028</w:t>
            </w:r>
          </w:p>
        </w:tc>
        <w:tc>
          <w:tcPr>
            <w:tcW w:w="1143" w:type="dxa"/>
            <w:tcBorders>
              <w:top w:val="single" w:color="auto" w:sz="4" w:space="0"/>
            </w:tcBorders>
            <w:vAlign w:val="center"/>
          </w:tcPr>
          <w:p w14:paraId="2F8768FD">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0.075</w:t>
            </w:r>
          </w:p>
        </w:tc>
        <w:tc>
          <w:tcPr>
            <w:tcW w:w="1333" w:type="dxa"/>
            <w:tcBorders>
              <w:top w:val="single" w:color="auto" w:sz="4" w:space="0"/>
            </w:tcBorders>
            <w:vAlign w:val="center"/>
          </w:tcPr>
          <w:p w14:paraId="58A67AD2">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-0.039</w:t>
            </w:r>
          </w:p>
        </w:tc>
        <w:tc>
          <w:tcPr>
            <w:tcW w:w="869" w:type="dxa"/>
            <w:tcBorders>
              <w:top w:val="single" w:color="auto" w:sz="4" w:space="0"/>
            </w:tcBorders>
            <w:vAlign w:val="center"/>
          </w:tcPr>
          <w:p w14:paraId="62A474BA">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-0.366</w:t>
            </w:r>
          </w:p>
        </w:tc>
        <w:tc>
          <w:tcPr>
            <w:tcW w:w="1184" w:type="dxa"/>
            <w:tcBorders>
              <w:top w:val="single" w:color="auto" w:sz="4" w:space="0"/>
            </w:tcBorders>
            <w:vAlign w:val="center"/>
          </w:tcPr>
          <w:p w14:paraId="23BF507A">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0.716</w:t>
            </w:r>
          </w:p>
        </w:tc>
      </w:tr>
      <w:tr w14:paraId="0A86C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74" w:type="dxa"/>
            <w:vAlign w:val="center"/>
          </w:tcPr>
          <w:p w14:paraId="4B3C0245">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文化遗产服务</w:t>
            </w:r>
          </w:p>
        </w:tc>
        <w:tc>
          <w:tcPr>
            <w:tcW w:w="1497" w:type="dxa"/>
            <w:vAlign w:val="center"/>
          </w:tcPr>
          <w:p w14:paraId="59B29AB8">
            <w:pPr>
              <w:keepNext/>
              <w:snapToGrid w:val="0"/>
              <w:spacing w:line="240" w:lineRule="auto"/>
              <w:ind w:left="0" w:leftChars="0" w:right="0" w:rightChars="0" w:firstLine="0" w:firstLineChars="0"/>
              <w:jc w:val="left"/>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0.354</w:t>
            </w:r>
          </w:p>
        </w:tc>
        <w:tc>
          <w:tcPr>
            <w:tcW w:w="1143" w:type="dxa"/>
            <w:vAlign w:val="center"/>
          </w:tcPr>
          <w:p w14:paraId="575876B5">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0.079</w:t>
            </w:r>
          </w:p>
        </w:tc>
        <w:tc>
          <w:tcPr>
            <w:tcW w:w="1333" w:type="dxa"/>
            <w:vAlign w:val="center"/>
          </w:tcPr>
          <w:p w14:paraId="72EF9B29">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0.489</w:t>
            </w:r>
          </w:p>
        </w:tc>
        <w:tc>
          <w:tcPr>
            <w:tcW w:w="869" w:type="dxa"/>
            <w:vAlign w:val="center"/>
          </w:tcPr>
          <w:p w14:paraId="4B40F6F0">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4.477</w:t>
            </w:r>
          </w:p>
        </w:tc>
        <w:tc>
          <w:tcPr>
            <w:tcW w:w="1184" w:type="dxa"/>
            <w:vAlign w:val="center"/>
          </w:tcPr>
          <w:p w14:paraId="0E27E986">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0.00</w:t>
            </w:r>
            <w:r>
              <w:rPr>
                <w:rFonts w:hint="eastAsia" w:ascii="Times New Roman" w:hAnsi="Times New Roman" w:cs="Times New Roman"/>
                <w:kern w:val="2"/>
                <w:sz w:val="15"/>
                <w:szCs w:val="15"/>
                <w:highlight w:val="none"/>
                <w:lang w:val="en-US" w:eastAsia="zh-CN"/>
              </w:rPr>
              <w:t>1</w:t>
            </w:r>
            <w:r>
              <w:rPr>
                <w:rFonts w:hint="default" w:ascii="Times New Roman" w:hAnsi="Times New Roman" w:cs="Times New Roman"/>
                <w:kern w:val="2"/>
                <w:sz w:val="15"/>
                <w:szCs w:val="15"/>
                <w:highlight w:val="none"/>
              </w:rPr>
              <w:t>***</w:t>
            </w:r>
          </w:p>
        </w:tc>
      </w:tr>
      <w:tr w14:paraId="3FC32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74" w:type="dxa"/>
            <w:vAlign w:val="center"/>
          </w:tcPr>
          <w:p w14:paraId="6C68538F">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可达性与保障服务</w:t>
            </w:r>
          </w:p>
        </w:tc>
        <w:tc>
          <w:tcPr>
            <w:tcW w:w="1497" w:type="dxa"/>
            <w:vAlign w:val="center"/>
          </w:tcPr>
          <w:p w14:paraId="48980B85">
            <w:pPr>
              <w:keepNext/>
              <w:snapToGrid w:val="0"/>
              <w:spacing w:line="240" w:lineRule="auto"/>
              <w:ind w:left="0" w:leftChars="0" w:right="0" w:rightChars="0" w:firstLine="0" w:firstLineChars="0"/>
              <w:jc w:val="left"/>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-0.282</w:t>
            </w:r>
          </w:p>
        </w:tc>
        <w:tc>
          <w:tcPr>
            <w:tcW w:w="1143" w:type="dxa"/>
            <w:vAlign w:val="center"/>
          </w:tcPr>
          <w:p w14:paraId="41793F66">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0.108</w:t>
            </w:r>
          </w:p>
        </w:tc>
        <w:tc>
          <w:tcPr>
            <w:tcW w:w="1333" w:type="dxa"/>
            <w:vAlign w:val="center"/>
          </w:tcPr>
          <w:p w14:paraId="01F6C62B">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-0.269</w:t>
            </w:r>
          </w:p>
        </w:tc>
        <w:tc>
          <w:tcPr>
            <w:tcW w:w="869" w:type="dxa"/>
            <w:vAlign w:val="center"/>
          </w:tcPr>
          <w:p w14:paraId="362820BE">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-2.61</w:t>
            </w:r>
          </w:p>
        </w:tc>
        <w:tc>
          <w:tcPr>
            <w:tcW w:w="1184" w:type="dxa"/>
            <w:vAlign w:val="center"/>
          </w:tcPr>
          <w:p w14:paraId="63E0BF73">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0.013**</w:t>
            </w:r>
          </w:p>
        </w:tc>
      </w:tr>
      <w:tr w14:paraId="18B89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74" w:type="dxa"/>
            <w:vAlign w:val="center"/>
          </w:tcPr>
          <w:p w14:paraId="72ADF695">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教育体验服务</w:t>
            </w:r>
          </w:p>
        </w:tc>
        <w:tc>
          <w:tcPr>
            <w:tcW w:w="1497" w:type="dxa"/>
            <w:vAlign w:val="center"/>
          </w:tcPr>
          <w:p w14:paraId="17FCB305">
            <w:pPr>
              <w:keepNext/>
              <w:snapToGrid w:val="0"/>
              <w:spacing w:line="240" w:lineRule="auto"/>
              <w:ind w:left="0" w:leftChars="0" w:right="0" w:rightChars="0" w:firstLine="0" w:firstLineChars="0"/>
              <w:jc w:val="left"/>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-0.018</w:t>
            </w:r>
          </w:p>
        </w:tc>
        <w:tc>
          <w:tcPr>
            <w:tcW w:w="1143" w:type="dxa"/>
            <w:vAlign w:val="center"/>
          </w:tcPr>
          <w:p w14:paraId="27FE26B2">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0.074</w:t>
            </w:r>
          </w:p>
        </w:tc>
        <w:tc>
          <w:tcPr>
            <w:tcW w:w="1333" w:type="dxa"/>
            <w:vAlign w:val="center"/>
          </w:tcPr>
          <w:p w14:paraId="3EBD17AD">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-0.025</w:t>
            </w:r>
          </w:p>
        </w:tc>
        <w:tc>
          <w:tcPr>
            <w:tcW w:w="869" w:type="dxa"/>
            <w:vAlign w:val="center"/>
          </w:tcPr>
          <w:p w14:paraId="7702CCAA">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-0.242</w:t>
            </w:r>
          </w:p>
        </w:tc>
        <w:tc>
          <w:tcPr>
            <w:tcW w:w="1184" w:type="dxa"/>
            <w:vAlign w:val="center"/>
          </w:tcPr>
          <w:p w14:paraId="736B3E73">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0.810</w:t>
            </w:r>
          </w:p>
        </w:tc>
      </w:tr>
      <w:tr w14:paraId="7E7A5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74" w:type="dxa"/>
            <w:vAlign w:val="center"/>
          </w:tcPr>
          <w:p w14:paraId="16E25F69">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commentRangeStart w:id="11"/>
            <w:r>
              <w:rPr>
                <w:highlight w:val="yellow"/>
              </w:rPr>
              <w:t>环境与游憩适宜度服务</w:t>
            </w:r>
            <w:commentRangeEnd w:id="11"/>
            <w:r>
              <w:rPr>
                <w:rStyle w:val="CommentReference"/>
              </w:rPr>
              <w:commentReference w:id="11"/>
            </w:r>
          </w:p>
        </w:tc>
        <w:tc>
          <w:tcPr>
            <w:tcW w:w="1497" w:type="dxa"/>
            <w:vAlign w:val="center"/>
          </w:tcPr>
          <w:p w14:paraId="450FB934">
            <w:pPr>
              <w:keepNext/>
              <w:snapToGrid w:val="0"/>
              <w:spacing w:line="240" w:lineRule="auto"/>
              <w:ind w:left="0" w:leftChars="0" w:right="0" w:rightChars="0" w:firstLine="0" w:firstLineChars="0"/>
              <w:jc w:val="left"/>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-0.315</w:t>
            </w:r>
          </w:p>
        </w:tc>
        <w:tc>
          <w:tcPr>
            <w:tcW w:w="1143" w:type="dxa"/>
            <w:vAlign w:val="center"/>
          </w:tcPr>
          <w:p w14:paraId="4646FD93">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0.184</w:t>
            </w:r>
          </w:p>
        </w:tc>
        <w:tc>
          <w:tcPr>
            <w:tcW w:w="1333" w:type="dxa"/>
            <w:vAlign w:val="center"/>
          </w:tcPr>
          <w:p w14:paraId="314C62E1">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-0.185</w:t>
            </w:r>
          </w:p>
        </w:tc>
        <w:tc>
          <w:tcPr>
            <w:tcW w:w="869" w:type="dxa"/>
            <w:vAlign w:val="center"/>
          </w:tcPr>
          <w:p w14:paraId="0589A1EB">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-1.709</w:t>
            </w:r>
          </w:p>
        </w:tc>
        <w:tc>
          <w:tcPr>
            <w:tcW w:w="1184" w:type="dxa"/>
            <w:vAlign w:val="center"/>
          </w:tcPr>
          <w:p w14:paraId="27E9A89A">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0.095</w:t>
            </w:r>
          </w:p>
        </w:tc>
      </w:tr>
      <w:tr w14:paraId="131F7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74" w:type="dxa"/>
            <w:vAlign w:val="center"/>
          </w:tcPr>
          <w:p w14:paraId="05B3212B">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沉浸体验服务</w:t>
            </w:r>
          </w:p>
        </w:tc>
        <w:tc>
          <w:tcPr>
            <w:tcW w:w="1497" w:type="dxa"/>
            <w:vAlign w:val="center"/>
          </w:tcPr>
          <w:p w14:paraId="6ABA26DD">
            <w:pPr>
              <w:keepNext/>
              <w:snapToGrid w:val="0"/>
              <w:spacing w:line="240" w:lineRule="auto"/>
              <w:ind w:left="0" w:leftChars="0" w:right="0" w:rightChars="0" w:firstLine="0" w:firstLineChars="0"/>
              <w:jc w:val="left"/>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-0.214</w:t>
            </w:r>
          </w:p>
        </w:tc>
        <w:tc>
          <w:tcPr>
            <w:tcW w:w="1143" w:type="dxa"/>
            <w:vAlign w:val="center"/>
          </w:tcPr>
          <w:p w14:paraId="2AF15389">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0.247</w:t>
            </w:r>
          </w:p>
        </w:tc>
        <w:tc>
          <w:tcPr>
            <w:tcW w:w="1333" w:type="dxa"/>
            <w:vAlign w:val="center"/>
          </w:tcPr>
          <w:p w14:paraId="51F91C9A">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-0.093</w:t>
            </w:r>
          </w:p>
        </w:tc>
        <w:tc>
          <w:tcPr>
            <w:tcW w:w="869" w:type="dxa"/>
            <w:vAlign w:val="center"/>
          </w:tcPr>
          <w:p w14:paraId="7B9B19AB">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-0.865</w:t>
            </w:r>
          </w:p>
        </w:tc>
        <w:tc>
          <w:tcPr>
            <w:tcW w:w="1184" w:type="dxa"/>
            <w:vAlign w:val="center"/>
          </w:tcPr>
          <w:p w14:paraId="3AA3FB1C">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0.392</w:t>
            </w:r>
          </w:p>
        </w:tc>
      </w:tr>
      <w:tr w14:paraId="4C442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74" w:type="dxa"/>
            <w:vAlign w:val="center"/>
          </w:tcPr>
          <w:p w14:paraId="46706D1A">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commentRangeStart w:id="12"/>
            <w:r>
              <w:rPr>
                <w:highlight w:val="yellow"/>
              </w:rPr>
              <w:t>生态健康指标</w:t>
            </w:r>
            <w:commentRangeEnd w:id="12"/>
            <w:r>
              <w:rPr>
                <w:rStyle w:val="CommentReference"/>
              </w:rPr>
              <w:commentReference w:id="12"/>
            </w:r>
          </w:p>
        </w:tc>
        <w:tc>
          <w:tcPr>
            <w:tcW w:w="1497" w:type="dxa"/>
            <w:vAlign w:val="center"/>
          </w:tcPr>
          <w:p w14:paraId="56057FFA">
            <w:pPr>
              <w:keepNext/>
              <w:snapToGrid w:val="0"/>
              <w:spacing w:line="240" w:lineRule="auto"/>
              <w:ind w:left="0" w:leftChars="0" w:right="0" w:rightChars="0" w:firstLine="0" w:firstLineChars="0"/>
              <w:jc w:val="left"/>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0.052</w:t>
            </w:r>
          </w:p>
        </w:tc>
        <w:tc>
          <w:tcPr>
            <w:tcW w:w="1143" w:type="dxa"/>
            <w:vAlign w:val="center"/>
          </w:tcPr>
          <w:p w14:paraId="6701A39D">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0.13</w:t>
            </w:r>
          </w:p>
        </w:tc>
        <w:tc>
          <w:tcPr>
            <w:tcW w:w="1333" w:type="dxa"/>
            <w:vAlign w:val="center"/>
          </w:tcPr>
          <w:p w14:paraId="26567F79">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0.042</w:t>
            </w:r>
          </w:p>
        </w:tc>
        <w:tc>
          <w:tcPr>
            <w:tcW w:w="869" w:type="dxa"/>
            <w:vAlign w:val="center"/>
          </w:tcPr>
          <w:p w14:paraId="2DC25C46">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0.4</w:t>
            </w:r>
          </w:p>
        </w:tc>
        <w:tc>
          <w:tcPr>
            <w:tcW w:w="1184" w:type="dxa"/>
            <w:vAlign w:val="center"/>
          </w:tcPr>
          <w:p w14:paraId="483E2DE7">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0.691</w:t>
            </w:r>
          </w:p>
        </w:tc>
      </w:tr>
      <w:tr w14:paraId="4A692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74" w:type="dxa"/>
            <w:vAlign w:val="center"/>
          </w:tcPr>
          <w:p w14:paraId="3610A953">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commentRangeStart w:id="13"/>
            <w:r>
              <w:rPr>
                <w:highlight w:val="yellow"/>
              </w:rPr>
              <w:t>精神福祉与社交服务</w:t>
            </w:r>
            <w:commentRangeEnd w:id="13"/>
            <w:r>
              <w:rPr>
                <w:rStyle w:val="CommentReference"/>
              </w:rPr>
              <w:commentReference w:id="13"/>
            </w:r>
          </w:p>
        </w:tc>
        <w:tc>
          <w:tcPr>
            <w:tcW w:w="1497" w:type="dxa"/>
            <w:vAlign w:val="center"/>
          </w:tcPr>
          <w:p w14:paraId="6B017C67">
            <w:pPr>
              <w:keepNext/>
              <w:snapToGrid w:val="0"/>
              <w:spacing w:line="240" w:lineRule="auto"/>
              <w:ind w:left="0" w:leftChars="0" w:right="0" w:rightChars="0" w:firstLine="0" w:firstLineChars="0"/>
              <w:jc w:val="left"/>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0.078</w:t>
            </w:r>
          </w:p>
        </w:tc>
        <w:tc>
          <w:tcPr>
            <w:tcW w:w="1143" w:type="dxa"/>
            <w:vAlign w:val="center"/>
          </w:tcPr>
          <w:p w14:paraId="30B70C20">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0.066</w:t>
            </w:r>
          </w:p>
        </w:tc>
        <w:tc>
          <w:tcPr>
            <w:tcW w:w="1333" w:type="dxa"/>
            <w:vAlign w:val="center"/>
          </w:tcPr>
          <w:p w14:paraId="31860DB5">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0.098</w:t>
            </w:r>
          </w:p>
        </w:tc>
        <w:tc>
          <w:tcPr>
            <w:tcW w:w="869" w:type="dxa"/>
            <w:vAlign w:val="center"/>
          </w:tcPr>
          <w:p w14:paraId="6752BC62">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1.182</w:t>
            </w:r>
          </w:p>
        </w:tc>
        <w:tc>
          <w:tcPr>
            <w:tcW w:w="1184" w:type="dxa"/>
            <w:vAlign w:val="center"/>
          </w:tcPr>
          <w:p w14:paraId="36F931F2">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0.244</w:t>
            </w:r>
          </w:p>
        </w:tc>
      </w:tr>
      <w:tr w14:paraId="599BC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74" w:type="dxa"/>
            <w:vAlign w:val="center"/>
          </w:tcPr>
          <w:p w14:paraId="0DE7DC12">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lang w:eastAsia="zh-CN"/>
              </w:rPr>
              <w:t>空间开敞与通行</w:t>
            </w:r>
            <w:r>
              <w:rPr>
                <w:rFonts w:hint="default" w:ascii="Times New Roman" w:hAnsi="Times New Roman" w:cs="Times New Roman"/>
                <w:kern w:val="2"/>
                <w:sz w:val="15"/>
                <w:szCs w:val="15"/>
                <w:highlight w:val="none"/>
              </w:rPr>
              <w:t>服务</w:t>
            </w:r>
          </w:p>
        </w:tc>
        <w:tc>
          <w:tcPr>
            <w:tcW w:w="1497" w:type="dxa"/>
            <w:vAlign w:val="center"/>
          </w:tcPr>
          <w:p w14:paraId="77754C89">
            <w:pPr>
              <w:keepNext/>
              <w:snapToGrid w:val="0"/>
              <w:spacing w:line="240" w:lineRule="auto"/>
              <w:ind w:left="0" w:leftChars="0" w:right="0" w:rightChars="0" w:firstLine="0" w:firstLineChars="0"/>
              <w:jc w:val="left"/>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0.318</w:t>
            </w:r>
          </w:p>
        </w:tc>
        <w:tc>
          <w:tcPr>
            <w:tcW w:w="1143" w:type="dxa"/>
            <w:vAlign w:val="center"/>
          </w:tcPr>
          <w:p w14:paraId="07F913B1">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0.074</w:t>
            </w:r>
          </w:p>
        </w:tc>
        <w:tc>
          <w:tcPr>
            <w:tcW w:w="1333" w:type="dxa"/>
            <w:vAlign w:val="center"/>
          </w:tcPr>
          <w:p w14:paraId="73E935D0">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0.362</w:t>
            </w:r>
          </w:p>
        </w:tc>
        <w:tc>
          <w:tcPr>
            <w:tcW w:w="869" w:type="dxa"/>
            <w:vAlign w:val="center"/>
          </w:tcPr>
          <w:p w14:paraId="0FFC86B7">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4.322</w:t>
            </w:r>
          </w:p>
        </w:tc>
        <w:tc>
          <w:tcPr>
            <w:tcW w:w="1184" w:type="dxa"/>
            <w:vAlign w:val="center"/>
          </w:tcPr>
          <w:p w14:paraId="0097F056">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0.00</w:t>
            </w:r>
            <w:r>
              <w:rPr>
                <w:rFonts w:hint="eastAsia" w:ascii="Times New Roman" w:hAnsi="Times New Roman" w:cs="Times New Roman"/>
                <w:kern w:val="2"/>
                <w:sz w:val="15"/>
                <w:szCs w:val="15"/>
                <w:highlight w:val="none"/>
                <w:lang w:val="en-US" w:eastAsia="zh-CN"/>
              </w:rPr>
              <w:t>1</w:t>
            </w:r>
            <w:r>
              <w:rPr>
                <w:rFonts w:hint="default" w:ascii="Times New Roman" w:hAnsi="Times New Roman" w:cs="Times New Roman"/>
                <w:kern w:val="2"/>
                <w:sz w:val="15"/>
                <w:szCs w:val="15"/>
                <w:highlight w:val="none"/>
              </w:rPr>
              <w:t>***</w:t>
            </w:r>
          </w:p>
        </w:tc>
      </w:tr>
      <w:tr w14:paraId="03A76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74" w:type="dxa"/>
            <w:tcBorders>
              <w:bottom w:val="single" w:color="auto" w:sz="4" w:space="0"/>
            </w:tcBorders>
            <w:vAlign w:val="center"/>
          </w:tcPr>
          <w:p w14:paraId="0705000D">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commentRangeStart w:id="14"/>
            <w:r>
              <w:rPr>
                <w:highlight w:val="yellow"/>
              </w:rPr>
              <w:t>体验地形服务</w:t>
            </w:r>
            <w:commentRangeEnd w:id="14"/>
            <w:r>
              <w:rPr>
                <w:rStyle w:val="CommentReference"/>
              </w:rPr>
              <w:commentReference w:id="14"/>
            </w:r>
          </w:p>
        </w:tc>
        <w:tc>
          <w:tcPr>
            <w:tcW w:w="1497" w:type="dxa"/>
            <w:tcBorders>
              <w:bottom w:val="single" w:color="auto" w:sz="4" w:space="0"/>
            </w:tcBorders>
            <w:vAlign w:val="center"/>
          </w:tcPr>
          <w:p w14:paraId="08BC1582">
            <w:pPr>
              <w:keepNext/>
              <w:snapToGrid w:val="0"/>
              <w:spacing w:line="240" w:lineRule="auto"/>
              <w:ind w:left="0" w:leftChars="0" w:right="0" w:rightChars="0" w:firstLine="0" w:firstLineChars="0"/>
              <w:jc w:val="left"/>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0.051</w:t>
            </w:r>
          </w:p>
        </w:tc>
        <w:tc>
          <w:tcPr>
            <w:tcW w:w="1143" w:type="dxa"/>
            <w:tcBorders>
              <w:bottom w:val="single" w:color="auto" w:sz="4" w:space="0"/>
            </w:tcBorders>
            <w:vAlign w:val="center"/>
          </w:tcPr>
          <w:p w14:paraId="29A49D88">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0.074</w:t>
            </w:r>
          </w:p>
        </w:tc>
        <w:tc>
          <w:tcPr>
            <w:tcW w:w="1333" w:type="dxa"/>
            <w:tcBorders>
              <w:bottom w:val="single" w:color="auto" w:sz="4" w:space="0"/>
            </w:tcBorders>
            <w:vAlign w:val="center"/>
          </w:tcPr>
          <w:p w14:paraId="578B0DE9">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0.072</w:t>
            </w:r>
          </w:p>
        </w:tc>
        <w:tc>
          <w:tcPr>
            <w:tcW w:w="869" w:type="dxa"/>
            <w:tcBorders>
              <w:bottom w:val="single" w:color="auto" w:sz="4" w:space="0"/>
            </w:tcBorders>
            <w:vAlign w:val="center"/>
          </w:tcPr>
          <w:p w14:paraId="2549BFF3">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0.687</w:t>
            </w:r>
          </w:p>
        </w:tc>
        <w:tc>
          <w:tcPr>
            <w:tcW w:w="1184" w:type="dxa"/>
            <w:tcBorders>
              <w:bottom w:val="single" w:color="auto" w:sz="4" w:space="0"/>
            </w:tcBorders>
            <w:vAlign w:val="center"/>
          </w:tcPr>
          <w:p w14:paraId="706FCF51">
            <w:pPr>
              <w:keepNext/>
              <w:snapToGrid w:val="0"/>
              <w:spacing w:line="240" w:lineRule="auto"/>
              <w:ind w:left="0" w:leftChars="0" w:right="0" w:rightChars="0" w:firstLine="0" w:firstLineChars="0"/>
              <w:jc w:val="center"/>
              <w:rPr>
                <w:rFonts w:hint="default" w:ascii="Times New Roman" w:hAnsi="Times New Roman" w:cs="Times New Roman"/>
                <w:kern w:val="2"/>
                <w:sz w:val="15"/>
                <w:szCs w:val="15"/>
                <w:highlight w:val="none"/>
              </w:rPr>
            </w:pPr>
            <w:r>
              <w:rPr>
                <w:rFonts w:hint="default" w:ascii="Times New Roman" w:hAnsi="Times New Roman" w:cs="Times New Roman"/>
                <w:kern w:val="2"/>
                <w:sz w:val="15"/>
                <w:szCs w:val="15"/>
                <w:highlight w:val="none"/>
              </w:rPr>
              <w:t>0.496</w:t>
            </w:r>
          </w:p>
        </w:tc>
      </w:tr>
    </w:tbl>
    <w:p w14:paraId="7D58DDBC">
      <w:pPr>
        <w:pStyle w:val="33"/>
        <w:bidi w:val="0"/>
        <w:rPr>
          <w:rFonts w:hint="default"/>
          <w:highlight w:val="none"/>
          <w:lang w:val="en-US" w:eastAsia="zh-CN"/>
        </w:rPr>
      </w:pPr>
      <w:r>
        <w:rPr>
          <w:rFonts w:hint="eastAsia"/>
          <w:highlight w:val="none"/>
          <w:lang w:val="en-US" w:eastAsia="zh-CN"/>
        </w:rPr>
        <w:t>2.3  CES供需错配与IPA更新优先级</w:t>
      </w:r>
    </w:p>
    <w:p w14:paraId="0D42F2EF">
      <w:pPr>
        <w:pStyle w:val="34"/>
        <w:bidi w:val="0"/>
        <w:rPr>
          <w:highlight w:val="none"/>
        </w:rPr>
      </w:pPr>
      <w:r>
        <w:rPr>
          <w:highlight w:val="none"/>
        </w:rPr>
        <w:t>在要素层面，</w:t>
      </w:r>
      <w:r>
        <w:rPr>
          <w:rFonts w:hint="eastAsia"/>
          <w:highlight w:val="none"/>
          <w:lang w:eastAsia="zh-CN"/>
        </w:rPr>
        <w:t>研究</w:t>
      </w:r>
      <w:r>
        <w:rPr>
          <w:highlight w:val="none"/>
        </w:rPr>
        <w:t>进一步引入IPA模型对需求侧与供给侧进行匹配诊断。横轴为感知频率</w:t>
      </w:r>
      <w:r>
        <w:rPr>
          <w:rFonts w:hint="eastAsia"/>
          <w:highlight w:val="none"/>
          <w:lang w:val="en-US" w:eastAsia="zh-CN"/>
        </w:rPr>
        <w:t>代表需求侧指数</w:t>
      </w:r>
      <w:r>
        <w:rPr>
          <w:highlight w:val="none"/>
        </w:rPr>
        <w:t>，纵轴为感知倾向</w:t>
      </w:r>
      <w:r>
        <w:rPr>
          <w:rFonts w:hint="eastAsia"/>
          <w:highlight w:val="none"/>
          <w:lang w:val="en-US" w:eastAsia="zh-CN"/>
        </w:rPr>
        <w:t>代表供给侧指数</w:t>
      </w:r>
      <w:r>
        <w:rPr>
          <w:highlight w:val="none"/>
        </w:rPr>
        <w:t>，并以各要素均值作为象限分界。形成“高供—高需”“低供—高需”“高供—低需”和“低供—低需”4类</w:t>
      </w:r>
      <w:r>
        <w:rPr>
          <w:rFonts w:hint="eastAsia"/>
          <w:highlight w:val="none"/>
          <w:lang w:eastAsia="zh-CN"/>
        </w:rPr>
        <w:t>公众</w:t>
      </w:r>
      <w:r>
        <w:rPr>
          <w:highlight w:val="none"/>
        </w:rPr>
        <w:t>感知层面的供需关系。</w:t>
      </w:r>
    </w:p>
    <w:p w14:paraId="5C0B1059">
      <w:pPr>
        <w:pStyle w:val="34"/>
        <w:bidi w:val="0"/>
        <w:rPr>
          <w:highlight w:val="none"/>
          <w:lang w:val="en-US"/>
        </w:rPr>
      </w:pPr>
      <w:r>
        <w:rPr>
          <w:highlight w:val="none"/>
        </w:rPr>
        <w:t>高供高需区表示相关要素既具有较高公众关注度，又能够形成较稳定的正向感知，可作为优势维持类要素。</w:t>
      </w:r>
      <w:r>
        <w:rPr>
          <w:highlight w:val="none"/>
        </w:rPr>
        <w:t>所处要素包括：美学景观服务、教育体验服务、精神福祉与社交服务，是深圳</w:t>
      </w:r>
      <w:r>
        <w:rPr>
          <w:rFonts w:hint="eastAsia"/>
          <w:highlight w:val="none"/>
          <w:lang w:val="en-US" w:eastAsia="zh-CN"/>
        </w:rPr>
        <w:t>城市</w:t>
      </w:r>
      <w:r>
        <w:rPr>
          <w:highlight w:val="none"/>
        </w:rPr>
        <w:t>公园当前最具支撑性的核心体验要素。</w:t>
      </w:r>
    </w:p>
    <w:p w14:paraId="0C95F1A2">
      <w:pPr>
        <w:pStyle w:val="34"/>
        <w:bidi w:val="0"/>
        <w:rPr>
          <w:highlight w:val="none"/>
        </w:rPr>
      </w:pPr>
      <w:r>
        <w:rPr>
          <w:highlight w:val="none"/>
        </w:rPr>
        <w:t>低</w:t>
      </w:r>
      <w:r>
        <w:rPr>
          <w:rFonts w:hint="eastAsia"/>
          <w:highlight w:val="none"/>
          <w:lang w:val="en-US" w:eastAsia="zh-CN"/>
        </w:rPr>
        <w:t>供给</w:t>
      </w:r>
      <w:r>
        <w:rPr>
          <w:highlight w:val="none"/>
        </w:rPr>
        <w:t>而高</w:t>
      </w:r>
      <w:r>
        <w:rPr>
          <w:rFonts w:hint="eastAsia"/>
          <w:highlight w:val="none"/>
          <w:lang w:val="en-US" w:eastAsia="zh-CN"/>
        </w:rPr>
        <w:t>需求</w:t>
      </w:r>
      <w:r>
        <w:rPr>
          <w:highlight w:val="none"/>
        </w:rPr>
        <w:t>意味着</w:t>
      </w:r>
      <w:r>
        <w:rPr>
          <w:rFonts w:hint="eastAsia"/>
          <w:highlight w:val="none"/>
          <w:lang w:eastAsia="zh-CN"/>
        </w:rPr>
        <w:t>公众</w:t>
      </w:r>
      <w:r>
        <w:rPr>
          <w:highlight w:val="none"/>
        </w:rPr>
        <w:t>关注度高，</w:t>
      </w:r>
      <w:r>
        <w:rPr>
          <w:rFonts w:hint="eastAsia"/>
          <w:highlight w:val="none"/>
          <w:lang w:eastAsia="zh-CN"/>
        </w:rPr>
        <w:t>然而</w:t>
      </w:r>
      <w:r>
        <w:rPr>
          <w:highlight w:val="none"/>
        </w:rPr>
        <w:t>现有供给</w:t>
      </w:r>
      <w:r>
        <w:rPr>
          <w:rFonts w:hint="eastAsia"/>
          <w:highlight w:val="none"/>
          <w:lang w:val="en-US" w:eastAsia="zh-CN"/>
        </w:rPr>
        <w:t>侧</w:t>
      </w:r>
      <w:r>
        <w:rPr>
          <w:highlight w:val="none"/>
        </w:rPr>
        <w:t>未能有效匹配。可达性与保障服务落入高需低供象限，说明停车、如厕、导向、照明、无障碍和安全巡查等基础保障已成为制约</w:t>
      </w:r>
      <w:r>
        <w:rPr>
          <w:rFonts w:hint="eastAsia"/>
          <w:highlight w:val="none"/>
          <w:lang w:val="en-US" w:eastAsia="zh-CN"/>
        </w:rPr>
        <w:t>保障</w:t>
      </w:r>
      <w:r>
        <w:rPr>
          <w:highlight w:val="none"/>
        </w:rPr>
        <w:t>体验的突出短板，也表明公园</w:t>
      </w:r>
      <w:r>
        <w:rPr>
          <w:highlight w:val="none"/>
        </w:rPr>
        <w:t>在平等可达和基础保障方面仍存</w:t>
      </w:r>
      <w:r>
        <w:rPr>
          <w:highlight w:val="none"/>
        </w:rPr>
        <w:t>在明显改进空间。</w:t>
      </w:r>
    </w:p>
    <w:p w14:paraId="66DBFAC5">
      <w:pPr>
        <w:pStyle w:val="34"/>
        <w:bidi w:val="0"/>
        <w:rPr>
          <w:rFonts w:hint="eastAsia"/>
          <w:highlight w:val="none"/>
          <w:lang w:eastAsia="zh-CN"/>
        </w:rPr>
      </w:pPr>
      <w:r>
        <w:rPr>
          <w:highlight w:val="none"/>
        </w:rPr>
        <w:t>高</w:t>
      </w:r>
      <w:r>
        <w:rPr>
          <w:rFonts w:hint="eastAsia"/>
          <w:highlight w:val="none"/>
          <w:lang w:val="en-US" w:eastAsia="zh-CN"/>
        </w:rPr>
        <w:t>供给</w:t>
      </w:r>
      <w:r>
        <w:rPr>
          <w:highlight w:val="none"/>
        </w:rPr>
        <w:t>低</w:t>
      </w:r>
      <w:r>
        <w:rPr>
          <w:rFonts w:hint="eastAsia"/>
          <w:highlight w:val="none"/>
          <w:lang w:val="en-US" w:eastAsia="zh-CN"/>
        </w:rPr>
        <w:t>需求</w:t>
      </w:r>
      <w:r>
        <w:rPr>
          <w:highlight w:val="none"/>
        </w:rPr>
        <w:t>表示相关要素虽未成为</w:t>
      </w:r>
      <w:r>
        <w:rPr>
          <w:rFonts w:hint="eastAsia"/>
          <w:highlight w:val="none"/>
          <w:lang w:eastAsia="zh-CN"/>
        </w:rPr>
        <w:t>公众</w:t>
      </w:r>
      <w:r>
        <w:rPr>
          <w:highlight w:val="none"/>
        </w:rPr>
        <w:t>最主要的讨论焦点，</w:t>
      </w:r>
      <w:r>
        <w:rPr>
          <w:rFonts w:hint="eastAsia"/>
          <w:highlight w:val="none"/>
          <w:lang w:eastAsia="zh-CN"/>
        </w:rPr>
        <w:t>然而</w:t>
      </w:r>
      <w:r>
        <w:rPr>
          <w:highlight w:val="none"/>
        </w:rPr>
        <w:t>被感知往往能形成积极评价。生态健康指标</w:t>
      </w:r>
      <w:r>
        <w:rPr>
          <w:rFonts w:hint="eastAsia"/>
          <w:highlight w:val="none"/>
          <w:lang w:val="en-US" w:eastAsia="zh-CN"/>
        </w:rPr>
        <w:t>服务</w:t>
      </w:r>
      <w:r>
        <w:rPr>
          <w:highlight w:val="none"/>
        </w:rPr>
        <w:t>、体验地形服务位于高供低需象限，表明其供给质量较好，</w:t>
      </w:r>
      <w:r>
        <w:rPr>
          <w:rFonts w:hint="eastAsia"/>
          <w:highlight w:val="none"/>
          <w:lang w:eastAsia="zh-CN"/>
        </w:rPr>
        <w:t>然而</w:t>
      </w:r>
      <w:r>
        <w:rPr>
          <w:highlight w:val="none"/>
        </w:rPr>
        <w:t>可感知性和表达度仍有提升空间</w:t>
      </w:r>
      <w:r>
        <w:rPr>
          <w:rFonts w:hint="eastAsia"/>
          <w:highlight w:val="none"/>
          <w:lang w:eastAsia="zh-CN"/>
        </w:rPr>
        <w:t>。</w:t>
      </w:r>
    </w:p>
    <w:p w14:paraId="45828646">
      <w:pPr>
        <w:pStyle w:val="34"/>
        <w:bidi w:val="0"/>
        <w:rPr>
          <w:highlight w:val="none"/>
        </w:rPr>
      </w:pPr>
      <w:r>
        <w:rPr>
          <w:highlight w:val="none"/>
        </w:rPr>
        <w:t>低供低需象限</w:t>
      </w:r>
      <w:r>
        <w:rPr>
          <w:rFonts w:hint="eastAsia"/>
          <w:highlight w:val="none"/>
          <w:lang w:val="en-US" w:eastAsia="zh-CN"/>
        </w:rPr>
        <w:t>为供给和需求均低，</w:t>
      </w:r>
      <w:r>
        <w:rPr>
          <w:highlight w:val="none"/>
        </w:rPr>
        <w:t>反馈均不突出属于低优先观察区</w:t>
      </w:r>
      <w:r>
        <w:rPr>
          <w:rFonts w:hint="eastAsia"/>
          <w:highlight w:val="none"/>
          <w:lang w:val="en-US" w:eastAsia="zh-CN"/>
        </w:rPr>
        <w:t>，所处要素有：</w:t>
      </w:r>
      <w:r>
        <w:rPr>
          <w:highlight w:val="none"/>
        </w:rPr>
        <w:t>文化遗产</w:t>
      </w:r>
      <w:r>
        <w:rPr>
          <w:rFonts w:hint="eastAsia"/>
          <w:highlight w:val="none"/>
          <w:lang w:val="en-US" w:eastAsia="zh-CN"/>
        </w:rPr>
        <w:t>服务</w:t>
      </w:r>
      <w:r>
        <w:rPr>
          <w:highlight w:val="none"/>
        </w:rPr>
        <w:t>、沉浸体验</w:t>
      </w:r>
      <w:r>
        <w:rPr>
          <w:rFonts w:hint="eastAsia"/>
          <w:highlight w:val="none"/>
          <w:lang w:val="en-US" w:eastAsia="zh-CN"/>
        </w:rPr>
        <w:t>服务</w:t>
      </w:r>
      <w:r>
        <w:rPr>
          <w:highlight w:val="none"/>
        </w:rPr>
        <w:t>、环境与游憩适宜度</w:t>
      </w:r>
      <w:r>
        <w:rPr>
          <w:rFonts w:hint="eastAsia"/>
          <w:highlight w:val="none"/>
          <w:lang w:val="en-US" w:eastAsia="zh-CN"/>
        </w:rPr>
        <w:t>服务</w:t>
      </w:r>
      <w:r>
        <w:rPr>
          <w:highlight w:val="none"/>
        </w:rPr>
        <w:t>及</w:t>
      </w:r>
      <w:r>
        <w:rPr>
          <w:rFonts w:hint="eastAsia"/>
          <w:highlight w:val="none"/>
          <w:lang w:eastAsia="zh-CN"/>
        </w:rPr>
        <w:t>空间开敞与通行</w:t>
      </w:r>
      <w:r>
        <w:rPr>
          <w:rFonts w:hint="eastAsia"/>
          <w:highlight w:val="none"/>
          <w:lang w:val="en-US" w:eastAsia="zh-CN"/>
        </w:rPr>
        <w:t>服务</w:t>
      </w:r>
      <w:r>
        <w:rPr>
          <w:highlight w:val="none"/>
        </w:rPr>
        <w:t>等要素整体处于</w:t>
      </w:r>
      <w:r>
        <w:rPr>
          <w:rFonts w:hint="eastAsia"/>
          <w:highlight w:val="none"/>
          <w:lang w:val="en-US" w:eastAsia="zh-CN"/>
        </w:rPr>
        <w:t>此区</w:t>
      </w:r>
      <w:r>
        <w:rPr>
          <w:highlight w:val="none"/>
        </w:rPr>
        <w:t>，当前并非最紧迫的治理瓶颈，</w:t>
      </w:r>
      <w:r>
        <w:rPr>
          <w:rFonts w:hint="eastAsia"/>
          <w:highlight w:val="none"/>
          <w:lang w:eastAsia="zh-CN"/>
        </w:rPr>
        <w:t>然而</w:t>
      </w:r>
      <w:r>
        <w:rPr>
          <w:highlight w:val="none"/>
        </w:rPr>
        <w:t>仍可作为结构性提升方向，在重点节点和典型场景中分阶段强化（图5）。</w:t>
      </w: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06"/>
      </w:tblGrid>
      <w:tr w14:paraId="353AF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06" w:type="dxa"/>
          </w:tcPr>
          <w:p w14:paraId="5C874444">
            <w:pPr>
              <w:jc w:val="center"/>
              <w:rPr>
                <w:kern w:val="2"/>
                <w:highlight w:val="none"/>
              </w:rPr>
            </w:pPr>
            <w:r>
              <w:rPr>
                <w:rFonts w:eastAsia="宋体" w:cs="Times New Roman"/>
                <w:color w:val="auto"/>
                <w:kern w:val="2"/>
                <w:sz w:val="24"/>
                <w:szCs w:val="24"/>
                <w:highlight w:val="none"/>
                <w:lang w:eastAsia="zh-CN"/>
              </w:rPr>
              <w:drawing>
                <wp:inline distT="0" distB="0" distL="114300" distR="114300">
                  <wp:extent cx="2652395" cy="1560195"/>
                  <wp:effectExtent l="0" t="0" r="14605" b="1905"/>
                  <wp:docPr id="14" name="图片 14" descr="频率=需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频率=需求"/>
                          <pic:cNvPicPr>
                            <a:picLocks noChangeAspect="1"/>
                          </pic:cNvPicPr>
                        </pic:nvPicPr>
                        <pic:blipFill>
                          <a:blip r:embed="rId16"/>
                          <a:stretch>
                            <a:fillRect/>
                          </a:stretch>
                        </pic:blipFill>
                        <pic:spPr>
                          <a:xfrm>
                            <a:off x="0" y="0"/>
                            <a:ext cx="2652395" cy="1560195"/>
                          </a:xfrm>
                          <a:prstGeom prst="rect">
                            <a:avLst/>
                          </a:prstGeom>
                        </pic:spPr>
                      </pic:pic>
                    </a:graphicData>
                  </a:graphic>
                </wp:inline>
              </w:drawing>
            </w:r>
          </w:p>
        </w:tc>
      </w:tr>
    </w:tbl>
    <w:p w14:paraId="24EF08DC">
      <w:pPr>
        <w:pStyle w:val="39"/>
        <w:bidi w:val="0"/>
        <w:jc w:val="center"/>
        <w:rPr>
          <w:rFonts w:hint="default" w:ascii="Times New Roman" w:hAnsi="Times New Roman" w:eastAsia="宋体" w:cs="Times New Roman"/>
          <w:sz w:val="21"/>
          <w:szCs w:val="21"/>
          <w:highlight w:val="none"/>
          <w:lang w:val="zh-TW" w:eastAsia="zh-CN"/>
        </w:rPr>
      </w:pPr>
      <w:r>
        <w:rPr>
          <w:rFonts w:hint="default" w:ascii="Times New Roman" w:hAnsi="Times New Roman" w:eastAsia="宋体" w:cs="Times New Roman"/>
          <w:sz w:val="21"/>
          <w:szCs w:val="21"/>
          <w:highlight w:val="none"/>
          <w:lang w:val="zh-TW" w:eastAsia="zh-CN"/>
        </w:rPr>
        <w:t>图5 CES评价要素IPA模型分析图</w:t>
      </w:r>
    </w:p>
    <w:p w14:paraId="13ECDEED">
      <w:pPr>
        <w:pStyle w:val="39"/>
        <w:bidi w:val="0"/>
        <w:jc w:val="center"/>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rPr>
        <w:t>Figure 5 IPA Model Analysis of CES Evaluation Elements</w:t>
      </w:r>
    </w:p>
    <w:p w14:paraId="035501D8">
      <w:pPr>
        <w:pStyle w:val="39"/>
        <w:bidi w:val="0"/>
        <w:jc w:val="center"/>
        <w:rPr>
          <w:rFonts w:hint="default" w:ascii="Times New Roman" w:hAnsi="Times New Roman" w:eastAsia="宋体" w:cs="Times New Roman"/>
          <w:sz w:val="21"/>
          <w:szCs w:val="21"/>
          <w:highlight w:val="none"/>
          <w:lang w:val="zh-TW" w:eastAsia="zh-CN"/>
        </w:rPr>
      </w:pPr>
      <w:commentRangeStart w:id="0"/>
      <w:r>
        <w:rPr>
          <w:highlight w:val="yellow"/>
        </w:rPr>
        <w:t>注：1美学景观服务、2文化遗产服务、3可达性与保障服务、4教育体验服务、5环境与游憩适宜度服务、6沉浸体验服务、7生态健康指标、8精神福祉与社交服务、9空间开敞与通行服务、10体验地形服务</w:t>
      </w:r>
      <w:commentRangeEnd w:id="0"/>
      <w:r>
        <w:rPr>
          <w:rStyle w:val="CommentReference"/>
        </w:rPr>
        <w:commentReference w:id="0"/>
      </w:r>
    </w:p>
    <w:p w14:paraId="5CE8BDAA">
      <w:pPr>
        <w:pStyle w:val="39"/>
        <w:bidi w:val="0"/>
        <w:ind w:left="0" w:leftChars="0" w:firstLine="0" w:firstLineChars="0"/>
        <w:jc w:val="center"/>
        <w:rPr>
          <w:rFonts w:hint="default" w:ascii="Times New Roman" w:hAnsi="Times New Roman" w:eastAsia="宋体" w:cs="Times New Roman"/>
          <w:sz w:val="21"/>
          <w:szCs w:val="21"/>
          <w:highlight w:val="none"/>
          <w:lang w:val="zh-TW" w:eastAsia="zh-CN"/>
        </w:rPr>
      </w:pPr>
      <w:r>
        <w:rPr>
          <w:rFonts w:hint="default" w:ascii="Times New Roman" w:hAnsi="Times New Roman" w:eastAsia="宋体" w:cs="Times New Roman"/>
          <w:sz w:val="21"/>
          <w:szCs w:val="21"/>
          <w:highlight w:val="none"/>
        </w:rPr>
        <w:t>Note</w:t>
      </w:r>
      <w:r>
        <w:rPr>
          <w:rFonts w:hint="eastAsia"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1 Aesthetic landscape services;2 Cultural heritage services;3 Accessibility and supporting services;4 Educational experience services;5 Environmental and recreational suitability services;6 Immersive experience services;7 Ecological health indicators;8 Mental well-being and social interaction services;9 Spatial openness and circulation services;10 Experiential topography services.</w:t>
      </w:r>
    </w:p>
    <w:p w14:paraId="23477990">
      <w:pPr>
        <w:pStyle w:val="40"/>
        <w:bidi w:val="0"/>
        <w:rPr>
          <w:highlight w:val="none"/>
        </w:rPr>
      </w:pPr>
      <w:r>
        <w:rPr>
          <w:highlight w:val="none"/>
        </w:rPr>
        <w:t>3  百姓园林导向下的CES优化路径</w:t>
      </w:r>
    </w:p>
    <w:p w14:paraId="58F068BF">
      <w:pPr>
        <w:pStyle w:val="33"/>
        <w:bidi w:val="0"/>
        <w:rPr>
          <w:rFonts w:hint="default"/>
          <w:highlight w:val="none"/>
          <w:lang w:val="zh-CN"/>
        </w:rPr>
      </w:pPr>
      <w:r>
        <w:rPr>
          <w:highlight w:val="none"/>
        </w:rPr>
        <w:t>3.1  不同公园的百姓园林实现路径</w:t>
      </w:r>
    </w:p>
    <w:p w14:paraId="793A4254">
      <w:pPr>
        <w:pStyle w:val="34"/>
        <w:bidi w:val="0"/>
        <w:rPr>
          <w:highlight w:val="none"/>
        </w:rPr>
      </w:pPr>
      <w:r>
        <w:rPr>
          <w:highlight w:val="none"/>
        </w:rPr>
        <w:t>研究结果表明，深圳不同类型公园在CES感知层面存在明显差异，主要与公园功能定位、服务对象、空间组织和运维水平有关。从“百姓园林”视角看，这种差异反映的是公园能否把景观、生态和文化资源转化为公众日常可进入、可停留、可使用、可感知的服务。</w:t>
      </w:r>
    </w:p>
    <w:p w14:paraId="41E08C11">
      <w:pPr>
        <w:pStyle w:val="34"/>
        <w:bidi w:val="0"/>
        <w:rPr>
          <w:highlight w:val="none"/>
        </w:rPr>
      </w:pPr>
      <w:r>
        <w:rPr>
          <w:highlight w:val="none"/>
        </w:rPr>
        <w:t>基干公园承担周边居民高频使用功能，是“百姓园林”中最直接服务日常生活的空间类型。其感知评价更依赖设施完备性、路径连续性、卫生维护和安全管理</w:t>
      </w:r>
      <w:r>
        <w:rPr>
          <w:rStyle w:val="44"/>
          <w:rFonts w:hint="default"/>
          <w:lang w:val="en-US"/>
        </w:rPr>
        <w:fldChar w:fldCharType="begin"/>
      </w:r>
      <w:r>
        <w:rPr>
          <w:rStyle w:val="44"/>
        </w:rPr>
        <w:instrText xml:space="preserve"> REF _Ref32539 \r \h  \* MERGEFORMAT</w:instrText>
      </w:r>
      <w:r>
        <w:rPr>
          <w:rStyle w:val="44"/>
          <w:rFonts w:hint="default"/>
          <w:lang w:val="en-US"/>
        </w:rPr>
        <w:fldChar w:fldCharType="separate"/>
      </w:r>
      <w:r>
        <w:rPr>
          <w:rStyle w:val="44"/>
          <w:rFonts w:hint="default"/>
          <w:lang w:val="en-US"/>
        </w:rPr>
        <w:t>[28</w:t>
      </w:r>
      <w:r>
        <w:rPr>
          <w:rStyle w:val="44"/>
          <w:rFonts w:hint="default"/>
          <w:lang w:val="en-US"/>
        </w:rPr>
        <w:fldChar w:fldCharType="end"/>
      </w:r>
      <w:r>
        <w:rPr>
          <w:rStyle w:val="44"/>
          <w:rFonts w:hint="default"/>
          <w:lang w:val="en-US"/>
        </w:rPr>
        <w:fldChar w:fldCharType="begin"/>
      </w:r>
      <w:r>
        <w:rPr>
          <w:rStyle w:val="44"/>
        </w:rPr>
        <w:instrText xml:space="preserve"> REF _Ref32542 \r \h  \* MERGEFORMAT</w:instrText>
      </w:r>
      <w:r>
        <w:rPr>
          <w:rStyle w:val="44"/>
          <w:rFonts w:hint="default"/>
          <w:lang w:val="en-US"/>
        </w:rPr>
        <w:fldChar w:fldCharType="separate"/>
      </w:r>
      <w:r>
        <w:rPr>
          <w:rStyle w:val="44"/>
          <w:rFonts w:hint="eastAsia"/>
          <w:lang w:val="en-US" w:eastAsia="zh-CN"/>
        </w:rPr>
        <w:t>-</w:t>
      </w:r>
      <w:r>
        <w:rPr>
          <w:rStyle w:val="44"/>
          <w:rFonts w:hint="default"/>
          <w:lang w:val="en-US"/>
        </w:rPr>
        <w:t>29]</w:t>
      </w:r>
      <w:r>
        <w:rPr>
          <w:rStyle w:val="44"/>
          <w:rFonts w:hint="default"/>
          <w:lang w:val="en-US"/>
        </w:rPr>
        <w:fldChar w:fldCharType="end"/>
      </w:r>
      <w:r>
        <w:rPr>
          <w:highlight w:val="none"/>
        </w:rPr>
        <w:t>。因此，优化重点应放在步道连通、座椅与</w:t>
      </w:r>
      <w:r>
        <w:rPr>
          <w:rFonts w:hint="eastAsia"/>
          <w:highlight w:val="none"/>
          <w:lang w:eastAsia="zh-CN"/>
        </w:rPr>
        <w:t>遮阴</w:t>
      </w:r>
      <w:r>
        <w:rPr>
          <w:highlight w:val="none"/>
        </w:rPr>
        <w:t>、厕所与饮水点、无障碍通行、夜间照明和日常保洁等基础环节，使老人、儿童、通勤人群和运动人群都能稳定使用。</w:t>
      </w:r>
    </w:p>
    <w:p w14:paraId="175223BD">
      <w:pPr>
        <w:pStyle w:val="34"/>
        <w:bidi w:val="0"/>
        <w:rPr>
          <w:highlight w:val="none"/>
        </w:rPr>
      </w:pPr>
      <w:r>
        <w:rPr>
          <w:highlight w:val="none"/>
        </w:rPr>
        <w:t>特色公园依靠主题场景、文化符号和活动内容形成吸引力，对应“百姓园林”中文化传承和公共参与的要求。但在节假日或活动高峰期，入口拥堵、排队时间长、导向不清、休憩点不足和服务衔接不顺等问题，容易削弱公众体验。其更新不应只强化景观形象和打卡场景，还应完善停车接驳、游线组织、分流管理、活动秩序和便民服务，使文化主题真正转化为可停留、可参与、可共享的公共体验。</w:t>
      </w:r>
    </w:p>
    <w:p w14:paraId="123360D7">
      <w:pPr>
        <w:pStyle w:val="34"/>
        <w:bidi w:val="0"/>
        <w:rPr>
          <w:highlight w:val="none"/>
        </w:rPr>
      </w:pPr>
      <w:r>
        <w:rPr>
          <w:highlight w:val="none"/>
        </w:rPr>
        <w:t>自然公园具有生态本底和身心恢复优势，更能体现“百姓园林”中生命在场和生态共享的内涵。但由于尺度较大、路径较长、节点分散，公众体验容易受到入口接驳、导向标识、休憩设施和安全提示影响</w:t>
      </w:r>
      <w:r>
        <w:rPr>
          <w:rStyle w:val="44"/>
          <w:rFonts w:hint="default"/>
          <w:lang w:val="en-US"/>
        </w:rPr>
        <w:fldChar w:fldCharType="begin"/>
      </w:r>
      <w:r>
        <w:rPr>
          <w:rStyle w:val="44"/>
        </w:rPr>
        <w:instrText xml:space="preserve"> REF _Ref28665 \r \h  \* MERGEFORMAT</w:instrText>
      </w:r>
      <w:r>
        <w:rPr>
          <w:rStyle w:val="44"/>
          <w:rFonts w:hint="default"/>
          <w:lang w:val="en-US"/>
        </w:rPr>
        <w:fldChar w:fldCharType="separate"/>
      </w:r>
      <w:r>
        <w:rPr>
          <w:rStyle w:val="44"/>
          <w:rFonts w:hint="default"/>
          <w:lang w:val="en-US"/>
        </w:rPr>
        <w:t>[30</w:t>
      </w:r>
      <w:r>
        <w:rPr>
          <w:rStyle w:val="44"/>
          <w:rFonts w:hint="eastAsia"/>
          <w:lang w:val="en-US" w:eastAsia="zh-CN"/>
        </w:rPr>
        <w:t>-</w:t>
      </w:r>
      <w:r>
        <w:rPr>
          <w:rStyle w:val="44"/>
          <w:rFonts w:hint="default"/>
          <w:lang w:val="en-US"/>
        </w:rPr>
        <w:fldChar w:fldCharType="end"/>
      </w:r>
      <w:r>
        <w:rPr>
          <w:rStyle w:val="44"/>
          <w:rFonts w:hint="default"/>
          <w:lang w:val="en-US"/>
        </w:rPr>
        <w:fldChar w:fldCharType="begin"/>
      </w:r>
      <w:r>
        <w:rPr>
          <w:rStyle w:val="44"/>
        </w:rPr>
        <w:instrText xml:space="preserve"> REF _Ref32555 \r \h  \* MERGEFORMAT</w:instrText>
      </w:r>
      <w:r>
        <w:rPr>
          <w:rStyle w:val="44"/>
          <w:rFonts w:hint="default"/>
          <w:lang w:val="en-US"/>
        </w:rPr>
        <w:fldChar w:fldCharType="separate"/>
      </w:r>
      <w:r>
        <w:rPr>
          <w:rStyle w:val="44"/>
          <w:rFonts w:hint="default"/>
          <w:lang w:val="en-US"/>
        </w:rPr>
        <w:t>31]</w:t>
      </w:r>
      <w:r>
        <w:rPr>
          <w:rStyle w:val="44"/>
          <w:rFonts w:hint="default"/>
          <w:lang w:val="en-US"/>
        </w:rPr>
        <w:fldChar w:fldCharType="end"/>
      </w:r>
      <w:r>
        <w:rPr>
          <w:highlight w:val="none"/>
        </w:rPr>
        <w:t>。因此，自然公园应在生态保护前提下，完善主要入口、游览线路、观景休息点、风险提示和自然解说系统，提高生态资源的可达性和可理解性。</w:t>
      </w:r>
    </w:p>
    <w:p w14:paraId="4CF4B2E1">
      <w:pPr>
        <w:pStyle w:val="34"/>
        <w:bidi w:val="0"/>
        <w:rPr>
          <w:highlight w:val="none"/>
        </w:rPr>
      </w:pPr>
      <w:r>
        <w:rPr>
          <w:highlight w:val="none"/>
        </w:rPr>
        <w:t>由此看，深圳公园分类治理不宜只依据规模、主题或资源属性，而应围绕“百姓园林”强调的日常获得、普惠共享、全龄友好和公众感知确定更新重点：基干公园重在稳定日常服务，特色公园重在文化体验与高峰组织，自然公园重在生态可达与安全保障。这样才能使CES评价结果转化为具体的公园更新路径。</w:t>
      </w:r>
    </w:p>
    <w:p w14:paraId="73DE4C37">
      <w:pPr>
        <w:pStyle w:val="33"/>
        <w:bidi w:val="0"/>
        <w:rPr>
          <w:rFonts w:hint="default"/>
          <w:highlight w:val="none"/>
          <w:lang w:val="en-US" w:eastAsia="zh-CN"/>
        </w:rPr>
      </w:pPr>
      <w:r>
        <w:rPr>
          <w:rFonts w:hint="eastAsia"/>
          <w:highlight w:val="none"/>
          <w:lang w:val="en-US" w:eastAsia="zh-CN"/>
        </w:rPr>
        <w:t>3.2  文化认同、空间共享与基础保障的协同机制</w:t>
      </w:r>
    </w:p>
    <w:p w14:paraId="6596F1E7">
      <w:pPr>
        <w:pStyle w:val="34"/>
        <w:bidi w:val="0"/>
        <w:rPr>
          <w:highlight w:val="none"/>
        </w:rPr>
      </w:pPr>
      <w:r>
        <w:rPr>
          <w:highlight w:val="none"/>
        </w:rPr>
        <w:t>岭回归结果表明，文化遗产服务</w:t>
      </w:r>
      <w:r>
        <w:rPr>
          <w:rFonts w:hint="eastAsia"/>
          <w:highlight w:val="none"/>
          <w:lang w:val="en-US" w:eastAsia="zh-CN"/>
        </w:rPr>
        <w:t>、</w:t>
      </w:r>
      <w:r>
        <w:rPr>
          <w:rFonts w:hint="eastAsia"/>
          <w:highlight w:val="none"/>
          <w:lang w:eastAsia="zh-CN"/>
        </w:rPr>
        <w:t>空间开敞与通行服务</w:t>
      </w:r>
      <w:r>
        <w:rPr>
          <w:highlight w:val="none"/>
        </w:rPr>
        <w:t>对总体感知倾向具有显著正向作用，可视为提升公园整体体验质量的增益型要素；可达性与保障服务呈显著负向作用，则说明其已成为影响深圳城市公园CES感知质量的关键</w:t>
      </w:r>
      <w:r>
        <w:rPr>
          <w:rFonts w:hint="eastAsia"/>
          <w:highlight w:val="none"/>
          <w:lang w:val="en-US" w:eastAsia="zh-CN"/>
        </w:rPr>
        <w:t>制约要素</w:t>
      </w:r>
      <w:r>
        <w:rPr>
          <w:highlight w:val="none"/>
        </w:rPr>
        <w:t>。结合IPA结果可见，可达性与保障服务同时处于高需低供位置，表明该类要素不仅被</w:t>
      </w:r>
      <w:r>
        <w:rPr>
          <w:rFonts w:hint="eastAsia"/>
          <w:highlight w:val="none"/>
          <w:lang w:val="en-US" w:eastAsia="zh-CN"/>
        </w:rPr>
        <w:t>高度</w:t>
      </w:r>
      <w:r>
        <w:rPr>
          <w:highlight w:val="none"/>
        </w:rPr>
        <w:t>关注，而且</w:t>
      </w:r>
      <w:r>
        <w:rPr>
          <w:rFonts w:hint="eastAsia"/>
          <w:highlight w:val="none"/>
          <w:lang w:val="en-US" w:eastAsia="zh-CN"/>
        </w:rPr>
        <w:t>若</w:t>
      </w:r>
      <w:r>
        <w:rPr>
          <w:highlight w:val="none"/>
        </w:rPr>
        <w:t>出现不足，便易放大为对公园整体品质的负向判断</w:t>
      </w:r>
      <w:r>
        <w:rPr>
          <w:rStyle w:val="44"/>
          <w:rFonts w:hint="default"/>
          <w:lang w:val="en-US"/>
        </w:rPr>
        <w:fldChar w:fldCharType="begin"/>
      </w:r>
      <w:r>
        <w:rPr>
          <w:rStyle w:val="44"/>
        </w:rPr>
        <w:instrText xml:space="preserve"> REF _Ref32 \r \h  \* MERGEFORMAT</w:instrText>
      </w:r>
      <w:r>
        <w:rPr>
          <w:rStyle w:val="44"/>
          <w:rFonts w:hint="default"/>
          <w:lang w:val="en-US"/>
        </w:rPr>
        <w:fldChar w:fldCharType="separate"/>
      </w:r>
      <w:r>
        <w:rPr>
          <w:rStyle w:val="44"/>
          <w:rFonts w:hint="default"/>
          <w:lang w:val="en-US"/>
        </w:rPr>
        <w:t>[32]</w:t>
      </w:r>
      <w:r>
        <w:rPr>
          <w:rStyle w:val="44"/>
          <w:rFonts w:hint="default"/>
          <w:lang w:val="en-US"/>
        </w:rPr>
        <w:fldChar w:fldCharType="end"/>
      </w:r>
      <w:r>
        <w:rPr>
          <w:highlight w:val="none"/>
        </w:rPr>
        <w:t>。这类问题</w:t>
      </w:r>
      <w:r>
        <w:rPr>
          <w:rFonts w:hint="eastAsia"/>
          <w:highlight w:val="none"/>
          <w:lang w:val="en-US" w:eastAsia="zh-CN"/>
        </w:rPr>
        <w:t>重点在于</w:t>
      </w:r>
      <w:r>
        <w:rPr>
          <w:highlight w:val="none"/>
        </w:rPr>
        <w:t>入口、路径、节点、停留和管理服务之间缺乏连续衔接，高峰时段的运维响应也不够稳定</w:t>
      </w:r>
      <w:r>
        <w:rPr>
          <w:rStyle w:val="44"/>
          <w:rFonts w:hint="default"/>
          <w:lang w:val="en-US"/>
        </w:rPr>
        <w:fldChar w:fldCharType="begin"/>
      </w:r>
      <w:r>
        <w:rPr>
          <w:rStyle w:val="44"/>
        </w:rPr>
        <w:instrText xml:space="preserve"> REF _Ref5557 \r \h  \* MERGEFORMAT</w:instrText>
      </w:r>
      <w:r>
        <w:rPr>
          <w:rStyle w:val="44"/>
          <w:rFonts w:hint="default"/>
          <w:lang w:val="en-US"/>
        </w:rPr>
        <w:fldChar w:fldCharType="separate"/>
      </w:r>
      <w:r>
        <w:rPr>
          <w:rStyle w:val="44"/>
          <w:rFonts w:hint="default"/>
          <w:lang w:val="en-US"/>
        </w:rPr>
        <w:t>[33</w:t>
      </w:r>
      <w:r>
        <w:rPr>
          <w:rStyle w:val="44"/>
          <w:rFonts w:hint="eastAsia"/>
          <w:lang w:val="en-US" w:eastAsia="zh-CN"/>
        </w:rPr>
        <w:t>-</w:t>
      </w:r>
      <w:r>
        <w:rPr>
          <w:rStyle w:val="44"/>
          <w:rFonts w:hint="default"/>
          <w:lang w:val="en-US"/>
        </w:rPr>
        <w:fldChar w:fldCharType="end"/>
      </w:r>
      <w:r>
        <w:rPr>
          <w:rStyle w:val="44"/>
          <w:rFonts w:hint="default"/>
          <w:lang w:val="en-US"/>
        </w:rPr>
        <w:fldChar w:fldCharType="begin"/>
      </w:r>
      <w:r>
        <w:rPr>
          <w:rStyle w:val="44"/>
        </w:rPr>
        <w:instrText xml:space="preserve"> REF _Ref5560 \r \h  \* MERGEFORMAT</w:instrText>
      </w:r>
      <w:r>
        <w:rPr>
          <w:rStyle w:val="44"/>
          <w:rFonts w:hint="default"/>
          <w:lang w:val="en-US"/>
        </w:rPr>
        <w:fldChar w:fldCharType="separate"/>
      </w:r>
      <w:r>
        <w:rPr>
          <w:rStyle w:val="44"/>
          <w:rFonts w:hint="default"/>
          <w:lang w:val="en-US"/>
        </w:rPr>
        <w:t>34]</w:t>
      </w:r>
      <w:r>
        <w:rPr>
          <w:rStyle w:val="44"/>
          <w:rFonts w:hint="default"/>
          <w:lang w:val="en-US"/>
        </w:rPr>
        <w:fldChar w:fldCharType="end"/>
      </w:r>
      <w:r>
        <w:rPr>
          <w:rStyle w:val="44"/>
        </w:rPr>
        <w:t>。</w:t>
      </w:r>
    </w:p>
    <w:p w14:paraId="79E003AF">
      <w:pPr>
        <w:pStyle w:val="34"/>
        <w:bidi w:val="0"/>
        <w:rPr>
          <w:highlight w:val="none"/>
        </w:rPr>
      </w:pPr>
      <w:r>
        <w:rPr>
          <w:highlight w:val="none"/>
        </w:rPr>
        <w:t>从“百姓园林”视角看，文化遗产服务对应文化传承，空间开敞与通行服务对应公共共享，可达性与保障服务则对应普惠使用和全龄友好的基本条件。文化遗产服务的正向作用说明，公众并不只关注景观是否好看，也会对具有地方记忆、城市符号和场地故事的空间形成更积极评价。后续更新应避免简单堆砌文化符号，而应结合深圳城市记忆、岭南园林元素和公园自身历史，将文化内容转化为可停留、可阅读、可参与的节点，如主题步道、解说牌、纪念性小品和活动空间。</w:t>
      </w:r>
    </w:p>
    <w:p w14:paraId="2CA32110">
      <w:pPr>
        <w:pStyle w:val="34"/>
        <w:bidi w:val="0"/>
        <w:rPr>
          <w:highlight w:val="none"/>
        </w:rPr>
      </w:pPr>
      <w:r>
        <w:rPr>
          <w:highlight w:val="none"/>
        </w:rPr>
        <w:t>空间开敞与通行服务的正向作用说明，百姓园林的“共享”首先要落实到顺畅通行和舒适停留。公园应重点优化主入口、环线步道、节点广场和慢行连接，减少断头路、绕行和拥堵，提高老人、儿童、推婴儿车者和残障群体的使用便利性。相比之下，可达性与保障服务的负向作用提示，基础服务是百姓园林能否落地的底线。若停车难、厕所少、导向弱、照明不足或无障碍不连续，即使景观质量较好，也难以形成稳定的日常获得感。</w:t>
      </w:r>
    </w:p>
    <w:p w14:paraId="0305ABEC">
      <w:pPr>
        <w:pStyle w:val="34"/>
        <w:bidi w:val="0"/>
        <w:rPr>
          <w:highlight w:val="none"/>
        </w:rPr>
      </w:pPr>
      <w:r>
        <w:rPr>
          <w:rFonts w:ascii="宋体" w:hAnsi="宋体" w:eastAsia="宋体" w:cs="宋体"/>
          <w:sz w:val="24"/>
          <w:szCs w:val="24"/>
          <w:highlight w:val="none"/>
        </w:rPr>
        <w:t>因此，深圳公园更新应将文化认同、空间通行和基础保障视为影响公众日常体验的连续环节，进行统筹优化</w:t>
      </w:r>
      <w:r>
        <w:rPr>
          <w:rStyle w:val="44"/>
          <w:rFonts w:hint="default"/>
          <w:highlight w:val="none"/>
          <w:lang w:val="en-US"/>
        </w:rPr>
        <w:fldChar w:fldCharType="begin"/>
      </w:r>
      <w:r>
        <w:rPr>
          <w:rStyle w:val="44"/>
          <w:highlight w:val="none"/>
        </w:rPr>
        <w:instrText xml:space="preserve"> REF _Ref9293 \r \h  \* MERGEFORMAT</w:instrText>
      </w:r>
      <w:r>
        <w:rPr>
          <w:rStyle w:val="44"/>
          <w:rFonts w:hint="default"/>
          <w:highlight w:val="none"/>
          <w:lang w:val="en-US"/>
        </w:rPr>
        <w:fldChar w:fldCharType="separate"/>
      </w:r>
      <w:r>
        <w:rPr>
          <w:rStyle w:val="44"/>
          <w:rFonts w:hint="default"/>
          <w:highlight w:val="none"/>
          <w:lang w:val="en-US"/>
        </w:rPr>
        <w:t>[35</w:t>
      </w:r>
      <w:r>
        <w:rPr>
          <w:rStyle w:val="44"/>
          <w:rFonts w:hint="eastAsia"/>
          <w:highlight w:val="none"/>
          <w:lang w:val="en-US" w:eastAsia="zh-CN"/>
        </w:rPr>
        <w:t>-</w:t>
      </w:r>
      <w:r>
        <w:rPr>
          <w:rStyle w:val="44"/>
          <w:rFonts w:hint="default"/>
          <w:highlight w:val="none"/>
          <w:lang w:val="en-US"/>
        </w:rPr>
        <w:fldChar w:fldCharType="end"/>
      </w:r>
      <w:r>
        <w:rPr>
          <w:rStyle w:val="44"/>
          <w:rFonts w:hint="default"/>
          <w:highlight w:val="none"/>
          <w:lang w:val="en-US"/>
        </w:rPr>
        <w:fldChar w:fldCharType="begin"/>
      </w:r>
      <w:r>
        <w:rPr>
          <w:rStyle w:val="44"/>
          <w:highlight w:val="none"/>
        </w:rPr>
        <w:instrText xml:space="preserve"> REF _Ref2465 \r \h  \* MERGEFORMAT</w:instrText>
      </w:r>
      <w:r>
        <w:rPr>
          <w:rStyle w:val="44"/>
          <w:rFonts w:hint="default"/>
          <w:highlight w:val="none"/>
          <w:lang w:val="en-US"/>
        </w:rPr>
        <w:fldChar w:fldCharType="separate"/>
      </w:r>
      <w:r>
        <w:rPr>
          <w:rStyle w:val="44"/>
          <w:rFonts w:hint="default"/>
          <w:highlight w:val="none"/>
          <w:lang w:val="en-US"/>
        </w:rPr>
        <w:t>36]</w:t>
      </w:r>
      <w:r>
        <w:rPr>
          <w:rStyle w:val="44"/>
          <w:rFonts w:hint="default"/>
          <w:highlight w:val="none"/>
          <w:lang w:val="en-US"/>
        </w:rPr>
        <w:fldChar w:fldCharType="end"/>
      </w:r>
      <w:r>
        <w:rPr>
          <w:highlight w:val="none"/>
        </w:rPr>
        <w:t>。</w:t>
      </w:r>
    </w:p>
    <w:p w14:paraId="7E3AB7BB">
      <w:pPr>
        <w:pStyle w:val="33"/>
        <w:bidi w:val="0"/>
        <w:rPr>
          <w:rFonts w:hint="default"/>
          <w:highlight w:val="none"/>
        </w:rPr>
      </w:pPr>
      <w:r>
        <w:rPr>
          <w:highlight w:val="none"/>
        </w:rPr>
        <w:t xml:space="preserve">3.3  </w:t>
      </w:r>
      <w:r>
        <w:rPr>
          <w:rFonts w:hint="eastAsia"/>
          <w:highlight w:val="none"/>
          <w:lang w:val="en-US" w:eastAsia="zh-CN"/>
        </w:rPr>
        <w:t>百姓园林的IPA</w:t>
      </w:r>
      <w:r>
        <w:rPr>
          <w:highlight w:val="none"/>
        </w:rPr>
        <w:t>供需错配更新策略</w:t>
      </w:r>
    </w:p>
    <w:p w14:paraId="2C2B4D61">
      <w:pPr>
        <w:pStyle w:val="34"/>
        <w:bidi w:val="0"/>
        <w:rPr>
          <w:highlight w:val="none"/>
        </w:rPr>
      </w:pPr>
      <w:r>
        <w:rPr>
          <w:highlight w:val="none"/>
        </w:rPr>
        <w:t>IPA结果表明，深圳城市公园CES要素并非整体不足，而是呈现不同的供需状态。从“百姓园林”视角看，判断重点不应只是某类服务得分高低，而应看其是否真正回应公众日常生活，能否支撑普惠使用、全龄友好、文化传承和生命在场。</w:t>
      </w:r>
    </w:p>
    <w:p w14:paraId="5C9E9B51">
      <w:pPr>
        <w:pStyle w:val="34"/>
        <w:bidi w:val="0"/>
        <w:rPr>
          <w:highlight w:val="none"/>
        </w:rPr>
      </w:pPr>
      <w:r>
        <w:rPr>
          <w:highlight w:val="none"/>
        </w:rPr>
        <w:t>美学景观、教育体验及精神福祉与社交服务处于高需高供区，说明深圳公园已较好满足公众看景、学习、休闲、亲子和社交等日常活动需求。这类要素对应“百姓园林”中服务日常生活和促进公共交往的基础功能，后续重点不是继续增加景观节点，而是保持植物养护、活动场地安全、科普内容更新、亲子与老人活动空间维护，使高频使用场景保持稳定。</w:t>
      </w:r>
    </w:p>
    <w:p w14:paraId="55645438">
      <w:pPr>
        <w:pStyle w:val="34"/>
        <w:bidi w:val="0"/>
        <w:rPr>
          <w:highlight w:val="none"/>
        </w:rPr>
      </w:pPr>
      <w:r>
        <w:rPr>
          <w:highlight w:val="none"/>
        </w:rPr>
        <w:t>可达性与保障服务处于高需低供区，是最需要优先补齐的短板。停车、如厕、导向、照明、无障碍和安全巡查直接决定公园是否真正“为百姓所用”。如果老人推车不便、儿童夜间活动不安全、外来</w:t>
      </w:r>
      <w:r>
        <w:rPr>
          <w:rFonts w:hint="eastAsia"/>
          <w:highlight w:val="none"/>
          <w:lang w:eastAsia="zh-CN"/>
        </w:rPr>
        <w:t>公众</w:t>
      </w:r>
      <w:r>
        <w:rPr>
          <w:highlight w:val="none"/>
        </w:rPr>
        <w:t>找不到入口、残障群体无法连续通行，即使景观品质较高，也难以体现百姓园林所强调的普惠共享和全龄友好。因此，该类要素应作为近期更新的底线任务。</w:t>
      </w:r>
    </w:p>
    <w:p w14:paraId="06730BDA">
      <w:pPr>
        <w:pStyle w:val="34"/>
        <w:bidi w:val="0"/>
        <w:rPr>
          <w:highlight w:val="none"/>
        </w:rPr>
      </w:pPr>
      <w:r>
        <w:rPr>
          <w:highlight w:val="none"/>
        </w:rPr>
        <w:t>生态健康指标与体验地形服务处于低需高供区，说明深圳公园已有一定生态和地形资源，但公众未必能够识别其价值。百姓园林中的“生命在场”不是单纯保留生态资源，而是让公众在日常游园中看见植物生长、水体修复、生境营造和地形变化。后续可通过自然解说、观鸟观水路径、生态修复展示和地形游线提示，提高生态资源的可感知性。</w:t>
      </w:r>
    </w:p>
    <w:p w14:paraId="07EC5A67">
      <w:pPr>
        <w:pStyle w:val="34"/>
        <w:bidi w:val="0"/>
        <w:rPr>
          <w:highlight w:val="none"/>
        </w:rPr>
      </w:pPr>
      <w:r>
        <w:t>文化遗产、沉浸体验、环境与游憩适宜度及空间开敞与通行服务</w:t>
      </w:r>
      <w:commentRangeStart w:id="26"/>
      <w:r>
        <w:rPr>
          <w:highlight w:val="yellow"/>
        </w:rPr>
        <w:t>处于低需低供区</w:t>
      </w:r>
      <w:commentRangeEnd w:id="26"/>
      <w:r>
        <w:rPr>
          <w:rStyle w:val="CommentReference"/>
        </w:rPr>
        <w:commentReference w:id="26"/>
      </w:r>
      <w:r>
        <w:t>，短期内不是最紧迫短板，但关系到公园长期品质。可结合重点节点更新，逐步补充深圳城市记忆、岭南园林元素、遮荫休憩和安静停留空间。总体而言，IPA结果可转化为百姓园林的更新顺序：先补齐普惠使用底线，再维护日常活动优势，同时提升生态感知和文化识别[37-38]。</w:t>
      </w:r>
    </w:p>
    <w:p w14:paraId="5D72614C">
      <w:pPr>
        <w:pStyle w:val="33"/>
        <w:bidi w:val="0"/>
        <w:rPr>
          <w:rFonts w:hint="default"/>
          <w:highlight w:val="none"/>
        </w:rPr>
      </w:pPr>
      <w:r>
        <w:rPr>
          <w:rFonts w:hint="eastAsia"/>
          <w:highlight w:val="none"/>
          <w:lang w:val="en-US" w:eastAsia="zh-CN"/>
        </w:rPr>
        <w:t xml:space="preserve">3.4 </w:t>
      </w:r>
      <w:r>
        <w:rPr>
          <w:highlight w:val="none"/>
        </w:rPr>
        <w:t xml:space="preserve"> 总结</w:t>
      </w:r>
    </w:p>
    <w:p w14:paraId="3F39D4D7">
      <w:pPr>
        <w:pStyle w:val="34"/>
        <w:bidi w:val="0"/>
        <w:rPr>
          <w:highlight w:val="none"/>
        </w:rPr>
      </w:pPr>
      <w:r>
        <w:rPr>
          <w:highlight w:val="none"/>
        </w:rPr>
        <w:t>研究基于9624条</w:t>
      </w:r>
      <w:r>
        <w:rPr>
          <w:rFonts w:hint="eastAsia"/>
          <w:highlight w:val="none"/>
          <w:lang w:eastAsia="zh-CN"/>
        </w:rPr>
        <w:t>网络评论数据</w:t>
      </w:r>
      <w:r>
        <w:rPr>
          <w:highlight w:val="none"/>
        </w:rPr>
        <w:t>，构建“感知频率—感知倾向”双指标框架，对深圳52座城市公园CES的供需特征进行了诊断。结果表明：美学景观、教育体验</w:t>
      </w:r>
      <w:r>
        <w:rPr>
          <w:rFonts w:hint="eastAsia"/>
          <w:highlight w:val="none"/>
          <w:lang w:val="en-US" w:eastAsia="zh-CN"/>
        </w:rPr>
        <w:t>、</w:t>
      </w:r>
      <w:r>
        <w:rPr>
          <w:highlight w:val="none"/>
        </w:rPr>
        <w:t>精神福祉与社交服务构成高需高供的核心优势区，是当前支撑城市公园正向体验的主要内容；可达性与保障服务是最突出的高需低供短板，对总体感知倾向具有显著负向影响；文化遗产服务与</w:t>
      </w:r>
      <w:r>
        <w:rPr>
          <w:rFonts w:hint="eastAsia"/>
          <w:highlight w:val="none"/>
          <w:lang w:eastAsia="zh-CN"/>
        </w:rPr>
        <w:t>空间开敞与通行服务</w:t>
      </w:r>
      <w:r>
        <w:rPr>
          <w:highlight w:val="none"/>
        </w:rPr>
        <w:t>则是提升整体体验质量的关键增益要素。不同类型公园在服务稳定性、热点承载和游览连续性上存在明显差异，说明深圳城市公园更新已由普遍补量转向分类治理与要素精细化提升。</w:t>
      </w:r>
    </w:p>
    <w:p w14:paraId="094E08AE">
      <w:pPr>
        <w:pStyle w:val="34"/>
        <w:bidi w:val="0"/>
        <w:rPr>
          <w:rFonts w:hint="default"/>
          <w:highlight w:val="none"/>
          <w:lang w:val="en-US" w:eastAsia="zh-CN"/>
        </w:rPr>
      </w:pPr>
      <w:r>
        <w:rPr>
          <w:highlight w:val="none"/>
        </w:rPr>
        <w:t>上述结果表明，</w:t>
      </w:r>
      <w:r>
        <w:rPr>
          <w:rFonts w:hint="eastAsia"/>
          <w:highlight w:val="none"/>
          <w:lang w:eastAsia="zh-CN"/>
        </w:rPr>
        <w:t>“</w:t>
      </w:r>
      <w:r>
        <w:rPr>
          <w:highlight w:val="none"/>
        </w:rPr>
        <w:t>百姓园林</w:t>
      </w:r>
      <w:r>
        <w:rPr>
          <w:rFonts w:hint="eastAsia"/>
          <w:highlight w:val="none"/>
          <w:lang w:eastAsia="zh-CN"/>
        </w:rPr>
        <w:t>”</w:t>
      </w:r>
      <w:r>
        <w:rPr>
          <w:highlight w:val="none"/>
        </w:rPr>
        <w:t>为</w:t>
      </w:r>
      <w:r>
        <w:rPr>
          <w:rFonts w:hint="eastAsia"/>
          <w:highlight w:val="none"/>
          <w:lang w:val="en-US" w:eastAsia="zh-CN"/>
        </w:rPr>
        <w:t>深圳</w:t>
      </w:r>
      <w:r>
        <w:rPr>
          <w:highlight w:val="none"/>
        </w:rPr>
        <w:t>城市公园更新提供价值导向，CES为</w:t>
      </w:r>
      <w:r>
        <w:rPr>
          <w:rFonts w:hint="eastAsia"/>
          <w:highlight w:val="none"/>
          <w:lang w:eastAsia="zh-CN"/>
        </w:rPr>
        <w:t>公众</w:t>
      </w:r>
      <w:r>
        <w:rPr>
          <w:highlight w:val="none"/>
        </w:rPr>
        <w:t>非物质收益提供服务分类与评价内容框架，</w:t>
      </w:r>
      <w:r>
        <w:rPr>
          <w:rFonts w:hint="eastAsia"/>
          <w:highlight w:val="none"/>
          <w:lang w:eastAsia="zh-CN"/>
        </w:rPr>
        <w:t>公众</w:t>
      </w:r>
      <w:r>
        <w:rPr>
          <w:highlight w:val="none"/>
        </w:rPr>
        <w:t>感知频率和感知倾向则分别作为需求侧与供给侧的操作化测度指标</w:t>
      </w:r>
      <w:r>
        <w:rPr>
          <w:rFonts w:hint="eastAsia"/>
          <w:highlight w:val="none"/>
          <w:lang w:eastAsia="zh-CN"/>
        </w:rPr>
        <w:t>，</w:t>
      </w:r>
      <w:r>
        <w:rPr>
          <w:highlight w:val="none"/>
        </w:rPr>
        <w:t>三者共同构成“价值导向—服务框架—供需测度”的研究逻辑。围绕文化体验、共享使用和日常生活感知展开实证分析，旨在把基础保障不足、文化识别偏弱和空间组织不畅等现实问题，转化为可识别、可比较的感知供需问题。由此，本文并非对</w:t>
      </w:r>
      <w:r>
        <w:rPr>
          <w:rFonts w:hint="eastAsia"/>
          <w:highlight w:val="none"/>
          <w:lang w:eastAsia="zh-CN"/>
        </w:rPr>
        <w:t>“百姓园林”</w:t>
      </w:r>
      <w:r>
        <w:rPr>
          <w:highlight w:val="none"/>
        </w:rPr>
        <w:t>整体价值作全面评价，而是提出一种面向城市公园文化体验、共享使用与日常生活维度的操作化识别路径。研究认为，深圳城市公园后续更新应在补齐停车、如厕、导向、照明和无障碍等基础保障短板的基础上，强化文化表达与空间组织协同，以回应</w:t>
      </w:r>
      <w:r>
        <w:rPr>
          <w:rFonts w:hint="eastAsia"/>
          <w:highlight w:val="none"/>
          <w:lang w:eastAsia="zh-CN"/>
        </w:rPr>
        <w:t>“百姓园林”</w:t>
      </w:r>
      <w:r>
        <w:rPr>
          <w:highlight w:val="none"/>
        </w:rPr>
        <w:t>导向下普惠共享、文化传承和民生服务的现实要求。</w:t>
      </w:r>
    </w:p>
    <w:p w14:paraId="04B36AF7">
      <w:pPr>
        <w:pStyle w:val="40"/>
        <w:bidi w:val="0"/>
        <w:rPr>
          <w:rFonts w:hint="default"/>
          <w:highlight w:val="none"/>
          <w:lang w:val="en-US" w:eastAsia="zh-CN"/>
        </w:rPr>
      </w:pPr>
      <w:r>
        <w:rPr>
          <w:rFonts w:hint="eastAsia"/>
          <w:highlight w:val="none"/>
          <w:lang w:val="en-US" w:eastAsia="zh-CN"/>
        </w:rPr>
        <w:t>4</w:t>
      </w:r>
      <w:r>
        <w:rPr>
          <w:highlight w:val="none"/>
        </w:rPr>
        <w:t xml:space="preserve">  </w:t>
      </w:r>
      <w:r>
        <w:rPr>
          <w:rFonts w:hint="eastAsia"/>
          <w:highlight w:val="none"/>
          <w:lang w:val="en-US" w:eastAsia="zh-CN"/>
        </w:rPr>
        <w:t>局限与展望</w:t>
      </w:r>
    </w:p>
    <w:p w14:paraId="2FCC8961">
      <w:pPr>
        <w:pStyle w:val="34"/>
        <w:bidi w:val="0"/>
        <w:rPr>
          <w:highlight w:val="none"/>
        </w:rPr>
      </w:pPr>
      <w:r>
        <w:rPr>
          <w:highlight w:val="none"/>
        </w:rPr>
        <w:t>本文仍存在一定局限。首先，百姓园林强调园林服务人民日常生活，并重视普惠共享和公众参与，但本文数据主要来自大众点评和携程评论，属于使用后的网络表达，只能反映部分主动</w:t>
      </w:r>
      <w:r>
        <w:rPr>
          <w:rFonts w:hint="eastAsia"/>
          <w:highlight w:val="none"/>
          <w:lang w:val="en-US" w:eastAsia="zh-CN"/>
        </w:rPr>
        <w:t>评论</w:t>
      </w:r>
      <w:r>
        <w:rPr>
          <w:rFonts w:hint="eastAsia"/>
          <w:highlight w:val="none"/>
          <w:lang w:eastAsia="zh-CN"/>
        </w:rPr>
        <w:t>公众</w:t>
      </w:r>
      <w:r>
        <w:rPr>
          <w:highlight w:val="none"/>
        </w:rPr>
        <w:t>的体验感受，不能等同于全过程公众参与。平台评论更容易呈现年轻群体和体验强烈者的声音，而老人、儿童、残障群体、周边高频使用者等日常使用人群的需求可能表达不足。因此，本文所得供需关系主要是网络文本中的感知结果，尚不能完全代表百姓园林所要求的全体公众、全龄群体和日常生活场景。</w:t>
      </w:r>
    </w:p>
    <w:p w14:paraId="64F4AFCA">
      <w:pPr>
        <w:pStyle w:val="34"/>
        <w:bidi w:val="0"/>
        <w:rPr>
          <w:highlight w:val="none"/>
        </w:rPr>
      </w:pPr>
      <w:r>
        <w:rPr>
          <w:highlight w:val="none"/>
        </w:rPr>
        <w:t>其次，本文以感知频率表征需求侧、以感知倾向表征供给侧，有助于识别公众关注和评价反馈，但仍属于代理测度。百姓园林关注的是公园是否真正“好到达、好停留、好使用、好参与”，而网络评论只能间接反映这些问题。例如，可达性与保障服务的负向作用，可能来自停车不足、厕所位置不合理、导向不清、夜间照明不足、无障碍不连续或高峰巡查不到位，具体成因仍需通过现场核查、行为观察和问卷访谈进一步验证。</w:t>
      </w:r>
    </w:p>
    <w:p w14:paraId="3E03EB10">
      <w:pPr>
        <w:pStyle w:val="34"/>
        <w:bidi w:val="0"/>
        <w:rPr>
          <w:highlight w:val="none"/>
        </w:rPr>
      </w:pPr>
      <w:r>
        <w:rPr>
          <w:highlight w:val="none"/>
        </w:rPr>
        <w:t>未来研究应进一步把网络评论中的“公众表达”转化为百姓园林所要求的“公众参与”证据。一是结合问卷、访谈、社区议事、设施普查和现场观察，补充不同年龄、能力和使用频率人群的真实需求；二是重点检验基础保障、无障碍、遮荫休憩、文化解说和生态感知等要素是否支撑公众日常使用；三是跟踪公园更新前后的反馈变化，判断补齐停车、如厕、导向、照明、文化表达和自然解说后，是否真正提升了公众的可达性、停留舒适度、文化认同和生态获得感。这样才能进一步完善百姓园林导向下的CES供需评价路径。</w:t>
      </w:r>
    </w:p>
    <w:p w14:paraId="64DD12B9">
      <w:pPr>
        <w:snapToGrid w:val="0"/>
        <w:ind w:firstLine="0" w:firstLineChars="0"/>
        <w:outlineLvl w:val="0"/>
        <w:rPr>
          <w:rFonts w:ascii="Times New Roman" w:hAnsi="Times New Roman" w:eastAsia="宋体" w:cs="Times New Roman"/>
          <w:b/>
          <w:color w:val="000000" w:themeColor="text1"/>
          <w:szCs w:val="21"/>
          <w:highlight w:val="none"/>
          <w14:textFill>
            <w14:solidFill>
              <w14:schemeClr w14:val="tx1"/>
            </w14:solidFill>
          </w14:textFill>
        </w:rPr>
      </w:pPr>
      <w:r>
        <w:rPr>
          <w:rFonts w:ascii="Times New Roman" w:hAnsi="Times New Roman" w:eastAsia="宋体" w:cs="Times New Roman"/>
          <w:b/>
          <w:color w:val="000000" w:themeColor="text1"/>
          <w:szCs w:val="21"/>
          <w:highlight w:val="none"/>
          <w14:textFill>
            <w14:solidFill>
              <w14:schemeClr w14:val="tx1"/>
            </w14:solidFill>
          </w14:textFill>
        </w:rPr>
        <w:t>参考文献</w:t>
      </w:r>
    </w:p>
    <w:p w14:paraId="68C3932F">
      <w:pPr>
        <w:numPr>
          <w:ilvl w:val="0"/>
          <w:numId w:val="1"/>
        </w:numPr>
        <w:wordWrap w:val="0"/>
        <w:overflowPunct w:val="0"/>
        <w:ind w:left="0" w:leftChars="0" w:firstLine="0" w:firstLineChars="0"/>
        <w:rPr>
          <w:rFonts w:hint="default" w:ascii="Times New Roman" w:hAnsi="Times New Roman" w:eastAsia="宋体" w:cs="Times New Roman"/>
          <w:sz w:val="21"/>
          <w:szCs w:val="21"/>
          <w:highlight w:val="none"/>
          <w:lang w:eastAsia="zh-CN"/>
        </w:rPr>
      </w:pPr>
      <w:bookmarkStart w:id="0" w:name="_Ref8020"/>
      <w:r>
        <w:rPr>
          <w:rFonts w:hint="default" w:ascii="Times New Roman" w:hAnsi="Times New Roman" w:eastAsia="宋体" w:cs="Times New Roman"/>
          <w:sz w:val="21"/>
          <w:szCs w:val="21"/>
          <w:highlight w:val="none"/>
          <w:lang w:eastAsia="zh-CN"/>
        </w:rPr>
        <w:t>习近平.中共中央关于制定国民经济和社会发展第十四个五年规划和二〇三五年远景目标的建议[N]. 人民日报, 2020-11-04(01).</w:t>
      </w:r>
      <w:bookmarkEnd w:id="0"/>
    </w:p>
    <w:p w14:paraId="7A7A12F2">
      <w:pPr>
        <w:wordWrap w:val="0"/>
        <w:overflowPunct w:val="0"/>
        <w:ind w:left="0" w:leftChars="0" w:firstLine="0" w:firstLineChars="0"/>
        <w:rPr>
          <w:rFonts w:hint="default" w:ascii="Times New Roman" w:hAnsi="Times New Roman" w:eastAsia="宋体" w:cs="Times New Roman"/>
          <w:sz w:val="21"/>
          <w:szCs w:val="21"/>
          <w:highlight w:val="none"/>
          <w:lang w:eastAsia="zh-CN"/>
        </w:rPr>
      </w:pPr>
      <w:r>
        <w:rPr>
          <w:rFonts w:hint="default" w:ascii="Times New Roman" w:hAnsi="Times New Roman" w:eastAsia="宋体" w:cs="Times New Roman"/>
          <w:sz w:val="21"/>
          <w:szCs w:val="21"/>
          <w:highlight w:val="none"/>
          <w:lang w:eastAsia="zh-CN"/>
        </w:rPr>
        <w:t>XI Jinping. Proposal of the Central Committee of the Communist Party of China on Formulating the 14th Five-Year Plan for National Economic and Social Development and the Long-Range Objectives Through the Year 2035[N]. People’s Daily, 2020-11-04(01).</w:t>
      </w:r>
    </w:p>
    <w:p w14:paraId="6B01A4C5">
      <w:pPr>
        <w:numPr>
          <w:ilvl w:val="0"/>
          <w:numId w:val="1"/>
        </w:numPr>
        <w:wordWrap w:val="0"/>
        <w:overflowPunct w:val="0"/>
        <w:ind w:left="0" w:leftChars="0" w:firstLine="0" w:firstLineChars="0"/>
        <w:rPr>
          <w:rFonts w:hint="default" w:ascii="Times New Roman" w:hAnsi="Times New Roman" w:eastAsia="宋体" w:cs="Times New Roman"/>
          <w:sz w:val="21"/>
          <w:szCs w:val="21"/>
          <w:highlight w:val="none"/>
          <w:lang w:eastAsia="zh-CN"/>
        </w:rPr>
      </w:pPr>
      <w:bookmarkStart w:id="1" w:name="_Ref29364"/>
      <w:r>
        <w:rPr>
          <w:rFonts w:hint="default" w:ascii="Times New Roman" w:hAnsi="Times New Roman" w:eastAsia="宋体" w:cs="Times New Roman"/>
          <w:sz w:val="21"/>
          <w:szCs w:val="21"/>
          <w:highlight w:val="none"/>
          <w:lang w:eastAsia="zh-CN"/>
        </w:rPr>
        <w:t>黎家佑.城市现代化治理的新时代路径[N] .中国社会科学报, 2020-06-02(08).</w:t>
      </w:r>
      <w:bookmarkEnd w:id="1"/>
    </w:p>
    <w:p w14:paraId="0BC7CA3D">
      <w:pPr>
        <w:wordWrap w:val="0"/>
        <w:overflowPunct w:val="0"/>
        <w:ind w:left="0" w:leftChars="0" w:firstLine="0" w:firstLineChars="0"/>
        <w:rPr>
          <w:rFonts w:hint="default" w:ascii="Times New Roman" w:hAnsi="Times New Roman" w:eastAsia="宋体" w:cs="Times New Roman"/>
          <w:sz w:val="21"/>
          <w:szCs w:val="21"/>
          <w:highlight w:val="none"/>
          <w:lang w:eastAsia="zh-CN"/>
        </w:rPr>
      </w:pPr>
      <w:r>
        <w:rPr>
          <w:rFonts w:hint="default" w:ascii="Times New Roman" w:hAnsi="Times New Roman" w:eastAsia="宋体" w:cs="Times New Roman"/>
          <w:sz w:val="21"/>
          <w:szCs w:val="21"/>
          <w:highlight w:val="none"/>
          <w:lang w:eastAsia="zh-CN"/>
        </w:rPr>
        <w:t>LI Jia-you. New-Era Pathways for Urban Modernization Governance[N]. Chinese Social Sciences Today, 2020-06-02(08).</w:t>
      </w:r>
    </w:p>
    <w:p w14:paraId="4C1D3321">
      <w:pPr>
        <w:numPr>
          <w:ilvl w:val="0"/>
          <w:numId w:val="1"/>
        </w:numPr>
        <w:wordWrap w:val="0"/>
        <w:overflowPunct w:val="0"/>
        <w:ind w:left="0" w:leftChars="0" w:firstLine="0" w:firstLineChars="0"/>
        <w:rPr>
          <w:rFonts w:hint="default" w:ascii="Times New Roman" w:hAnsi="Times New Roman" w:eastAsia="宋体" w:cs="Times New Roman"/>
          <w:sz w:val="21"/>
          <w:szCs w:val="21"/>
          <w:highlight w:val="none"/>
          <w:lang w:eastAsia="zh-CN"/>
        </w:rPr>
      </w:pPr>
      <w:bookmarkStart w:id="2" w:name="_Ref8036"/>
      <w:bookmarkStart w:id="3" w:name="_Ref19756"/>
      <w:bookmarkStart w:id="4" w:name="_Ref29373"/>
      <w:r>
        <w:rPr>
          <w:rFonts w:hint="default" w:ascii="Times New Roman" w:hAnsi="Times New Roman" w:eastAsia="宋体" w:cs="Times New Roman"/>
          <w:sz w:val="21"/>
          <w:szCs w:val="21"/>
          <w:highlight w:val="none"/>
          <w:lang w:eastAsia="zh-CN"/>
        </w:rPr>
        <w:t>TAMOSIUNAS A, GRAZULEVICIENE R, LUKSIENE D, et al. Accessibility and use of urban green spaces, and cardiovascular health: findings from a Kaunas cohort study[J]. Environmental Health, 2014, 13(1): 20. DOI:10.1186/1476-069X-13-20.</w:t>
      </w:r>
      <w:bookmarkEnd w:id="2"/>
    </w:p>
    <w:bookmarkEnd w:id="3"/>
    <w:bookmarkEnd w:id="4"/>
    <w:p w14:paraId="2EF9042C">
      <w:pPr>
        <w:numPr>
          <w:ilvl w:val="0"/>
          <w:numId w:val="1"/>
        </w:numPr>
        <w:wordWrap w:val="0"/>
        <w:overflowPunct w:val="0"/>
        <w:ind w:left="0" w:leftChars="0" w:firstLine="0" w:firstLineChars="0"/>
        <w:rPr>
          <w:rFonts w:hint="default" w:ascii="Times New Roman" w:hAnsi="Times New Roman" w:eastAsia="宋体" w:cs="Times New Roman"/>
          <w:sz w:val="21"/>
          <w:szCs w:val="21"/>
          <w:highlight w:val="none"/>
          <w:lang w:eastAsia="zh-CN"/>
        </w:rPr>
      </w:pPr>
      <w:commentRangeStart w:id="21"/>
      <w:r>
        <w:rPr>
          <w:highlight w:val="yellow"/>
        </w:rPr>
        <w:t>李如生, 王辉</w:t>
      </w:r>
      <w:commentRangeEnd w:id="21"/>
      <w:r>
        <w:rPr>
          <w:rStyle w:val="CommentReference"/>
        </w:rPr>
        <w:commentReference w:id="21"/>
      </w:r>
      <w:r>
        <w:t>. 人民城市背景下的百姓园林理念与实践 [J]. 中国园林, 2026, 42 (3): 6-11. DOI:10.19775/j.cla.2026.03.0006.</w:t>
      </w:r>
    </w:p>
    <w:p w14:paraId="1C502754">
      <w:pPr>
        <w:wordWrap w:val="0"/>
        <w:overflowPunct w:val="0"/>
        <w:ind w:leftChars="0"/>
        <w:rPr>
          <w:rFonts w:hint="default" w:ascii="Times New Roman" w:hAnsi="Times New Roman" w:eastAsia="宋体" w:cs="Times New Roman"/>
          <w:sz w:val="21"/>
          <w:szCs w:val="21"/>
          <w:highlight w:val="none"/>
          <w:lang w:eastAsia="zh-CN"/>
        </w:rPr>
      </w:pPr>
      <w:commentRangeStart w:id="28"/>
      <w:r>
        <w:rPr>
          <w:rFonts w:hint="default" w:ascii="Times New Roman" w:hAnsi="Times New Roman" w:eastAsia="宋体" w:cs="Times New Roman"/>
          <w:sz w:val="21"/>
          <w:szCs w:val="21"/>
          <w:highlight w:val="yellow"/>
          <w:lang w:eastAsia="zh-CN"/>
        </w:rPr>
        <w:t>LI R S, WANG H. Concept and Practice of People’s Garden under the Background of People’s City</w:t>
      </w:r>
      <w:commentRangeEnd w:id="28"/>
      <w:r>
        <w:rPr>
          <w:rStyle w:val="CommentReference"/>
        </w:rPr>
        <w:commentReference w:id="28"/>
      </w:r>
      <w:r>
        <w:rPr>
          <w:rFonts w:hint="default" w:ascii="Times New Roman" w:hAnsi="Times New Roman" w:eastAsia="宋体" w:cs="Times New Roman"/>
          <w:sz w:val="21"/>
          <w:szCs w:val="21"/>
          <w:highlight w:val="none"/>
          <w:lang w:eastAsia="zh-CN"/>
        </w:rPr>
        <w:t>[J]. Chinese Landscape Architecture, 2026, 42(3): 6-11. DOI:10.19775/j.cla.2026.03.0006</w:t>
      </w:r>
      <w:r>
        <w:rPr>
          <w:rFonts w:hint="default" w:ascii="Times New Roman" w:hAnsi="Times New Roman" w:eastAsia="宋体" w:cs="Times New Roman"/>
          <w:sz w:val="21"/>
          <w:szCs w:val="21"/>
          <w:highlight w:val="none"/>
          <w:lang w:eastAsia="zh-CN"/>
        </w:rPr>
        <w:t>.</w:t>
      </w:r>
    </w:p>
    <w:p w14:paraId="07C5DEE7">
      <w:pPr>
        <w:numPr>
          <w:ilvl w:val="0"/>
          <w:numId w:val="1"/>
        </w:numPr>
        <w:wordWrap w:val="0"/>
        <w:overflowPunct w:val="0"/>
        <w:ind w:left="0" w:leftChars="0" w:firstLine="0" w:firstLineChars="0"/>
        <w:rPr>
          <w:rFonts w:hint="default" w:ascii="Times New Roman" w:hAnsi="Times New Roman" w:eastAsia="宋体" w:cs="Times New Roman"/>
          <w:sz w:val="21"/>
          <w:szCs w:val="21"/>
          <w:highlight w:val="none"/>
          <w:lang w:eastAsia="zh-CN"/>
        </w:rPr>
      </w:pPr>
      <w:bookmarkStart w:id="8" w:name="_Ref8046"/>
      <w:r>
        <w:rPr>
          <w:rFonts w:hint="default" w:ascii="Times New Roman" w:hAnsi="Times New Roman" w:eastAsia="宋体" w:cs="Times New Roman"/>
          <w:sz w:val="21"/>
          <w:szCs w:val="21"/>
          <w:highlight w:val="none"/>
          <w:lang w:eastAsia="zh-CN"/>
        </w:rPr>
        <w:t>刘悦来,姚菁怡,步若凡,等. 百姓园林当代实践与路径探索[J].中国园林,2026,42 (3):12-20.DOI:10.19775/j.cla.2026.03.0012.</w:t>
      </w:r>
    </w:p>
    <w:bookmarkEnd w:id="6"/>
    <w:bookmarkEnd w:id="8"/>
    <w:p w14:paraId="108F482D">
      <w:pPr>
        <w:keepNext w:val="0"/>
        <w:keepLines w:val="0"/>
        <w:pageBreakBefore w:val="0"/>
        <w:widowControl w:val="0"/>
        <w:kinsoku/>
        <w:wordWrap w:val="0"/>
        <w:overflowPunct/>
        <w:topLinePunct w:val="0"/>
        <w:autoSpaceDE/>
        <w:autoSpaceDN/>
        <w:bidi w:val="0"/>
        <w:adjustRightInd/>
        <w:snapToGrid/>
        <w:spacing w:line="300" w:lineRule="auto"/>
        <w:ind w:left="0" w:leftChars="0" w:firstLine="0" w:firstLineChars="0"/>
        <w:textAlignment w:val="auto"/>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sz w:val="21"/>
          <w:szCs w:val="21"/>
          <w:highlight w:val="none"/>
          <w:lang w:eastAsia="zh-CN"/>
        </w:rPr>
        <w:t xml:space="preserve">LIU Y L, YAO J Y, BU R F, et al. Contemporary Practice and Path Exploration of People’s </w:t>
      </w:r>
      <w:r>
        <w:rPr>
          <w:rFonts w:hint="default" w:ascii="Times New Roman" w:hAnsi="Times New Roman" w:eastAsia="宋体" w:cs="Times New Roman"/>
          <w:color w:val="auto"/>
          <w:sz w:val="21"/>
          <w:szCs w:val="21"/>
          <w:highlight w:val="none"/>
          <w:lang w:eastAsia="zh-CN"/>
        </w:rPr>
        <w:t>Garden[J]. Chinese Landscape Architecture, 2026, 42(3): 12-20. DOI:10.19775/j.cla.2026.03.0012.</w:t>
      </w:r>
    </w:p>
    <w:p w14:paraId="13391169">
      <w:pPr>
        <w:numPr>
          <w:ilvl w:val="0"/>
          <w:numId w:val="1"/>
        </w:numPr>
        <w:wordWrap w:val="0"/>
        <w:overflowPunct w:val="0"/>
        <w:ind w:left="0" w:leftChars="0" w:firstLine="0" w:firstLineChars="0"/>
        <w:rPr>
          <w:rFonts w:hint="default" w:ascii="Times New Roman" w:hAnsi="Times New Roman" w:eastAsia="宋体" w:cs="Times New Roman"/>
          <w:sz w:val="21"/>
          <w:szCs w:val="21"/>
          <w:highlight w:val="none"/>
          <w:lang w:eastAsia="zh-CN"/>
        </w:rPr>
      </w:pPr>
      <w:bookmarkStart w:id="9" w:name="_Ref32181"/>
      <w:r>
        <w:rPr>
          <w:rFonts w:hint="eastAsia" w:ascii="Times New Roman" w:hAnsi="Times New Roman" w:eastAsia="宋体" w:cs="Times New Roman"/>
          <w:sz w:val="21"/>
          <w:szCs w:val="21"/>
          <w:highlight w:val="none"/>
          <w:lang w:val="en-US" w:eastAsia="zh-CN"/>
        </w:rPr>
        <w:t>M</w:t>
      </w:r>
      <w:r>
        <w:rPr>
          <w:rFonts w:hint="eastAsia" w:ascii="Times New Roman" w:hAnsi="Times New Roman" w:eastAsia="宋体" w:cs="Times New Roman"/>
          <w:sz w:val="21"/>
          <w:szCs w:val="21"/>
          <w:highlight w:val="none"/>
          <w:lang w:eastAsia="zh-CN"/>
        </w:rPr>
        <w:t>illennium Ecosystem Assessment. Ecosystems and Human Well-being: Synthesis[M]. Washington, DC: Island Press, 2005</w:t>
      </w:r>
      <w:r>
        <w:rPr>
          <w:rFonts w:hint="eastAsia" w:ascii="Times New Roman" w:hAnsi="Times New Roman" w:eastAsia="宋体" w:cs="Times New Roman"/>
          <w:color w:val="auto"/>
          <w:sz w:val="21"/>
          <w:szCs w:val="21"/>
          <w:highlight w:val="none"/>
          <w:lang w:val="en-US" w:eastAsia="zh-CN"/>
        </w:rPr>
        <w:t>.</w:t>
      </w:r>
    </w:p>
    <w:p w14:paraId="2A7FDE33">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commentRangeStart w:id="1"/>
      <w:r>
        <w:rPr>
          <w:highlight w:val="yellow"/>
        </w:rPr>
        <w:t xml:space="preserve">吴猛,李虎,卢玫珺. 基于网络文本的水利风景区生态系统文化服务感知研究 [J]. 水电能源科学, 2025, 43 (09): 52-55+109. DOI:10.20040/j.cnki.1000-7709.2025.20241918. </w:t>
      </w:r>
      <w:commentRangeEnd w:id="1"/>
      <w:r>
        <w:rPr>
          <w:rStyle w:val="CommentReference"/>
        </w:rPr>
        <w:commentReference w:id="1"/>
      </w:r>
    </w:p>
    <w:p w14:paraId="7C8E4662">
      <w:pPr>
        <w:spacing w:line="300" w:lineRule="auto"/>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WU Meng, LI Hu, LU Mei-jun. Perceptions of Cultural Ecosystem Services in Water Conservancy Scenic Areas Based on Online Texts[J]. Water Resources and Power, 2025, 43(09): 52-55+109. DOI:10.20040/j.cnki.1000-7709.2025.20241918.</w:t>
      </w:r>
      <w:r>
        <w:rPr>
          <w:rFonts w:hint="eastAsia" w:ascii="Times New Roman" w:hAnsi="Times New Roman" w:eastAsia="宋体" w:cs="Times New Roman"/>
          <w:color w:val="auto"/>
          <w:highlight w:val="none"/>
        </w:rPr>
        <w:t>（该英文标题由作者自行翻译）</w:t>
      </w:r>
    </w:p>
    <w:p w14:paraId="482D8F2C">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11" w:name="_Ref4389"/>
      <w:r>
        <w:rPr>
          <w:rFonts w:hint="default" w:ascii="Times New Roman" w:hAnsi="Times New Roman" w:eastAsia="宋体" w:cs="Times New Roman"/>
          <w:color w:val="auto"/>
          <w:sz w:val="21"/>
          <w:szCs w:val="21"/>
          <w:highlight w:val="none"/>
          <w:lang w:eastAsia="zh-CN"/>
        </w:rPr>
        <w:t>钟姝,李方正,刘志成. 北京市中心城区社区公园生态系统文化服务评价与优化策略 [J]. 北京林业大学学报, 2024, 46 (12): 126-137.</w:t>
      </w:r>
      <w:bookmarkEnd w:id="11"/>
    </w:p>
    <w:p w14:paraId="7EDE66D1">
      <w:p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ZHONG Shu, LI Fangzheng, LIU Zhicheng. Evaluation and Optimization Strategies of Cultural Ecosystem Services in Community Parks in Central Urban Area of Beijing[J]. Journal of Beijing Forestry University, 2024, 46(12): 126-137.</w:t>
      </w:r>
    </w:p>
    <w:p w14:paraId="517C639D">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commentRangeStart w:id="2"/>
      <w:r>
        <w:rPr>
          <w:highlight w:val="yellow"/>
        </w:rPr>
        <w:t xml:space="preserve">王志芳,赵稼楠,彭瑶瑶,等. 广州市公园对比评价研究——基于社交媒体数据的文本分析 [J]. 风景园林, 2019, 26 (08): 89-94. DOI:10.14085/j.fjyl.2019.08.0089.06. </w:t>
      </w:r>
      <w:commentRangeEnd w:id="2"/>
      <w:r>
        <w:rPr>
          <w:rStyle w:val="CommentReference"/>
        </w:rPr>
        <w:commentReference w:id="2"/>
      </w:r>
    </w:p>
    <w:p w14:paraId="69647587">
      <w:p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WANG Zhi-fang, ZHAO Jia-nan, PENG Yao-yao, et al. Comparative Evaluation of Guangzhou City Parks: Text Analysis Based on Social Media Data[J]. Landscape Architecture, 2019, 26(08):89-94. DOI:10.14085/j.fjyl.2019.08.0089.06.</w:t>
      </w:r>
    </w:p>
    <w:bookmarkEnd w:id="9"/>
    <w:bookmarkEnd w:id="13"/>
    <w:p w14:paraId="7973BDAF">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14" w:name="_Ref8252"/>
      <w:bookmarkStart w:id="15" w:name="_Ref6231"/>
      <w:bookmarkStart w:id="16" w:name="_Ref15103"/>
      <w:r>
        <w:rPr>
          <w:rFonts w:hint="default" w:ascii="Times New Roman" w:hAnsi="Times New Roman" w:eastAsia="宋体" w:cs="Times New Roman"/>
          <w:color w:val="auto"/>
          <w:sz w:val="21"/>
          <w:szCs w:val="21"/>
          <w:highlight w:val="none"/>
          <w:lang w:eastAsia="zh-CN"/>
        </w:rPr>
        <w:t>杨丽娟,陈怡婧,吴秋宏.基于文本情感分析的山地城市公园感知质量评价——以重庆市渝中区为例[J].林业调查规划,2024,49(06):188-195.</w:t>
      </w:r>
      <w:bookmarkEnd w:id="14"/>
    </w:p>
    <w:p w14:paraId="2B42C662">
      <w:p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YANG Li-juan, CHEN Yi-jing, WU Qiu-hong. Perceived Quality Evaluation of Mountain City Parks Based on Text Sentiment Analysis: A Case Study of Yuzhong District, Chongqing[J]. Forestry Inventory and Planning, 2024, 49(06): 188-195.</w:t>
      </w:r>
      <w:r>
        <w:rPr>
          <w:rFonts w:hint="eastAsia" w:ascii="Times New Roman" w:hAnsi="Times New Roman" w:eastAsia="宋体" w:cs="Times New Roman"/>
          <w:color w:val="auto"/>
          <w:highlight w:val="none"/>
        </w:rPr>
        <w:t>（该英文标题由作者自行翻译）</w:t>
      </w:r>
    </w:p>
    <w:p w14:paraId="4DB9CFC9">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17" w:name="_Ref8258"/>
      <w:r>
        <w:rPr>
          <w:rFonts w:hint="default" w:ascii="Times New Roman" w:hAnsi="Times New Roman" w:eastAsia="宋体" w:cs="Times New Roman"/>
          <w:color w:val="auto"/>
          <w:sz w:val="21"/>
          <w:szCs w:val="21"/>
          <w:highlight w:val="none"/>
          <w:lang w:eastAsia="zh-CN"/>
        </w:rPr>
        <w:t>杜文武,吴伟,李可欣. 日本自然公园的体系与历程研究 [J]. 中国园林, 2018, 34 (05): 76-82.</w:t>
      </w:r>
      <w:bookmarkEnd w:id="15"/>
      <w:bookmarkEnd w:id="17"/>
    </w:p>
    <w:p w14:paraId="14A39577">
      <w:p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DU Wen-wu, WU Wei, LI Ke-xin. Study on the Japanese Natural Parks System and Its Progress[J]. Chinese Landscape Architecture, 2018, 34(05): 76-82.</w:t>
      </w:r>
    </w:p>
    <w:p w14:paraId="00D6F154">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18" w:name="_Ref21289"/>
      <w:bookmarkStart w:id="19" w:name="_Ref8262"/>
      <w:r>
        <w:rPr>
          <w:rFonts w:hint="default" w:ascii="Times New Roman" w:hAnsi="Times New Roman" w:eastAsia="宋体" w:cs="Times New Roman"/>
          <w:color w:val="auto"/>
          <w:sz w:val="21"/>
          <w:szCs w:val="21"/>
          <w:highlight w:val="none"/>
          <w:lang w:eastAsia="zh-CN"/>
        </w:rPr>
        <w:t>孙伟博,</w:t>
      </w:r>
      <w:bookmarkEnd w:id="18"/>
      <w:r>
        <w:rPr>
          <w:rFonts w:hint="default" w:ascii="Times New Roman" w:hAnsi="Times New Roman" w:eastAsia="宋体" w:cs="Times New Roman"/>
          <w:color w:val="auto"/>
          <w:sz w:val="21"/>
          <w:szCs w:val="21"/>
          <w:highlight w:val="none"/>
          <w:lang w:eastAsia="zh-CN"/>
        </w:rPr>
        <w:t>张斌. 人工智能时代背景下自然语言处理技术的发展 [J]. 电子技术与软件工程, 2020, (13): 104-105. DOI:10.20109/j.cnki.etse.2020.13.048.</w:t>
      </w:r>
      <w:bookmarkEnd w:id="19"/>
    </w:p>
    <w:p w14:paraId="5CC481E2">
      <w:p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SUN Wei-bo, ZHANG Bin. Development of Natural Language Processing Technology in the Era of Artificial Intelligence[J]. Electronic Technology &amp; Software Engineering, 2020, (13): 104-105. DOI:10.20109/j.cnki.etse.2020.13.048.</w:t>
      </w:r>
      <w:r>
        <w:rPr>
          <w:rFonts w:hint="eastAsia" w:ascii="Times New Roman" w:hAnsi="Times New Roman" w:eastAsia="宋体" w:cs="Times New Roman"/>
          <w:color w:val="auto"/>
          <w:highlight w:val="none"/>
        </w:rPr>
        <w:t>（该英文标题由作者自行翻译）</w:t>
      </w:r>
    </w:p>
    <w:bookmarkEnd w:id="16"/>
    <w:p w14:paraId="087232F8">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20" w:name="_Ref8265"/>
      <w:bookmarkStart w:id="21" w:name="_Ref15792"/>
      <w:r>
        <w:rPr>
          <w:rFonts w:hint="default" w:ascii="Times New Roman" w:hAnsi="Times New Roman" w:eastAsia="宋体" w:cs="Times New Roman"/>
          <w:color w:val="auto"/>
          <w:sz w:val="21"/>
          <w:szCs w:val="21"/>
          <w:highlight w:val="none"/>
          <w:lang w:eastAsia="zh-CN"/>
        </w:rPr>
        <w:t>薛兴华,段晓凤.城市绿化公园综合环境特性对居民游憩活动的影响[J].城市规划,2012,36(10):40-44.</w:t>
      </w:r>
      <w:bookmarkEnd w:id="20"/>
    </w:p>
    <w:p w14:paraId="4C24546B">
      <w:p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XUE Xing-hua, DUAN Xiao-feng. Effects of Comprehensive Environmental Characteristics of Urban Green Parks on Residents’ Recreational Activities[J]. City Planning Review, 2012, 36(10): 40-44.</w:t>
      </w:r>
      <w:r>
        <w:rPr>
          <w:rFonts w:hint="eastAsia" w:ascii="Times New Roman" w:hAnsi="Times New Roman" w:eastAsia="宋体" w:cs="Times New Roman"/>
          <w:color w:val="auto"/>
          <w:highlight w:val="none"/>
        </w:rPr>
        <w:t>（该英文标题由作者自行翻译）</w:t>
      </w:r>
    </w:p>
    <w:p w14:paraId="56198FB4">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22" w:name="_Ref8268"/>
      <w:r>
        <w:rPr>
          <w:rFonts w:hint="default" w:ascii="Times New Roman" w:hAnsi="Times New Roman" w:eastAsia="宋体" w:cs="Times New Roman"/>
          <w:color w:val="auto"/>
          <w:sz w:val="21"/>
          <w:szCs w:val="21"/>
          <w:highlight w:val="none"/>
          <w:lang w:eastAsia="zh-CN"/>
        </w:rPr>
        <w:t>王新文, 高建洁. 西安主城区遗址公园文化服务绩效研究[J]. 中国园林, 2023, 39(3): 106-111.</w:t>
      </w:r>
      <w:bookmarkEnd w:id="21"/>
      <w:bookmarkEnd w:id="22"/>
    </w:p>
    <w:p w14:paraId="610725D9">
      <w:p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WANG X W, GAO J J. Research on Cultural Service Performance of Heritage Park in Xi’an City[J]. Chinese Landscape Architecture, 2023, 39(3):106-111.</w:t>
      </w:r>
    </w:p>
    <w:bookmarkEnd w:id="7"/>
    <w:p w14:paraId="3A0B8DD9">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23" w:name="_Ref10869"/>
      <w:bookmarkEnd w:id="23"/>
      <w:bookmarkStart w:id="24" w:name="_Ref8271"/>
      <w:bookmarkStart w:id="25" w:name="_Ref16145"/>
      <w:bookmarkStart w:id="26" w:name="_Ref20919"/>
      <w:r>
        <w:rPr>
          <w:rFonts w:hint="default" w:ascii="Times New Roman" w:hAnsi="Times New Roman" w:eastAsia="宋体" w:cs="Times New Roman"/>
          <w:color w:val="auto"/>
          <w:sz w:val="21"/>
          <w:szCs w:val="21"/>
          <w:highlight w:val="none"/>
          <w:lang w:eastAsia="zh-CN"/>
        </w:rPr>
        <w:t>范悦微,毛盾,周成城,等.基于网络文本分析的福州西湖公园游憩资源评价[J].中国城市林业,2019,17(06):41-46.</w:t>
      </w:r>
    </w:p>
    <w:p w14:paraId="78B12C36">
      <w:p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FAN Yue-wei, MAO Dun, ZHOU Cheng-cheng, et al. Recreational Resources Evaluation of Fuzhou West Lake Park Based on Internet Text Analysis[J]. Journal of Chinese Urban Forestry, 2019, 17(06): 41-46.</w:t>
      </w:r>
    </w:p>
    <w:p w14:paraId="4C73E05B">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COSTANZA R, D’ARGE R, DE GROOT R, et al. The value of the world’s ecosystem services and natural capital[J]. Nature, 1997, 387(6630): 253-260. DOI:10.1038/387253a0.</w:t>
      </w:r>
      <w:bookmarkEnd w:id="24"/>
    </w:p>
    <w:p w14:paraId="57379151">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27" w:name="_Ref8764"/>
      <w:r>
        <w:rPr>
          <w:rFonts w:hint="default" w:ascii="Times New Roman" w:hAnsi="Times New Roman" w:eastAsia="宋体" w:cs="Times New Roman"/>
          <w:color w:val="auto"/>
          <w:sz w:val="21"/>
          <w:szCs w:val="21"/>
          <w:highlight w:val="none"/>
          <w:lang w:eastAsia="zh-CN"/>
        </w:rPr>
        <w:t xml:space="preserve">HERNÁNDEZ-MORCILLO M, PLIENINGER T, BIELING C. An empirical review of cultural ecosystem service indicators[J]. Ecological Indicators, 2013, 29: 434-444. </w:t>
      </w:r>
      <w:bookmarkEnd w:id="27"/>
    </w:p>
    <w:p w14:paraId="69289FCD">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28" w:name="_Ref8768"/>
      <w:r>
        <w:rPr>
          <w:rFonts w:hint="default" w:ascii="Times New Roman" w:hAnsi="Times New Roman" w:eastAsia="宋体" w:cs="Times New Roman"/>
          <w:color w:val="auto"/>
          <w:sz w:val="21"/>
          <w:szCs w:val="21"/>
          <w:highlight w:val="none"/>
          <w:lang w:eastAsia="zh-CN"/>
        </w:rPr>
        <w:t>肖星,杜坤.城市公园游憩者满意度研究——以广州为例[J].人文地理,2011,26(01):129-133.DOI:10.13959/j.issn.1003-2398.2011.01.011.</w:t>
      </w:r>
      <w:bookmarkEnd w:id="28"/>
    </w:p>
    <w:p w14:paraId="7D899D30">
      <w:p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XIAO Xing, DU Kun. A study on recreationists’ satisfaction of Guangzhou city parks[J]. Human Geography, 2011, 26(01):129-133. DOI:10.13959/j.issn.1003-2398.2011.01.011.</w:t>
      </w:r>
    </w:p>
    <w:p w14:paraId="582D1130">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29" w:name="_Ref8774"/>
      <w:r>
        <w:rPr>
          <w:rFonts w:hint="default" w:ascii="Times New Roman" w:hAnsi="Times New Roman" w:eastAsia="宋体" w:cs="Times New Roman"/>
          <w:color w:val="auto"/>
          <w:sz w:val="21"/>
          <w:szCs w:val="21"/>
          <w:highlight w:val="none"/>
          <w:lang w:eastAsia="zh-CN"/>
        </w:rPr>
        <w:t>王</w:t>
      </w:r>
      <w:bookmarkEnd w:id="25"/>
      <w:r>
        <w:rPr>
          <w:rFonts w:hint="default" w:ascii="Times New Roman" w:hAnsi="Times New Roman" w:eastAsia="宋体" w:cs="Times New Roman"/>
          <w:color w:val="auto"/>
          <w:sz w:val="21"/>
          <w:szCs w:val="21"/>
          <w:highlight w:val="none"/>
          <w:lang w:eastAsia="zh-CN"/>
        </w:rPr>
        <w:t>甫园,张之羽,谢源菁,等. 基于机器学习的城市游憩空间热度-情感分布与匹配性格局——以广州市为例 [J]. 热带地理, 2025, 45 (07): 1174-1188. DOI:10.13284/j.cnki.rddl.20240202.</w:t>
      </w:r>
      <w:bookmarkEnd w:id="29"/>
    </w:p>
    <w:bookmarkEnd w:id="26"/>
    <w:p w14:paraId="3413EA0C">
      <w:p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commentRangeStart w:id="3"/>
      <w:r>
        <w:rPr>
          <w:highlight w:val="yellow"/>
        </w:rPr>
        <w:t>Fuyuan Wang, Zhiyu Zhang, Yuanjing Xie, Xinyi Yang, Miao Sun. Urban Recreational Space Heat-Emotion Distribution and Matching Pattern Based on Machine Learning: A Case Study of Guangzhou City[J]. Tropical Geography, 2025, 45(7): 1174-1188 https://doi.org/10.13284/j.cnki.rddl.20240202</w:t>
      </w:r>
      <w:commentRangeEnd w:id="3"/>
      <w:r>
        <w:rPr>
          <w:rStyle w:val="CommentReference"/>
        </w:rPr>
        <w:commentReference w:id="3"/>
      </w:r>
    </w:p>
    <w:bookmarkEnd w:id="30"/>
    <w:bookmarkEnd w:id="31"/>
    <w:p w14:paraId="5E61DD9F">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32" w:name="_Ref8787"/>
      <w:bookmarkStart w:id="33" w:name="_Ref20030"/>
      <w:bookmarkStart w:id="34" w:name="_Ref20035"/>
      <w:bookmarkStart w:id="35" w:name="_Ref6801"/>
      <w:r>
        <w:rPr>
          <w:rFonts w:hint="default" w:ascii="Times New Roman" w:hAnsi="Times New Roman" w:eastAsia="宋体" w:cs="Times New Roman"/>
          <w:color w:val="auto"/>
          <w:sz w:val="21"/>
          <w:szCs w:val="21"/>
          <w:highlight w:val="none"/>
          <w:lang w:eastAsia="zh-CN"/>
        </w:rPr>
        <w:t>姜芊孜,王广兴,梁雪原,等.基于网络评论数据分析的城市公园生态系统文化服务感知研究[J].景观设计学(中英文),2022,10(05):32-51.</w:t>
      </w:r>
      <w:bookmarkEnd w:id="32"/>
    </w:p>
    <w:p w14:paraId="4A714E06">
      <w:p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JIANG Qianzi, WANG Guangxing, LIANG Xueyuan, LIU Na. Research on the Perception of Cultural Ecosystem Services in Urban Parks via Analyses of Online Comment Data[J]. Landscape Architecture Frontiers, 2022, 10(5):32-51. DOI:10.15302/J-LAF-1-020072.</w:t>
      </w:r>
    </w:p>
    <w:p w14:paraId="30328F23">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36" w:name="_Ref8791"/>
      <w:r>
        <w:rPr>
          <w:rFonts w:hint="default" w:ascii="Times New Roman" w:hAnsi="Times New Roman" w:eastAsia="宋体" w:cs="Times New Roman"/>
          <w:color w:val="auto"/>
          <w:sz w:val="21"/>
          <w:szCs w:val="21"/>
          <w:highlight w:val="none"/>
          <w:lang w:eastAsia="zh-CN"/>
        </w:rPr>
        <w:t>吴志峰,柴彦威,党安荣,等. 地理学碰上”大数据”:热反应与冷思考 [J]. 地理研究, 2015, 34 (12): 2207-2221.</w:t>
      </w:r>
      <w:bookmarkEnd w:id="33"/>
      <w:bookmarkEnd w:id="36"/>
    </w:p>
    <w:p w14:paraId="2064B342">
      <w:p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WU Zhifeng, CHAI Yanwei, DANG Anrong, et al. Geography interact with big data: Dialogue and reflection[J]. Geographical Research, 2015, 34(12):2207-2221. DOI:10.11821/dlyj20151200.</w:t>
      </w:r>
    </w:p>
    <w:bookmarkEnd w:id="34"/>
    <w:bookmarkEnd w:id="35"/>
    <w:p w14:paraId="56BAC7A9">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37" w:name="_Ref9411"/>
      <w:bookmarkStart w:id="38" w:name="_Ref8794"/>
      <w:bookmarkStart w:id="39" w:name="_Ref28646"/>
      <w:bookmarkStart w:id="40" w:name="_Ref9974"/>
      <w:r>
        <w:rPr>
          <w:rFonts w:hint="default" w:ascii="Times New Roman" w:hAnsi="Times New Roman" w:eastAsia="宋体" w:cs="Times New Roman"/>
          <w:color w:val="auto"/>
          <w:sz w:val="21"/>
          <w:szCs w:val="21"/>
          <w:highlight w:val="none"/>
          <w:lang w:eastAsia="zh-CN"/>
        </w:rPr>
        <w:t>谢秋逸,周年兴,轩源,等.基于百度AI开放平台的北京市共享住宿顾客满意度及需求层次研究[J].南京师大学报(自然科学版),2021,44(01):64-70.</w:t>
      </w:r>
      <w:bookmarkEnd w:id="37"/>
    </w:p>
    <w:p w14:paraId="283E7872">
      <w:p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XIE Qiu-yi, ZHOU Nian-xing, XUAN Yuan, et al. Research on the Degree of Customer Satisfaction and Hierarchy of Needs of Beijing Shared Accommodation Based on Baidu AI Open Platform[J]. Journal of Nanjing Normal University (Natural Science Edition), 2021, 44(01): 64-70.</w:t>
      </w:r>
    </w:p>
    <w:p w14:paraId="16863026">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41" w:name="_Ref8797"/>
      <w:r>
        <w:rPr>
          <w:rFonts w:hint="default" w:ascii="Times New Roman" w:hAnsi="Times New Roman" w:eastAsia="宋体" w:cs="Times New Roman"/>
          <w:color w:val="auto"/>
          <w:sz w:val="21"/>
          <w:szCs w:val="21"/>
          <w:highlight w:val="none"/>
          <w:lang w:eastAsia="zh-CN"/>
        </w:rPr>
        <w:t>邬超,邵秀英.基于UGC和问卷调查数据的古村落旅游形象感知研究——以碛口古镇为例[J].干旱区资源与环境,2020,34(12):195-200.DOI:10.13448/j.cnki.jalre.2020.349.</w:t>
      </w:r>
      <w:bookmarkEnd w:id="41"/>
    </w:p>
    <w:p w14:paraId="53074786">
      <w:p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WU Chao, SHAO Xiu-ying. Analysis of tourism image perception of ancient villages based on UGC and questionnaire data: A case study of Qikou Ancient Town[J]. Journal of Arid Land Resources and Environment, 2020, 34(12): 195-200. DOI:10.13448/j.cnki.jalre.2020.349.</w:t>
      </w:r>
    </w:p>
    <w:p w14:paraId="3FF3AF9B">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叶林,江伦,韩贵锋.基于文本情感分析的城市公园使用感知评价研究——以重庆36个公园为例[J].西部人居环境学刊,2022,37(04):147-154.DOI:10.13791/j.cnki.hsfwest.20220420.</w:t>
      </w:r>
      <w:bookmarkEnd w:id="38"/>
    </w:p>
    <w:p w14:paraId="572E9111">
      <w:p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YE Lin, JIANG Lun, HAN Gui-feng. Research on User Perception Evaluation of Urban Parks Based on Text Sentiment Analysis: Taking 36 Parks in Chongqing as an Example[J]. Journal of Human Settlements in West China, 2022, 37(04): 147-154. DOI:10.13791/j.cnki.hsfwest.20220420.</w:t>
      </w:r>
    </w:p>
    <w:p w14:paraId="0893BDD3">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42" w:name="_Ref8401"/>
      <w:bookmarkStart w:id="43" w:name="_Ref16242"/>
      <w:r>
        <w:rPr>
          <w:rFonts w:hint="default" w:ascii="Times New Roman" w:hAnsi="Times New Roman" w:eastAsia="宋体" w:cs="Times New Roman"/>
          <w:color w:val="auto"/>
          <w:sz w:val="21"/>
          <w:szCs w:val="21"/>
          <w:highlight w:val="none"/>
        </w:rPr>
        <w:t>CHENG X, CHEN Y, WANG P, et al. A novel ChatGPT-based multimodel framework for tourism review mining: A case study on China’s five sacred mountains[J]. Journal of Hospitality and Tourism Technology, 2024, 15(4): 592-609. DOI:10.1108/JHTT-06-2023-0170.</w:t>
      </w:r>
      <w:bookmarkEnd w:id="42"/>
    </w:p>
    <w:p w14:paraId="3FDBD48E">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commentRangeStart w:id="29"/>
      <w:r>
        <w:rPr>
          <w:highlight w:val="yellow"/>
        </w:rPr>
        <w:t>GUO D Y, YANG D, ZHANG H W, et al. DeepSeek-R1 incentivizes reasoning in LLMs through reinforcement learning[J]. Nature, 2025, 645: 633-638. DOI:10.1038/s41586-025-09422-z.</w:t>
      </w:r>
      <w:commentRangeEnd w:id="29"/>
      <w:r>
        <w:rPr>
          <w:rStyle w:val="CommentReference"/>
        </w:rPr>
        <w:commentReference w:id="29"/>
      </w:r>
    </w:p>
    <w:bookmarkEnd w:id="45"/>
    <w:p w14:paraId="5563CAB2">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LUO H, ZHANG Z, ZHU Q, et al. Using large language models to investigate cultural ecosystem services perceptions: A few-shot and prompt method[J]. Landscape and Urban Planning, 2025, 258: 105323. DOI:10.1016/j.landurbplan.2025.105323.</w:t>
      </w:r>
    </w:p>
    <w:p w14:paraId="3B3C947B">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46" w:name="_Ref10456"/>
      <w:r>
        <w:rPr>
          <w:rFonts w:hint="default" w:ascii="Times New Roman" w:hAnsi="Times New Roman" w:eastAsia="宋体" w:cs="Times New Roman"/>
          <w:color w:val="auto"/>
          <w:sz w:val="21"/>
          <w:szCs w:val="21"/>
          <w:highlight w:val="none"/>
          <w:lang w:eastAsia="zh-CN"/>
        </w:rPr>
        <w:t>赵晓龙,邱璇,徐靖然,等.绿色空间中使用行为与环境认知研究方法综述[J].风景园林,2020,27(03):56-62.DOI:10.14085/j.fjyl.2020.03.0056.07.</w:t>
      </w:r>
      <w:bookmarkEnd w:id="39"/>
      <w:bookmarkEnd w:id="46"/>
    </w:p>
    <w:p w14:paraId="583C9411">
      <w:p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ZHAO Xiao-long, QIU Xuan, XU Jing-ran, et al. Review of Research Methods for Green Spatial Behavioral Activities and Environmental Cognition[J]. Landscape Architecture, 2020, 27(03): 56-62. DOI:10.14085/j.fjyl.2020.03.0056.07.</w:t>
      </w:r>
    </w:p>
    <w:p w14:paraId="10F14020">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47" w:name="_Ref28665"/>
      <w:r>
        <w:rPr>
          <w:rFonts w:hint="default" w:ascii="Times New Roman" w:hAnsi="Times New Roman" w:eastAsia="宋体" w:cs="Times New Roman"/>
          <w:color w:val="auto"/>
          <w:sz w:val="21"/>
          <w:szCs w:val="21"/>
          <w:highlight w:val="none"/>
          <w:lang w:eastAsia="zh-CN"/>
        </w:rPr>
        <w:t>谭少华,杨春,李立峰,等.公园环境的健康恢复影响研究进展[J].中国园林,2020,36(02):53-58.DOI:10.19775/j.cla.2020.02.0053.</w:t>
      </w:r>
      <w:bookmarkEnd w:id="47"/>
    </w:p>
    <w:p w14:paraId="616E39D3">
      <w:p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TAN Shao-hua, YANG Chun, LI Li-f</w:t>
      </w:r>
      <w:r>
        <w:rPr>
          <w:rFonts w:hint="default" w:ascii="Times New Roman" w:hAnsi="Times New Roman" w:eastAsia="宋体" w:cs="Times New Roman"/>
          <w:color w:val="auto"/>
          <w:sz w:val="21"/>
          <w:szCs w:val="21"/>
          <w:highlight w:val="none"/>
          <w:lang w:eastAsia="zh-CN"/>
        </w:rPr>
        <w:t>eng, et al. Park Environment Influences on Health Restoration Review[J]. Chinese Landscape Architecture, 2020, 36(02): 53-58. DOI:10.19775/j.cla.2020.02.0053.</w:t>
      </w:r>
    </w:p>
    <w:p w14:paraId="68F8E14B">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48" w:name="_Ref10463"/>
      <w:r>
        <w:rPr>
          <w:rFonts w:hint="default" w:ascii="Times New Roman" w:hAnsi="Times New Roman" w:eastAsia="宋体" w:cs="Times New Roman"/>
          <w:color w:val="auto"/>
          <w:sz w:val="21"/>
          <w:szCs w:val="21"/>
          <w:highlight w:val="none"/>
          <w:lang w:eastAsia="zh-CN"/>
        </w:rPr>
        <w:t>翟宇佳,吴承照. 城市公园总体满意度主要影响因素识别——基于不同年龄组使用者的分析 [J]. 风景园林, 2021, 28 (05): 57-62. DOI:10.14085/j.fjyl.2021.05.0057.06.</w:t>
      </w:r>
      <w:bookmarkEnd w:id="48"/>
    </w:p>
    <w:p w14:paraId="6BD06F1E">
      <w:p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ZHAI Yu-jia, WU Cheng-zhao. Identification of Main Influencing Factors on Urban Park Overall Satisfaction: Based on Analysis of Users of Different Age Groups[J]. Landscape Architecture, 2021, 28(05): 57-62. DOI:10.14085/j.fjyl.2021.05.0057.06.</w:t>
      </w:r>
    </w:p>
    <w:p w14:paraId="729EB287">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49" w:name="_Ref10476"/>
      <w:r>
        <w:rPr>
          <w:rFonts w:hint="default" w:ascii="Times New Roman" w:hAnsi="Times New Roman" w:eastAsia="宋体" w:cs="Times New Roman"/>
          <w:color w:val="auto"/>
          <w:sz w:val="21"/>
          <w:szCs w:val="21"/>
          <w:highlight w:val="none"/>
          <w:lang w:eastAsia="zh-CN"/>
        </w:rPr>
        <w:t>刘娟,殷豪,曹可心,等. 深圳市不同类型公园服务评价及提升策略 [J]. 深圳大学学报(理工版), 2021, 38 (04): 433-440.</w:t>
      </w:r>
      <w:bookmarkEnd w:id="49"/>
    </w:p>
    <w:p w14:paraId="2D0D9033">
      <w:p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LIU Juan, YIN Hao, CAO Ke-xin, et al. Service Evaluation and Promotion Strategies for Different Types of Parks in Shenzhen[J]. Journal of Shenzhen University Science and Engineering, 2021, 38(04): 433-440.</w:t>
      </w:r>
    </w:p>
    <w:p w14:paraId="37B12278">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50" w:name="_Ref5557"/>
      <w:r>
        <w:rPr>
          <w:rFonts w:hint="default" w:ascii="Times New Roman" w:hAnsi="Times New Roman" w:eastAsia="宋体" w:cs="Times New Roman"/>
          <w:color w:val="auto"/>
          <w:sz w:val="21"/>
          <w:szCs w:val="21"/>
          <w:highlight w:val="none"/>
          <w:lang w:eastAsia="zh-CN"/>
        </w:rPr>
        <w:t>张一康,叶怀泽,李妍汀,等. 深圳公园服务管理协同提升策略 [J]. 风景园林, 2025, 32 (09): 114-120.</w:t>
      </w:r>
      <w:bookmarkEnd w:id="50"/>
    </w:p>
    <w:p w14:paraId="7E80005D">
      <w:p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ZHANG Yi-kang, YE Huai-ze, LI Yan-ting, et al. Strategies for Collaborative Enhancement of Park Service Management in Shenzhen[J]. Landscape Architecture, 2025, 32(09): 114-120.</w:t>
      </w:r>
    </w:p>
    <w:p w14:paraId="558ABA75">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51" w:name="_Ref5560"/>
      <w:r>
        <w:rPr>
          <w:rFonts w:hint="default" w:ascii="Times New Roman" w:hAnsi="Times New Roman" w:eastAsia="宋体" w:cs="Times New Roman"/>
          <w:color w:val="auto"/>
          <w:sz w:val="21"/>
          <w:szCs w:val="21"/>
          <w:highlight w:val="none"/>
          <w:lang w:eastAsia="zh-CN"/>
        </w:rPr>
        <w:t>林敏慧,余劭祺,王雅君. 城市型自然公园游客拥挤感知与调适机制及其满意度研究 [J]. 自然资源学报, 2023, 38 (04): 1025-1039.</w:t>
      </w:r>
      <w:bookmarkEnd w:id="51"/>
    </w:p>
    <w:p w14:paraId="78ADE2D6">
      <w:p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LIN Min-hui, YU Shao-qi, WANG Ya-jun. Study on Visitors’ Crowding Perception, Adjustment Mechanism and Satisfaction in Urban Natural Parks[J]. Journal of Natural Resources, 2023, 38(04): 1025-1039.</w:t>
      </w:r>
    </w:p>
    <w:p w14:paraId="3C0F1A6D">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52" w:name="_Ref9286"/>
      <w:r>
        <w:rPr>
          <w:rFonts w:hint="default" w:ascii="Times New Roman" w:hAnsi="Times New Roman" w:eastAsia="宋体" w:cs="Times New Roman"/>
          <w:color w:val="auto"/>
          <w:sz w:val="21"/>
          <w:szCs w:val="21"/>
          <w:highlight w:val="none"/>
          <w:lang w:eastAsia="zh-CN"/>
        </w:rPr>
        <w:t>深圳市市场监督管理局. 公园公共厕所管理规范: DB4403/T 66—2020[S]. 深圳, 2020.</w:t>
      </w:r>
      <w:bookmarkEnd w:id="52"/>
    </w:p>
    <w:p w14:paraId="2EEC1EA5">
      <w:p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Shenzhen Municipal Administration for Market Regulation. Management and Maintenance Specification for Public Toilets in the Park: DB4403/T 66—2020[S]. Shenzhen, 2020.</w:t>
      </w:r>
      <w:r>
        <w:rPr>
          <w:rFonts w:hint="eastAsia" w:ascii="Times New Roman" w:hAnsi="Times New Roman" w:eastAsia="宋体" w:cs="Times New Roman"/>
          <w:color w:val="auto"/>
          <w:highlight w:val="none"/>
        </w:rPr>
        <w:t>（该英文标题由作者自行翻译）</w:t>
      </w:r>
    </w:p>
    <w:p w14:paraId="6552FE46">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53" w:name="_Ref9293"/>
      <w:r>
        <w:rPr>
          <w:rFonts w:hint="default" w:ascii="Times New Roman" w:hAnsi="Times New Roman" w:eastAsia="宋体" w:cs="Times New Roman"/>
          <w:color w:val="auto"/>
          <w:sz w:val="21"/>
          <w:szCs w:val="21"/>
          <w:highlight w:val="none"/>
          <w:lang w:eastAsia="zh-CN"/>
        </w:rPr>
        <w:t>刘颂,杨莹,贾虎,等. 基于多源数据的上海城市公园使用满意度关键影响因素 [J]. 中国城市林业, 2020, 18 (02): 51-56.</w:t>
      </w:r>
      <w:bookmarkEnd w:id="53"/>
    </w:p>
    <w:p w14:paraId="5F4B2D01">
      <w:p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 xml:space="preserve">LIU Song, YANG Ying, JIA </w:t>
      </w:r>
      <w:r>
        <w:rPr>
          <w:rFonts w:hint="default" w:ascii="Times New Roman" w:hAnsi="Times New Roman" w:eastAsia="宋体" w:cs="Times New Roman"/>
          <w:color w:val="auto"/>
          <w:sz w:val="21"/>
          <w:szCs w:val="21"/>
          <w:highlight w:val="none"/>
          <w:lang w:eastAsia="zh-CN"/>
        </w:rPr>
        <w:t>Hu, et al. Research on Influencing Factors to Shanghai Urban Parks Satisfaction Based on Multi-source Data[J]. China Urban Forestry, 2020, 18(02): 51-56.</w:t>
      </w:r>
    </w:p>
    <w:p w14:paraId="76759F00">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54" w:name="_Ref13662"/>
      <w:r>
        <w:rPr>
          <w:rFonts w:hint="default" w:ascii="Times New Roman" w:hAnsi="Times New Roman" w:eastAsia="宋体" w:cs="Times New Roman"/>
          <w:color w:val="auto"/>
          <w:sz w:val="21"/>
          <w:szCs w:val="21"/>
          <w:highlight w:val="none"/>
          <w:lang w:eastAsia="zh-CN"/>
        </w:rPr>
        <w:t>王敏,邱明,汪洁琼,等. 基于重要性——绩效表现分析的上海苏州河滨水空间文化性生态系统服务供需关系分析与优化 [J]. 风景园林, 2019, 26 (10): 107-112. DOI:10.14085/j.fjyl.2019.10.0107.06.</w:t>
      </w:r>
      <w:bookmarkEnd w:id="54"/>
    </w:p>
    <w:p w14:paraId="55ADA5D6">
      <w:p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WANG Min, QIU Ming, WANG Jie-qiong, et al. Supply–Demand Analysis and Optimization of Cultural Ecosystem Services in the Suzhou Creek Waterfront of Shanghai Based on Importance–Performance Analysis[J]. Landscape Architecture, 2019, 26(10): 107-112. DOI:10.14085/j.fjyl.2019.10.0107.06.</w:t>
      </w:r>
    </w:p>
    <w:p w14:paraId="3B4A299C">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55" w:name="_Ref2491"/>
      <w:r>
        <w:rPr>
          <w:rFonts w:hint="default" w:ascii="Times New Roman" w:hAnsi="Times New Roman" w:eastAsia="宋体" w:cs="Times New Roman"/>
          <w:color w:val="auto"/>
          <w:sz w:val="21"/>
          <w:szCs w:val="21"/>
          <w:highlight w:val="none"/>
          <w:lang w:eastAsia="zh-CN"/>
        </w:rPr>
        <w:t>M</w:t>
      </w:r>
      <w:bookmarkStart w:id="56" w:name="_Ref14492"/>
      <w:r>
        <w:rPr>
          <w:rFonts w:hint="default" w:ascii="Times New Roman" w:hAnsi="Times New Roman" w:eastAsia="宋体" w:cs="Times New Roman"/>
          <w:color w:val="auto"/>
          <w:sz w:val="21"/>
          <w:szCs w:val="21"/>
          <w:highlight w:val="none"/>
          <w:lang w:eastAsia="zh-CN"/>
        </w:rPr>
        <w:t>ARTILLA J A, JAMES J C. Importance-performance analysis[J]. Journal of Marketing, 1977, 41(1): 77-79. DOI:10.1177/002224297704100112.</w:t>
      </w:r>
      <w:bookmarkEnd w:id="55"/>
    </w:p>
    <w:p w14:paraId="7A0570BA">
      <w:pPr>
        <w:numPr>
          <w:ilvl w:val="0"/>
          <w:numId w:val="1"/>
        </w:num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bookmarkStart w:id="57" w:name="_Ref2495"/>
      <w:r>
        <w:rPr>
          <w:rFonts w:hint="default" w:ascii="Times New Roman" w:hAnsi="Times New Roman" w:eastAsia="宋体" w:cs="Times New Roman"/>
          <w:color w:val="auto"/>
          <w:sz w:val="21"/>
          <w:szCs w:val="21"/>
          <w:highlight w:val="none"/>
          <w:lang w:eastAsia="zh-CN"/>
        </w:rPr>
        <w:t>舒心怡,沈晓萌,周昕蕾,等. 基于景观感知的自然教育环境设计策略与要素研究 [J]. 风景园林, 2019, 26 (10): 48-53. DOI:10.14085/j.fjyl.2019.10.0048.06.</w:t>
      </w:r>
      <w:bookmarkEnd w:id="56"/>
      <w:bookmarkEnd w:id="57"/>
    </w:p>
    <w:p w14:paraId="29C1A80B">
      <w:pPr>
        <w:wordWrap w:val="0"/>
        <w:overflowPunct w:val="0"/>
        <w:ind w:left="0" w:leftChars="0" w:firstLine="0" w:firstLineChars="0"/>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SHU Xin-yi, SHEN Xiao-meng, ZHOU Xin-</w:t>
      </w:r>
      <w:r>
        <w:rPr>
          <w:rFonts w:hint="default" w:ascii="Times New Roman" w:hAnsi="Times New Roman" w:eastAsia="宋体" w:cs="Times New Roman"/>
          <w:color w:val="auto"/>
          <w:sz w:val="21"/>
          <w:szCs w:val="21"/>
          <w:highlight w:val="none"/>
          <w:lang w:eastAsia="zh-CN"/>
        </w:rPr>
        <w:t>lei, et al. Research on Strategies and Determinants of Nature Education Environment Design Based on Landscape Perception Theory[J]. Landscape Architecture, 2019, 26(10): 4</w:t>
      </w:r>
      <w:r>
        <w:rPr>
          <w:rFonts w:hint="default" w:ascii="Times New Roman" w:hAnsi="Times New Roman" w:eastAsia="宋体" w:cs="Times New Roman"/>
          <w:color w:val="auto"/>
          <w:sz w:val="21"/>
          <w:szCs w:val="21"/>
          <w:highlight w:val="none"/>
          <w:lang w:eastAsia="zh-CN"/>
        </w:rPr>
        <w:t>8-53. DOI:10.14085/j.fjyl.2019.10.0048.06.</w:t>
      </w:r>
    </w:p>
    <w:p w14:paraId="5A427005">
      <w:pPr>
        <w:keepNext w:val="0"/>
        <w:keepLines w:val="0"/>
        <w:pageBreakBefore w:val="0"/>
        <w:widowControl w:val="0"/>
        <w:numPr>
          <w:ilvl w:val="0"/>
          <w:numId w:val="1"/>
        </w:numPr>
        <w:kinsoku/>
        <w:wordWrap/>
        <w:overflowPunct w:val="0"/>
        <w:topLinePunct w:val="0"/>
        <w:autoSpaceDE/>
        <w:autoSpaceDN/>
        <w:bidi w:val="0"/>
        <w:adjustRightInd/>
        <w:ind w:left="0" w:leftChars="0" w:firstLine="0" w:firstLineChars="0"/>
        <w:textAlignment w:val="auto"/>
        <w:rPr>
          <w:rFonts w:hint="default" w:ascii="Times New Roman" w:hAnsi="Times New Roman" w:eastAsia="宋体" w:cs="Times New Roman"/>
          <w:color w:val="auto"/>
          <w:sz w:val="21"/>
          <w:szCs w:val="21"/>
          <w:highlight w:val="none"/>
          <w:lang w:eastAsia="zh-CN"/>
        </w:rPr>
      </w:pPr>
      <w:bookmarkStart w:id="58" w:name="_Ref14916"/>
      <w:r>
        <w:rPr>
          <w:rFonts w:hint="default" w:ascii="Times New Roman" w:hAnsi="Times New Roman" w:eastAsia="宋体" w:cs="Times New Roman"/>
          <w:color w:val="auto"/>
          <w:sz w:val="21"/>
          <w:szCs w:val="21"/>
          <w:highlight w:val="none"/>
          <w:lang w:eastAsia="zh-CN"/>
        </w:rPr>
        <w:t>周素红,黄畅如,张琳. 城市公园环境对个体恢复性感知的影响及设计启示：以青少年活动环境感知为例 [J]. 风景园林, 2021, 28 (05): 16-22. DOI:10.14085/j.fjyl.2021.05.0016.07.</w:t>
      </w:r>
      <w:bookmarkEnd w:id="58"/>
    </w:p>
    <w:bookmarkEnd w:id="40"/>
    <w:p w14:paraId="7B1B91B5">
      <w:pPr>
        <w:keepNext w:val="0"/>
        <w:keepLines w:val="0"/>
        <w:pageBreakBefore w:val="0"/>
        <w:widowControl w:val="0"/>
        <w:kinsoku/>
        <w:wordWrap w:val="0"/>
        <w:overflowPunct/>
        <w:topLinePunct/>
        <w:autoSpaceDE/>
        <w:autoSpaceDN/>
        <w:bidi w:val="0"/>
        <w:adjustRightInd/>
        <w:snapToGrid w:val="0"/>
        <w:ind w:firstLine="0" w:firstLineChars="0"/>
        <w:textAlignment w:val="auto"/>
        <w:outlineLvl w:val="0"/>
        <w:rPr>
          <w:rFonts w:hint="default" w:ascii="Times New Roman" w:hAnsi="Times New Roman" w:eastAsia="宋体" w:cs="Times New Roman"/>
          <w:sz w:val="21"/>
          <w:szCs w:val="21"/>
          <w:highlight w:val="none"/>
          <w:lang w:eastAsia="zh-CN"/>
        </w:rPr>
      </w:pPr>
      <w:r>
        <w:rPr>
          <w:rFonts w:hint="default" w:ascii="Times New Roman" w:hAnsi="Times New Roman" w:eastAsia="宋体" w:cs="Times New Roman"/>
          <w:color w:val="auto"/>
          <w:sz w:val="21"/>
          <w:szCs w:val="21"/>
          <w:highlight w:val="none"/>
          <w:lang w:eastAsia="zh-CN"/>
        </w:rPr>
        <w:t>ZHOU Su-hong, HUANG Chang-ru</w:t>
      </w:r>
      <w:r>
        <w:rPr>
          <w:rFonts w:hint="default" w:ascii="Times New Roman" w:hAnsi="Times New Roman" w:eastAsia="宋体" w:cs="Times New Roman"/>
          <w:color w:val="auto"/>
          <w:sz w:val="21"/>
          <w:szCs w:val="21"/>
          <w:highlight w:val="none"/>
          <w:lang w:eastAsia="zh-CN"/>
        </w:rPr>
        <w:t xml:space="preserve">, ZHANG Lin. Impacts of Urban Park Environment on Individual Restorative Perception and Design Implications: </w:t>
      </w:r>
      <w:r>
        <w:rPr>
          <w:rFonts w:hint="default" w:ascii="Times New Roman" w:hAnsi="Times New Roman" w:eastAsia="宋体" w:cs="Times New Roman"/>
          <w:sz w:val="21"/>
          <w:szCs w:val="21"/>
          <w:highlight w:val="none"/>
          <w:lang w:eastAsia="zh-CN"/>
        </w:rPr>
        <w:t>A Case Study of Adolescent Activity Environment Perception[J]. Landscape Architecture, 2021, 28(05): 16-22. DOI:10.14085/j.fjyl.2021.05.0016.07.</w:t>
      </w:r>
    </w:p>
    <w:p>
      <w:pPr>
        <w:numPr>
          <w:ilvl w:val="0"/>
          <w:numId w:val="1"/>
        </w:numPr>
      </w:pPr>
      <w:commentRangeStart w:id="30"/>
      <w:r>
        <w:rPr>
          <w:highlight w:val="yellow"/>
        </w:rPr>
        <w:t>DANG A R, LI X. Supply-demand relationship and spatial flow of urban cultural ecosystem services: the case of Shenzhen, China[J]. Journal of Cleaner Production, 2023: 138765. DOI:10.1016/j.jclepro.2023.138765.</w:t>
      </w:r>
      <w:commentRangeEnd w:id="30"/>
      <w:r>
        <w:rPr>
          <w:rStyle w:val="CommentReference"/>
        </w:rPr>
        <w:commentReference w:id="30"/>
      </w:r>
    </w:p>
    <w:p>
      <w:pPr>
        <w:numPr>
          <w:ilvl w:val="0"/>
          <w:numId w:val="1"/>
        </w:numPr>
      </w:pPr>
      <w:commentRangeStart w:id="31"/>
      <w:r>
        <w:rPr>
          <w:highlight w:val="yellow"/>
        </w:rPr>
        <w:t>TU X, HUANG G, WU J, et al. How do visitors' perceptions differ from the supply of cultural ecosystem services in urban parks? The case of Beijing[J]. International Journal of Sustainable Development &amp; World Ecology, 2023. DOI:10.1080/13504509.2023.2234479.</w:t>
      </w:r>
      <w:commentRangeEnd w:id="31"/>
      <w:r>
        <w:rPr>
          <w:rStyle w:val="CommentReference"/>
        </w:rPr>
        <w:commentReference w:id="31"/>
      </w:r>
    </w:p>
    <w:p>
      <w:pPr>
        <w:numPr>
          <w:ilvl w:val="0"/>
          <w:numId w:val="1"/>
        </w:numPr>
      </w:pPr>
      <w:commentRangeStart w:id="32"/>
      <w:r>
        <w:rPr>
          <w:highlight w:val="yellow"/>
        </w:rPr>
        <w:t>GHERMANDI A, et al. Digital windows into nature's values: a critical review of cultural ecosystem services research with social media data[J]. Ecosystem Services, 2026: 101839. DOI:10.1016/j.ecoser.2026.101839.</w:t>
      </w:r>
      <w:commentRangeEnd w:id="32"/>
      <w:r>
        <w:rPr>
          <w:rStyle w:val="CommentReference"/>
        </w:rPr>
        <w:commentReference w:id="32"/>
      </w:r>
    </w:p>
    <w:p>
      <w:pPr>
        <w:numPr>
          <w:ilvl w:val="0"/>
          <w:numId w:val="1"/>
        </w:numPr>
      </w:pPr>
      <w:commentRangeStart w:id="33"/>
      <w:r>
        <w:rPr>
          <w:highlight w:val="yellow"/>
        </w:rPr>
        <w:t>PARK S, et al. Operationalizing cultural ecosystem services in urban green planning: a systematic review[J]. Frontiers in Sustainable Cities, 2026. DOI:10.3389/frsc.2026.1768123.</w:t>
      </w:r>
      <w:commentRangeEnd w:id="33"/>
      <w:r>
        <w:rPr>
          <w:rStyle w:val="CommentReference"/>
        </w:rPr>
        <w:commentReference w:id="33"/>
      </w:r>
    </w:p>
    <w:p>
      <w:pPr>
        <w:numPr>
          <w:ilvl w:val="0"/>
          <w:numId w:val="1"/>
        </w:numPr>
      </w:pPr>
      <w:commentRangeStart w:id="34"/>
      <w:r>
        <w:rPr>
          <w:highlight w:val="yellow"/>
        </w:rPr>
        <w:t>OPENAI. OpenAI GPT-4.5 system card[EB/OL]. (2025-02-27)[2026-06-01]. https://openai.com/index/gpt-4-5-system-card/.</w:t>
      </w:r>
      <w:commentRangeEnd w:id="34"/>
      <w:r>
        <w:rPr>
          <w:rStyle w:val="CommentReference"/>
        </w:rPr>
        <w:commentReference w:id="34"/>
      </w:r>
    </w:p>
    <w:p>
      <w:pPr>
        <w:numPr>
          <w:ilvl w:val="0"/>
          <w:numId w:val="1"/>
        </w:numPr>
      </w:pPr>
      <w:commentRangeStart w:id="35"/>
      <w:r>
        <w:rPr>
          <w:highlight w:val="yellow"/>
        </w:rPr>
        <w:t>BROWN T B, MANN B, RYDER N, et al. Language models are few-shot learners[C]//Advances in Neural Information Processing Systems. 2020, 33: 1877-1901.</w:t>
      </w:r>
      <w:commentRangeEnd w:id="35"/>
      <w:r>
        <w:rPr>
          <w:rStyle w:val="CommentReference"/>
        </w:rPr>
        <w:commentReference w:id="35"/>
      </w:r>
    </w:p>
    <w:p>
      <w:pPr>
        <w:numPr>
          <w:ilvl w:val="0"/>
          <w:numId w:val="1"/>
        </w:numPr>
      </w:pPr>
      <w:commentRangeStart w:id="36"/>
      <w:r>
        <w:rPr>
          <w:highlight w:val="yellow"/>
        </w:rPr>
        <w:t>ZHENG S W, REN Y Y, ZHU C Y, et al. Quantifying cultural ecosystem services in urban parks using social media and large language models: insights for Beijing's Garden City initiative[J]. Urban Forestry &amp; Urban Greening, 2026: 129263. DOI:10.1016/j.ufug.2026.129263.</w:t>
      </w:r>
      <w:commentRangeEnd w:id="36"/>
      <w:r>
        <w:rPr>
          <w:rStyle w:val="CommentReference"/>
        </w:rPr>
        <w:commentReference w:id="36"/>
      </w:r>
    </w:p>
    <w:p>
      <w:pPr>
        <w:numPr>
          <w:ilvl w:val="0"/>
          <w:numId w:val="1"/>
        </w:numPr>
      </w:pPr>
      <w:commentRangeStart w:id="37"/>
      <w:r>
        <w:rPr>
          <w:highlight w:val="yellow"/>
        </w:rPr>
        <w:t>ZHAO Z R, MA Z H, CHEN B Y, et al. Understanding public perceptions of cultural ecosystem services in urban coastal wetland ecological restoration areas: a social media-based large language model approach[J]. Journal of Environmental Management, 2026: 128816. DOI:10.1016/j.jenvman.2026.128816.</w:t>
      </w:r>
      <w:commentRangeEnd w:id="37"/>
      <w:r>
        <w:rPr>
          <w:rStyle w:val="CommentReference"/>
        </w:rPr>
        <w:commentReference w:id="37"/>
      </w:r>
    </w:p>
    <w:p>
      <w:pPr>
        <w:numPr>
          <w:ilvl w:val="0"/>
          <w:numId w:val="1"/>
        </w:numPr>
      </w:pPr>
      <w:commentRangeStart w:id="38"/>
      <w:r>
        <w:rPr>
          <w:highlight w:val="yellow"/>
        </w:rPr>
        <w:t>百度智能云. NLP-Python-SDK：情感倾向分析[EB/OL]. [2026-06-01]. https://cloud.baidu.com/doc/NLP/s/tk6z52b9z.</w:t>
      </w:r>
      <w:commentRangeEnd w:id="38"/>
      <w:r>
        <w:rPr>
          <w:rStyle w:val="CommentReference"/>
        </w:rPr>
        <w:commentReference w:id="38"/>
      </w:r>
    </w:p>
    <w:p>
      <w:pPr>
        <w:numPr>
          <w:ilvl w:val="0"/>
          <w:numId w:val="1"/>
        </w:numPr>
      </w:pPr>
      <w:commentRangeStart w:id="39"/>
      <w:r>
        <w:rPr>
          <w:highlight w:val="yellow"/>
        </w:rPr>
        <w:t>百度智能云. 情感倾向分析_情感倾向分析算法[EB/OL]. [2026-06-01]. https://cloud.baidu.com/product/nlp_apply/sentiment_classify.</w:t>
      </w:r>
      <w:commentRangeEnd w:id="39"/>
      <w:r>
        <w:rPr>
          <w:rStyle w:val="CommentReference"/>
        </w:rPr>
        <w:commentReference w:id="39"/>
      </w:r>
    </w:p>
    <w:p w14:paraId="2C354BA5">
      <w:pPr>
        <w:ind w:firstLine="0" w:firstLineChars="0"/>
        <w:rPr>
          <w:rFonts w:hint="eastAsia" w:ascii="Times New Roman" w:hAnsi="Times New Roman" w:eastAsia="宋体" w:cs="Times New Roman"/>
          <w:b/>
          <w:szCs w:val="21"/>
          <w:highlight w:val="none"/>
          <w:lang w:eastAsia="zh-CN"/>
        </w:rPr>
      </w:pPr>
      <w:commentRangeStart w:id="27"/>
      <w:r>
        <w:rPr>
          <w:highlight w:val="yellow"/>
        </w:rPr>
        <w:t>图表来源(Sources of Figures and Tables)</w:t>
      </w:r>
      <w:commentRangeEnd w:id="27"/>
      <w:r>
        <w:rPr>
          <w:rStyle w:val="CommentReference"/>
        </w:rPr>
        <w:commentReference w:id="27"/>
      </w:r>
      <w:r>
        <w:t>：</w:t>
      </w:r>
    </w:p>
    <w:p w14:paraId="246D6CEB">
      <w:pPr>
        <w:wordWrap w:val="0"/>
        <w:ind w:firstLine="0" w:firstLineChars="0"/>
        <w:rPr>
          <w:rFonts w:hint="eastAsia" w:ascii="Times New Roman" w:hAnsi="Times New Roman" w:eastAsia="宋体" w:cs="Times New Roman"/>
          <w:szCs w:val="21"/>
          <w:highlight w:val="none"/>
          <w:lang w:eastAsia="zh-CN"/>
        </w:rPr>
      </w:pPr>
      <w:r>
        <w:rPr>
          <w:rFonts w:ascii="Times New Roman" w:hAnsi="Times New Roman" w:eastAsia="宋体" w:cs="Times New Roman"/>
          <w:szCs w:val="21"/>
          <w:highlight w:val="none"/>
        </w:rPr>
        <w:t>图</w:t>
      </w:r>
      <w:r>
        <w:rPr>
          <w:rFonts w:hint="eastAsia" w:ascii="Times New Roman" w:hAnsi="Times New Roman" w:eastAsia="宋体" w:cs="Times New Roman"/>
          <w:szCs w:val="21"/>
          <w:highlight w:val="none"/>
          <w:lang w:val="en-US" w:eastAsia="zh-CN"/>
        </w:rPr>
        <w:t>、表均</w:t>
      </w:r>
      <w:r>
        <w:rPr>
          <w:rFonts w:ascii="Times New Roman" w:hAnsi="Times New Roman" w:eastAsia="宋体" w:cs="Times New Roman"/>
          <w:szCs w:val="21"/>
          <w:highlight w:val="none"/>
        </w:rPr>
        <w:t>由作者绘制</w:t>
      </w:r>
      <w:r>
        <w:rPr>
          <w:rFonts w:hint="eastAsia" w:ascii="Times New Roman" w:hAnsi="Times New Roman" w:eastAsia="宋体" w:cs="Times New Roman"/>
          <w:szCs w:val="21"/>
          <w:highlight w:val="none"/>
          <w:lang w:eastAsia="zh-CN"/>
        </w:rPr>
        <w:t>；</w:t>
      </w:r>
    </w:p>
    <w:p w14:paraId="43A578B2">
      <w:pPr>
        <w:widowControl/>
        <w:rPr>
          <w:rFonts w:ascii="Times New Roman" w:hAnsi="Times New Roman" w:eastAsia="宋体" w:cs="Times New Roman"/>
          <w:color w:val="FF0000"/>
          <w:highlight w:val="none"/>
        </w:rPr>
      </w:pPr>
    </w:p>
    <w:p w14:paraId="0450855E">
      <w:pPr>
        <w:rPr>
          <w:rFonts w:ascii="Times New Roman" w:hAnsi="Times New Roman" w:eastAsia="宋体" w:cs="Times New Roman"/>
          <w:highlight w:val="none"/>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dex" w:initials="CX" w:date="2026-06-01T08:15:43Z">
    <w:p>
      <w:pPr>
        <w:pStyle w:val="CommentText"/>
      </w:pPr>
      <w:r>
        <w:rPr>
          <w:rStyle w:val="CommentReference"/>
        </w:rPr>
        <w:annotationRef/>
      </w:r>
      <w:r>
        <w:t>清理不可见字符或不间断空格，避免投稿排版和查重系统误读。</w:t>
      </w:r>
    </w:p>
  </w:comment>
  <w:comment w:id="1" w:author="Codex" w:initials="CX" w:date="2026-06-01T08:15:43Z">
    <w:p>
      <w:pPr>
        <w:pStyle w:val="CommentText"/>
      </w:pPr>
      <w:r>
        <w:rPr>
          <w:rStyle w:val="CommentReference"/>
        </w:rPr>
        <w:annotationRef/>
      </w:r>
      <w:r>
        <w:t>清理不可见字符或不间断空格，避免投稿排版和查重系统误读。</w:t>
      </w:r>
    </w:p>
  </w:comment>
  <w:comment w:id="2" w:author="Codex" w:initials="CX" w:date="2026-06-01T08:15:43Z">
    <w:p>
      <w:pPr>
        <w:pStyle w:val="CommentText"/>
      </w:pPr>
      <w:r>
        <w:rPr>
          <w:rStyle w:val="CommentReference"/>
        </w:rPr>
        <w:annotationRef/>
      </w:r>
      <w:r>
        <w:t>清理不可见字符或不间断空格，避免投稿排版和查重系统误读。</w:t>
      </w:r>
    </w:p>
  </w:comment>
  <w:comment w:id="3" w:author="Codex" w:initials="CX" w:date="2026-06-01T08:15:43Z">
    <w:p>
      <w:pPr>
        <w:pStyle w:val="CommentText"/>
      </w:pPr>
      <w:r>
        <w:rPr>
          <w:rStyle w:val="CommentReference"/>
        </w:rPr>
        <w:annotationRef/>
      </w:r>
      <w:r>
        <w:t>清理不可见字符或不间断空格，避免投稿排版和查重系统误读。</w:t>
      </w:r>
    </w:p>
  </w:comment>
  <w:comment w:id="4" w:author="Codex" w:initials="CX" w:date="2026-06-01T08:15:44Z">
    <w:p>
      <w:pPr>
        <w:pStyle w:val="CommentText"/>
      </w:pPr>
      <w:r>
        <w:rPr>
          <w:rStyle w:val="CommentReference"/>
        </w:rPr>
        <w:annotationRef/>
      </w:r>
      <w:r>
        <w:t>清理不可见字符或不间断空格，避免投稿排版和查重系统误读。</w:t>
      </w:r>
    </w:p>
  </w:comment>
  <w:comment w:id="5" w:author="Codex" w:initials="CX" w:date="2026-06-01T08:15:44Z">
    <w:p>
      <w:pPr>
        <w:pStyle w:val="CommentText"/>
      </w:pPr>
      <w:r>
        <w:rPr>
          <w:rStyle w:val="CommentReference"/>
        </w:rPr>
        <w:annotationRef/>
      </w:r>
      <w:r>
        <w:t>清理不可见字符或不间断空格，避免投稿排版和查重系统误读。</w:t>
      </w:r>
    </w:p>
  </w:comment>
  <w:comment w:id="6" w:author="Codex" w:initials="CX" w:date="2026-06-01T08:15:44Z">
    <w:p>
      <w:pPr>
        <w:pStyle w:val="CommentText"/>
      </w:pPr>
      <w:r>
        <w:rPr>
          <w:rStyle w:val="CommentReference"/>
        </w:rPr>
        <w:annotationRef/>
      </w:r>
      <w:r>
        <w:t>清理不可见字符或不间断空格，避免投稿排版和查重系统误读。</w:t>
      </w:r>
    </w:p>
  </w:comment>
  <w:comment w:id="7" w:author="Codex" w:initials="CX" w:date="2026-06-01T08:15:44Z">
    <w:p>
      <w:pPr>
        <w:pStyle w:val="CommentText"/>
      </w:pPr>
      <w:r>
        <w:rPr>
          <w:rStyle w:val="CommentReference"/>
        </w:rPr>
        <w:annotationRef/>
      </w:r>
      <w:r>
        <w:t>清理不可见字符或不间断空格，避免投稿排版和查重系统误读。</w:t>
      </w:r>
    </w:p>
  </w:comment>
  <w:comment w:id="8" w:author="Codex" w:initials="CX" w:date="2026-06-01T08:15:44Z">
    <w:p>
      <w:pPr>
        <w:pStyle w:val="CommentText"/>
      </w:pPr>
      <w:r>
        <w:rPr>
          <w:rStyle w:val="CommentReference"/>
        </w:rPr>
        <w:annotationRef/>
      </w:r>
      <w:r>
        <w:t>清理不可见字符或不间断空格，避免投稿排版和查重系统误读。</w:t>
      </w:r>
    </w:p>
  </w:comment>
  <w:comment w:id="9" w:author="Codex" w:initials="CX" w:date="2026-06-01T08:15:44Z">
    <w:p>
      <w:pPr>
        <w:pStyle w:val="CommentText"/>
      </w:pPr>
      <w:r>
        <w:rPr>
          <w:rStyle w:val="CommentReference"/>
        </w:rPr>
        <w:annotationRef/>
      </w:r>
      <w:r>
        <w:t>清理不可见字符或不间断空格，避免投稿排版和查重系统误读。</w:t>
      </w:r>
    </w:p>
  </w:comment>
  <w:comment w:id="10" w:author="Codex" w:initials="CX" w:date="2026-06-01T08:15:44Z">
    <w:p>
      <w:pPr>
        <w:pStyle w:val="CommentText"/>
      </w:pPr>
      <w:r>
        <w:rPr>
          <w:rStyle w:val="CommentReference"/>
        </w:rPr>
        <w:annotationRef/>
      </w:r>
      <w:r>
        <w:t>清理不可见字符或不间断空格，避免投稿排版和查重系统误读。</w:t>
      </w:r>
    </w:p>
  </w:comment>
  <w:comment w:id="11" w:author="Codex" w:initials="CX" w:date="2026-06-01T08:15:44Z">
    <w:p>
      <w:pPr>
        <w:pStyle w:val="CommentText"/>
      </w:pPr>
      <w:r>
        <w:rPr>
          <w:rStyle w:val="CommentReference"/>
        </w:rPr>
        <w:annotationRef/>
      </w:r>
      <w:r>
        <w:t>清理不可见字符或不间断空格，避免投稿排版和查重系统误读。</w:t>
      </w:r>
    </w:p>
  </w:comment>
  <w:comment w:id="12" w:author="Codex" w:initials="CX" w:date="2026-06-01T08:15:44Z">
    <w:p>
      <w:pPr>
        <w:pStyle w:val="CommentText"/>
      </w:pPr>
      <w:r>
        <w:rPr>
          <w:rStyle w:val="CommentReference"/>
        </w:rPr>
        <w:annotationRef/>
      </w:r>
      <w:r>
        <w:t>清理不可见字符或不间断空格，避免投稿排版和查重系统误读。</w:t>
      </w:r>
    </w:p>
  </w:comment>
  <w:comment w:id="13" w:author="Codex" w:initials="CX" w:date="2026-06-01T08:15:44Z">
    <w:p>
      <w:pPr>
        <w:pStyle w:val="CommentText"/>
      </w:pPr>
      <w:r>
        <w:rPr>
          <w:rStyle w:val="CommentReference"/>
        </w:rPr>
        <w:annotationRef/>
      </w:r>
      <w:r>
        <w:t>清理不可见字符或不间断空格，避免投稿排版和查重系统误读。</w:t>
      </w:r>
    </w:p>
  </w:comment>
  <w:comment w:id="14" w:author="Codex" w:initials="CX" w:date="2026-06-01T08:15:44Z">
    <w:p>
      <w:pPr>
        <w:pStyle w:val="CommentText"/>
      </w:pPr>
      <w:r>
        <w:rPr>
          <w:rStyle w:val="CommentReference"/>
        </w:rPr>
        <w:annotationRef/>
      </w:r>
      <w:r>
        <w:t>清理不可见字符或不间断空格，避免投稿排版和查重系统误读。</w:t>
      </w:r>
    </w:p>
  </w:comment>
  <w:comment w:id="15" w:author="Codex" w:initials="CX" w:date="2026-06-01T08:15:44Z">
    <w:p>
      <w:pPr>
        <w:pStyle w:val="CommentText"/>
      </w:pPr>
      <w:r>
        <w:rPr>
          <w:rStyle w:val="CommentReference"/>
        </w:rPr>
        <w:annotationRef/>
      </w:r>
      <w:r>
        <w:t>英文结构式摘要小标题后缺空格。</w:t>
      </w:r>
    </w:p>
  </w:comment>
  <w:comment w:id="16" w:author="Codex" w:initials="CX" w:date="2026-06-01T08:15:44Z">
    <w:p>
      <w:pPr>
        <w:pStyle w:val="CommentText"/>
      </w:pPr>
      <w:r>
        <w:rPr>
          <w:rStyle w:val="CommentReference"/>
        </w:rPr>
        <w:annotationRef/>
      </w:r>
      <w:r>
        <w:t>英文结构式摘要小标题后缺空格。</w:t>
      </w:r>
    </w:p>
  </w:comment>
  <w:comment w:id="17" w:author="Codex" w:initials="CX" w:date="2026-06-01T08:15:44Z">
    <w:p>
      <w:pPr>
        <w:pStyle w:val="CommentText"/>
      </w:pPr>
      <w:r>
        <w:rPr>
          <w:rStyle w:val="CommentReference"/>
        </w:rPr>
        <w:annotationRef/>
      </w:r>
      <w:r>
        <w:t>英文图号格式统一为空格形式。</w:t>
      </w:r>
    </w:p>
  </w:comment>
  <w:comment w:id="18" w:author="Codex" w:initials="CX" w:date="2026-06-01T08:15:44Z">
    <w:p>
      <w:pPr>
        <w:pStyle w:val="CommentText"/>
      </w:pPr>
      <w:r>
        <w:rPr>
          <w:rStyle w:val="CommentReference"/>
        </w:rPr>
        <w:annotationRef/>
      </w:r>
      <w:r>
        <w:t>英文表号格式不应写作 Table.1:，改为常见题名格式。</w:t>
      </w:r>
    </w:p>
  </w:comment>
  <w:comment w:id="19" w:author="Codex" w:initials="CX" w:date="2026-06-01T08:15:44Z">
    <w:p>
      <w:pPr>
        <w:pStyle w:val="CommentText"/>
      </w:pPr>
      <w:r>
        <w:rPr>
          <w:rStyle w:val="CommentReference"/>
        </w:rPr>
        <w:annotationRef/>
      </w:r>
      <w:r>
        <w:t>英文表号格式统一为空格形式。</w:t>
      </w:r>
    </w:p>
  </w:comment>
  <w:comment w:id="20" w:author="Codex" w:initials="CX" w:date="2026-06-01T08:15:44Z">
    <w:p>
      <w:pPr>
        <w:pStyle w:val="CommentText"/>
      </w:pPr>
      <w:r>
        <w:rPr>
          <w:rStyle w:val="CommentReference"/>
        </w:rPr>
        <w:annotationRef/>
      </w:r>
      <w:r>
        <w:t>作者引用格式不规范，Mónica 是名不是规范学术引用姓氏。</w:t>
      </w:r>
    </w:p>
  </w:comment>
  <w:comment w:id="21" w:author="Codex" w:initials="CX" w:date="2026-06-01T08:15:44Z">
    <w:p>
      <w:pPr>
        <w:pStyle w:val="CommentText"/>
      </w:pPr>
      <w:r>
        <w:rPr>
          <w:rStyle w:val="CommentReference"/>
        </w:rPr>
        <w:annotationRef/>
      </w:r>
      <w:r>
        <w:t>中文参考文献作者名不应中英文混排，按中文题录格式统一。</w:t>
      </w:r>
    </w:p>
  </w:comment>
  <w:comment w:id="22" w:author="Codex" w:initials="CX" w:date="2026-06-01T08:15:44Z">
    <w:p>
      <w:pPr>
        <w:pStyle w:val="CommentText"/>
      </w:pPr>
      <w:r>
        <w:rPr>
          <w:rStyle w:val="CommentReference"/>
        </w:rPr>
        <w:annotationRef/>
      </w:r>
      <w:r>
        <w:t>原公式在 Word 公式对象中缺少除号，已改为提及次数除以评论总数。</w:t>
      </w:r>
    </w:p>
  </w:comment>
  <w:comment w:id="23" w:author="Codex" w:initials="CX" w:date="2026-06-01T08:15:44Z">
    <w:p>
      <w:pPr>
        <w:pStyle w:val="CommentText"/>
      </w:pPr>
      <w:r>
        <w:rPr>
          <w:rStyle w:val="CommentReference"/>
        </w:rPr>
        <w:annotationRef/>
      </w:r>
      <w:r>
        <w:t>原句把平台通用能力等同于本文语料准确率，证据不足；改为官方接口参数说明，并提示需要本地验证。</w:t>
      </w:r>
    </w:p>
  </w:comment>
  <w:comment w:id="24" w:author="Codex" w:initials="CX" w:date="2026-06-01T08:15:44Z">
    <w:p>
      <w:pPr>
        <w:pStyle w:val="CommentText"/>
      </w:pPr>
      <w:r>
        <w:rPr>
          <w:rStyle w:val="CommentReference"/>
        </w:rPr>
        <w:annotationRef/>
      </w:r>
      <w:r>
        <w:t>新增 CES 供需、城市公园感知差异、社交媒体 CES 综述和规划应用文献。</w:t>
      </w:r>
    </w:p>
  </w:comment>
  <w:comment w:id="25" w:author="Codex" w:initials="CX" w:date="2026-06-01T08:15:44Z">
    <w:p>
      <w:pPr>
        <w:pStyle w:val="CommentText"/>
      </w:pPr>
      <w:r>
        <w:rPr>
          <w:rStyle w:val="CommentReference"/>
        </w:rPr>
        <w:annotationRef/>
      </w:r>
      <w:r>
        <w:t>该样本量与后文 500 条验证集、5%候选句复核口径不同，需作者明确各自用途。</w:t>
      </w:r>
    </w:p>
  </w:comment>
  <w:comment w:id="26" w:author="Codex" w:initials="CX" w:date="2026-06-01T08:15:44Z">
    <w:p>
      <w:pPr>
        <w:pStyle w:val="CommentText"/>
      </w:pPr>
      <w:r>
        <w:rPr>
          <w:rStyle w:val="CommentReference"/>
        </w:rPr>
        <w:annotationRef/>
      </w:r>
      <w:r>
        <w:t>低需低供与回归显著正向结果需要解释时间尺度差异：当前不是短板，但可能是长期品质提升方向。</w:t>
      </w:r>
    </w:p>
  </w:comment>
  <w:comment w:id="27" w:author="Codex" w:initials="CX" w:date="2026-06-01T08:15:44Z">
    <w:p>
      <w:pPr>
        <w:pStyle w:val="CommentText"/>
      </w:pPr>
      <w:r>
        <w:rPr>
          <w:rStyle w:val="CommentReference"/>
        </w:rPr>
        <w:annotationRef/>
      </w:r>
      <w:r>
        <w:t>请确认目标期刊是否要求中英文图表来源说明；若不要求可删除。</w:t>
      </w:r>
    </w:p>
  </w:comment>
  <w:comment w:id="28" w:author="Codex" w:initials="CX" w:date="2026-06-01T08:15:44Z">
    <w:p>
      <w:pPr>
        <w:pStyle w:val="CommentText"/>
      </w:pPr>
      <w:r>
        <w:rPr>
          <w:rStyle w:val="CommentReference"/>
        </w:rPr>
        <w:annotationRef/>
      </w:r>
      <w:r>
        <w:t>该英文题录是上一条中文文献的译文，不应独立占用参考文献编号；已取消其自动编号，正文 [4-5] 可对应两条中文百姓园林文献。</w:t>
      </w:r>
    </w:p>
  </w:comment>
  <w:comment w:id="29" w:author="Codex" w:initials="CX" w:date="2026-06-01T08:15:44Z">
    <w:p>
      <w:pPr>
        <w:pStyle w:val="CommentText"/>
      </w:pPr>
      <w:r>
        <w:rPr>
          <w:rStyle w:val="CommentReference"/>
        </w:rPr>
        <w:annotationRef/>
      </w:r>
      <w:r>
        <w:t>DeepSeek-R1 已有 Nature 正式论文，优先用正式发表来源替换 arXiv 预印本。</w:t>
      </w:r>
    </w:p>
  </w:comment>
  <w:comment w:id="30" w:author="Codex" w:initials="CX" w:date="2026-06-01T08:15:44Z">
    <w:p>
      <w:pPr>
        <w:pStyle w:val="CommentText"/>
      </w:pPr>
      <w:r>
        <w:rPr>
          <w:rStyle w:val="CommentReference"/>
        </w:rPr>
        <w:annotationRef/>
      </w:r>
      <w:r>
        <w:t>新增参考文献，采用 GB/T 7714-2025 预排格式；正式投稿仍需按期刊模板复核编号。</w:t>
      </w:r>
    </w:p>
  </w:comment>
  <w:comment w:id="31" w:author="Codex" w:initials="CX" w:date="2026-06-01T08:15:44Z">
    <w:p>
      <w:pPr>
        <w:pStyle w:val="CommentText"/>
      </w:pPr>
      <w:r>
        <w:rPr>
          <w:rStyle w:val="CommentReference"/>
        </w:rPr>
        <w:annotationRef/>
      </w:r>
      <w:r>
        <w:t>新增参考文献，采用 GB/T 7714-2025 预排格式；正式投稿仍需按期刊模板复核编号。</w:t>
      </w:r>
    </w:p>
  </w:comment>
  <w:comment w:id="32" w:author="Codex" w:initials="CX" w:date="2026-06-01T08:15:44Z">
    <w:p>
      <w:pPr>
        <w:pStyle w:val="CommentText"/>
      </w:pPr>
      <w:r>
        <w:rPr>
          <w:rStyle w:val="CommentReference"/>
        </w:rPr>
        <w:annotationRef/>
      </w:r>
      <w:r>
        <w:t>新增参考文献，采用 GB/T 7714-2025 预排格式；正式投稿仍需按期刊模板复核编号。</w:t>
      </w:r>
    </w:p>
  </w:comment>
  <w:comment w:id="33" w:author="Codex" w:initials="CX" w:date="2026-06-01T08:15:44Z">
    <w:p>
      <w:pPr>
        <w:pStyle w:val="CommentText"/>
      </w:pPr>
      <w:r>
        <w:rPr>
          <w:rStyle w:val="CommentReference"/>
        </w:rPr>
        <w:annotationRef/>
      </w:r>
      <w:r>
        <w:t>新增参考文献，采用 GB/T 7714-2025 预排格式；正式投稿仍需按期刊模板复核编号。</w:t>
      </w:r>
    </w:p>
  </w:comment>
  <w:comment w:id="34" w:author="Codex" w:initials="CX" w:date="2026-06-01T08:15:44Z">
    <w:p>
      <w:pPr>
        <w:pStyle w:val="CommentText"/>
      </w:pPr>
      <w:r>
        <w:rPr>
          <w:rStyle w:val="CommentReference"/>
        </w:rPr>
        <w:annotationRef/>
      </w:r>
      <w:r>
        <w:t>新增参考文献，采用 GB/T 7714-2025 预排格式；正式投稿仍需按期刊模板复核编号。</w:t>
      </w:r>
    </w:p>
  </w:comment>
  <w:comment w:id="35" w:author="Codex" w:initials="CX" w:date="2026-06-01T08:15:44Z">
    <w:p>
      <w:pPr>
        <w:pStyle w:val="CommentText"/>
      </w:pPr>
      <w:r>
        <w:rPr>
          <w:rStyle w:val="CommentReference"/>
        </w:rPr>
        <w:annotationRef/>
      </w:r>
      <w:r>
        <w:t>新增参考文献，采用 GB/T 7714-2025 预排格式；正式投稿仍需按期刊模板复核编号。</w:t>
      </w:r>
    </w:p>
  </w:comment>
  <w:comment w:id="36" w:author="Codex" w:initials="CX" w:date="2026-06-01T08:15:44Z">
    <w:p>
      <w:pPr>
        <w:pStyle w:val="CommentText"/>
      </w:pPr>
      <w:r>
        <w:rPr>
          <w:rStyle w:val="CommentReference"/>
        </w:rPr>
        <w:annotationRef/>
      </w:r>
      <w:r>
        <w:t>新增参考文献，采用 GB/T 7714-2025 预排格式；正式投稿仍需按期刊模板复核编号。</w:t>
      </w:r>
    </w:p>
  </w:comment>
  <w:comment w:id="37" w:author="Codex" w:initials="CX" w:date="2026-06-01T08:15:44Z">
    <w:p>
      <w:pPr>
        <w:pStyle w:val="CommentText"/>
      </w:pPr>
      <w:r>
        <w:rPr>
          <w:rStyle w:val="CommentReference"/>
        </w:rPr>
        <w:annotationRef/>
      </w:r>
      <w:r>
        <w:t>新增参考文献，采用 GB/T 7714-2025 预排格式；正式投稿仍需按期刊模板复核编号。</w:t>
      </w:r>
    </w:p>
  </w:comment>
  <w:comment w:id="38" w:author="Codex" w:initials="CX" w:date="2026-06-01T08:15:44Z">
    <w:p>
      <w:pPr>
        <w:pStyle w:val="CommentText"/>
      </w:pPr>
      <w:r>
        <w:rPr>
          <w:rStyle w:val="CommentReference"/>
        </w:rPr>
        <w:annotationRef/>
      </w:r>
      <w:r>
        <w:t>新增参考文献，采用 GB/T 7714-2025 预排格式；正式投稿仍需按期刊模板复核编号。</w:t>
      </w:r>
    </w:p>
  </w:comment>
  <w:comment w:id="39" w:author="Codex" w:initials="CX" w:date="2026-06-01T08:15:44Z">
    <w:p>
      <w:pPr>
        <w:pStyle w:val="CommentText"/>
      </w:pPr>
      <w:r>
        <w:rPr>
          <w:rStyle w:val="CommentReference"/>
        </w:rPr>
        <w:annotationRef/>
      </w:r>
      <w:r>
        <w:t>新增参考文献，采用 GB/T 7714-2025 预排格式；正式投稿仍需按期刊模板复核编号。</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兰亭纤黑_GBK">
    <w:altName w:val="微软雅黑"/>
    <w:panose1 w:val="02000000000000000000"/>
    <w:charset w:val="86"/>
    <w:family w:val="auto"/>
    <w:pitch w:val="default"/>
    <w:sig w:usb0="00000000" w:usb1="00000000" w:usb2="00000010" w:usb3="00000000" w:csb0="00040000" w:csb1="00000000"/>
  </w:font>
  <w:font w:name="方正兰亭准黑_GBK">
    <w:altName w:val="黑体"/>
    <w:panose1 w:val="02000000000000000000"/>
    <w:charset w:val="86"/>
    <w:family w:val="auto"/>
    <w:pitch w:val="default"/>
    <w:sig w:usb0="00000000" w:usb1="00000000" w:usb2="00082016" w:usb3="00000000" w:csb0="00040000" w:csb1="00000000"/>
  </w:font>
  <w:font w:name="方正中等线简体">
    <w:altName w:val="宋体"/>
    <w:panose1 w:val="00000000000000000000"/>
    <w:charset w:val="86"/>
    <w:family w:val="script"/>
    <w:pitch w:val="default"/>
    <w:sig w:usb0="00000000" w:usb1="00000000" w:usb2="00000010" w:usb3="00000000" w:csb0="00040000"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egoe UI Light">
    <w:panose1 w:val="020B0502040204020203"/>
    <w:charset w:val="00"/>
    <w:family w:val="auto"/>
    <w:pitch w:val="default"/>
    <w:sig w:usb0="E4002EFF" w:usb1="C000E47F" w:usb2="00000009" w:usb3="00000000" w:csb0="200001FF" w:csb1="00000000"/>
  </w:font>
  <w:font w:name="方正兰亭中黑_GBK">
    <w:altName w:val="黑体"/>
    <w:panose1 w:val="02000000000000000000"/>
    <w:charset w:val="86"/>
    <w:family w:val="auto"/>
    <w:pitch w:val="default"/>
    <w:sig w:usb0="00000000" w:usb1="00000000" w:usb2="00082016" w:usb3="00000000" w:csb0="00040000" w:csb1="00000000"/>
  </w:font>
  <w:font w:name="Arial">
    <w:panose1 w:val="020B0604020202020204"/>
    <w:charset w:val="00"/>
    <w:family w:val="auto"/>
    <w:pitch w:val="default"/>
    <w:sig w:usb0="E0002EFF" w:usb1="C000785B" w:usb2="00000009" w:usb3="00000000" w:csb0="400001FF" w:csb1="FFFF0000"/>
  </w:font>
  <w:font w:name="HelveticaNeueLTPro-Md">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E2B23">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D010F">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937AE">
    <w:pPr>
      <w:pStyle w:val="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20"/>
      </w:pPr>
      <w:r>
        <w:separator/>
      </w:r>
    </w:p>
  </w:footnote>
  <w:footnote w:type="continuationSeparator" w:id="1">
    <w:p>
      <w:pPr>
        <w:spacing w:line="30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80AB7">
    <w:pPr>
      <w:pStyle w:val="9"/>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65210">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FC609">
    <w:pPr>
      <w:pStyle w:val="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7ACFD5"/>
    <w:multiLevelType w:val="singleLevel"/>
    <w:tmpl w:val="FF7ACFD5"/>
    <w:lvl w:ilvl="0" w:tentative="0">
      <w:start w:val="1"/>
      <w:numFmt w:val="decimal"/>
      <w:suff w:val="nothing"/>
      <w:lvlText w:val="[%1]"/>
      <w:lvlJc w:val="left"/>
      <w:pPr>
        <w:ind w:left="0" w:firstLine="0"/>
      </w:pPr>
      <w:rPr>
        <w:rFonts w:hint="default" w:ascii="Times New Roman" w:hAnsi="Times New Roman"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501B"/>
    <w:rsid w:val="00032E45"/>
    <w:rsid w:val="0006337B"/>
    <w:rsid w:val="00073961"/>
    <w:rsid w:val="0013726F"/>
    <w:rsid w:val="001F7507"/>
    <w:rsid w:val="00263315"/>
    <w:rsid w:val="002B25AC"/>
    <w:rsid w:val="003312E8"/>
    <w:rsid w:val="003944D4"/>
    <w:rsid w:val="003E057D"/>
    <w:rsid w:val="004C11F2"/>
    <w:rsid w:val="00550B77"/>
    <w:rsid w:val="00596877"/>
    <w:rsid w:val="006B1B0A"/>
    <w:rsid w:val="006B6608"/>
    <w:rsid w:val="007743EB"/>
    <w:rsid w:val="007B625C"/>
    <w:rsid w:val="007B79AC"/>
    <w:rsid w:val="007D6A53"/>
    <w:rsid w:val="00811764"/>
    <w:rsid w:val="00A7030C"/>
    <w:rsid w:val="00A8501B"/>
    <w:rsid w:val="00B84E29"/>
    <w:rsid w:val="00C05EC7"/>
    <w:rsid w:val="00C56BBE"/>
    <w:rsid w:val="00CB1EBB"/>
    <w:rsid w:val="00D5290C"/>
    <w:rsid w:val="00D86735"/>
    <w:rsid w:val="00D92250"/>
    <w:rsid w:val="00DE4397"/>
    <w:rsid w:val="00E865C2"/>
    <w:rsid w:val="00F52A8D"/>
    <w:rsid w:val="00F8404D"/>
    <w:rsid w:val="00FD16EC"/>
    <w:rsid w:val="010356B7"/>
    <w:rsid w:val="01463644"/>
    <w:rsid w:val="01810503"/>
    <w:rsid w:val="019B4930"/>
    <w:rsid w:val="01E9367B"/>
    <w:rsid w:val="01EA0EF0"/>
    <w:rsid w:val="01ED0EB7"/>
    <w:rsid w:val="01EE19B6"/>
    <w:rsid w:val="02083D37"/>
    <w:rsid w:val="020A0C21"/>
    <w:rsid w:val="026155F3"/>
    <w:rsid w:val="02816CCE"/>
    <w:rsid w:val="02985C5F"/>
    <w:rsid w:val="02B17E86"/>
    <w:rsid w:val="02DB29D5"/>
    <w:rsid w:val="0316119C"/>
    <w:rsid w:val="03222CFC"/>
    <w:rsid w:val="033311CF"/>
    <w:rsid w:val="03552A08"/>
    <w:rsid w:val="0358398D"/>
    <w:rsid w:val="0365741F"/>
    <w:rsid w:val="03792BFF"/>
    <w:rsid w:val="03862F00"/>
    <w:rsid w:val="038C12F2"/>
    <w:rsid w:val="03992B05"/>
    <w:rsid w:val="03B92498"/>
    <w:rsid w:val="041462BE"/>
    <w:rsid w:val="041E464F"/>
    <w:rsid w:val="0446094A"/>
    <w:rsid w:val="044C0C16"/>
    <w:rsid w:val="04557021"/>
    <w:rsid w:val="04945E1D"/>
    <w:rsid w:val="049C7334"/>
    <w:rsid w:val="04A14B9C"/>
    <w:rsid w:val="04A930A7"/>
    <w:rsid w:val="04B34B43"/>
    <w:rsid w:val="04BE7047"/>
    <w:rsid w:val="04C95821"/>
    <w:rsid w:val="04CA48BF"/>
    <w:rsid w:val="04E27C10"/>
    <w:rsid w:val="04FC44D9"/>
    <w:rsid w:val="051A0D14"/>
    <w:rsid w:val="058075B4"/>
    <w:rsid w:val="058E25DF"/>
    <w:rsid w:val="059F550F"/>
    <w:rsid w:val="05AB50DB"/>
    <w:rsid w:val="05AC2B5C"/>
    <w:rsid w:val="05C24554"/>
    <w:rsid w:val="05CF1AFF"/>
    <w:rsid w:val="05DE0DAD"/>
    <w:rsid w:val="05E30AB8"/>
    <w:rsid w:val="05F3756E"/>
    <w:rsid w:val="05F445A3"/>
    <w:rsid w:val="05F509D2"/>
    <w:rsid w:val="05F54488"/>
    <w:rsid w:val="061B5440"/>
    <w:rsid w:val="0662062E"/>
    <w:rsid w:val="0695635D"/>
    <w:rsid w:val="06971C1C"/>
    <w:rsid w:val="06AF3684"/>
    <w:rsid w:val="06B65283"/>
    <w:rsid w:val="06BA455D"/>
    <w:rsid w:val="06DC45F4"/>
    <w:rsid w:val="06DF1DD2"/>
    <w:rsid w:val="06E25862"/>
    <w:rsid w:val="06EC66E0"/>
    <w:rsid w:val="06F6767B"/>
    <w:rsid w:val="070B6B66"/>
    <w:rsid w:val="072916E2"/>
    <w:rsid w:val="072935F3"/>
    <w:rsid w:val="07354BE2"/>
    <w:rsid w:val="074F7D92"/>
    <w:rsid w:val="07691C5A"/>
    <w:rsid w:val="076B1672"/>
    <w:rsid w:val="077639AB"/>
    <w:rsid w:val="078B42EC"/>
    <w:rsid w:val="078D439D"/>
    <w:rsid w:val="078E4413"/>
    <w:rsid w:val="079A6951"/>
    <w:rsid w:val="07CC135B"/>
    <w:rsid w:val="07DB0BF3"/>
    <w:rsid w:val="0802440D"/>
    <w:rsid w:val="08444D9F"/>
    <w:rsid w:val="084E78AD"/>
    <w:rsid w:val="08514A4D"/>
    <w:rsid w:val="0858227F"/>
    <w:rsid w:val="089B48B0"/>
    <w:rsid w:val="089C6D14"/>
    <w:rsid w:val="08A94AB2"/>
    <w:rsid w:val="08B858FD"/>
    <w:rsid w:val="08B87A9D"/>
    <w:rsid w:val="08CF4260"/>
    <w:rsid w:val="08F7318B"/>
    <w:rsid w:val="08FC463B"/>
    <w:rsid w:val="08FF26FB"/>
    <w:rsid w:val="091273FA"/>
    <w:rsid w:val="09157676"/>
    <w:rsid w:val="092C729B"/>
    <w:rsid w:val="0934265E"/>
    <w:rsid w:val="093876D2"/>
    <w:rsid w:val="09485EB3"/>
    <w:rsid w:val="095F1D10"/>
    <w:rsid w:val="09784A1A"/>
    <w:rsid w:val="097D5DA0"/>
    <w:rsid w:val="098A6F7A"/>
    <w:rsid w:val="099519E5"/>
    <w:rsid w:val="09951D4D"/>
    <w:rsid w:val="09A022FC"/>
    <w:rsid w:val="09B14312"/>
    <w:rsid w:val="09B30424"/>
    <w:rsid w:val="09B7159A"/>
    <w:rsid w:val="09C75764"/>
    <w:rsid w:val="09D83F8D"/>
    <w:rsid w:val="09D862D6"/>
    <w:rsid w:val="09EE3458"/>
    <w:rsid w:val="09F54765"/>
    <w:rsid w:val="09FD7A5F"/>
    <w:rsid w:val="0A0356A9"/>
    <w:rsid w:val="0A1F010E"/>
    <w:rsid w:val="0A2D14EA"/>
    <w:rsid w:val="0A36019B"/>
    <w:rsid w:val="0A3A3B56"/>
    <w:rsid w:val="0A40630B"/>
    <w:rsid w:val="0A924098"/>
    <w:rsid w:val="0A963959"/>
    <w:rsid w:val="0AD36ED6"/>
    <w:rsid w:val="0AEA1189"/>
    <w:rsid w:val="0B14713B"/>
    <w:rsid w:val="0B1957C1"/>
    <w:rsid w:val="0B5C5DAA"/>
    <w:rsid w:val="0B6B55CC"/>
    <w:rsid w:val="0B7329D8"/>
    <w:rsid w:val="0B871679"/>
    <w:rsid w:val="0B8D2240"/>
    <w:rsid w:val="0B932F7D"/>
    <w:rsid w:val="0BAE0408"/>
    <w:rsid w:val="0BAF1538"/>
    <w:rsid w:val="0BF01313"/>
    <w:rsid w:val="0BF64289"/>
    <w:rsid w:val="0C007C2F"/>
    <w:rsid w:val="0C0804DB"/>
    <w:rsid w:val="0C104C1F"/>
    <w:rsid w:val="0C186CC1"/>
    <w:rsid w:val="0C1D2D02"/>
    <w:rsid w:val="0C413E05"/>
    <w:rsid w:val="0C4F422A"/>
    <w:rsid w:val="0C5651C9"/>
    <w:rsid w:val="0C646FEE"/>
    <w:rsid w:val="0C8E7D4E"/>
    <w:rsid w:val="0CAE6EDD"/>
    <w:rsid w:val="0CFE7312"/>
    <w:rsid w:val="0D0748F1"/>
    <w:rsid w:val="0D953916"/>
    <w:rsid w:val="0DBB1018"/>
    <w:rsid w:val="0DBE6D1A"/>
    <w:rsid w:val="0DD17CC7"/>
    <w:rsid w:val="0DDD75CE"/>
    <w:rsid w:val="0DFC6602"/>
    <w:rsid w:val="0E1409F6"/>
    <w:rsid w:val="0E172295"/>
    <w:rsid w:val="0E4061E3"/>
    <w:rsid w:val="0E4D120A"/>
    <w:rsid w:val="0E6658A7"/>
    <w:rsid w:val="0EA01E10"/>
    <w:rsid w:val="0EB2255C"/>
    <w:rsid w:val="0ED3619A"/>
    <w:rsid w:val="0F0F6F17"/>
    <w:rsid w:val="0F2C65BE"/>
    <w:rsid w:val="0F4E3FAD"/>
    <w:rsid w:val="0F7A5ED6"/>
    <w:rsid w:val="0F837339"/>
    <w:rsid w:val="0F851480"/>
    <w:rsid w:val="0FA00C42"/>
    <w:rsid w:val="0FA12732"/>
    <w:rsid w:val="100B4360"/>
    <w:rsid w:val="10123B5B"/>
    <w:rsid w:val="1020667C"/>
    <w:rsid w:val="10341683"/>
    <w:rsid w:val="104E4F64"/>
    <w:rsid w:val="106B4B1A"/>
    <w:rsid w:val="109B3D81"/>
    <w:rsid w:val="10B249DD"/>
    <w:rsid w:val="10C15B92"/>
    <w:rsid w:val="10ED2754"/>
    <w:rsid w:val="11060153"/>
    <w:rsid w:val="11390654"/>
    <w:rsid w:val="115A0120"/>
    <w:rsid w:val="11854E8B"/>
    <w:rsid w:val="1186164E"/>
    <w:rsid w:val="11936745"/>
    <w:rsid w:val="11A1591C"/>
    <w:rsid w:val="11CF74C4"/>
    <w:rsid w:val="11D02E16"/>
    <w:rsid w:val="11E86AF6"/>
    <w:rsid w:val="121E6AC5"/>
    <w:rsid w:val="12280E57"/>
    <w:rsid w:val="124F64A1"/>
    <w:rsid w:val="125C0548"/>
    <w:rsid w:val="127C7A20"/>
    <w:rsid w:val="128F21E4"/>
    <w:rsid w:val="12973ED8"/>
    <w:rsid w:val="129D0FF7"/>
    <w:rsid w:val="12BA7692"/>
    <w:rsid w:val="12D74EC5"/>
    <w:rsid w:val="130B008C"/>
    <w:rsid w:val="1311486C"/>
    <w:rsid w:val="133149E8"/>
    <w:rsid w:val="13372B0B"/>
    <w:rsid w:val="136C7283"/>
    <w:rsid w:val="13826402"/>
    <w:rsid w:val="13984071"/>
    <w:rsid w:val="13DA081E"/>
    <w:rsid w:val="13E85907"/>
    <w:rsid w:val="14166484"/>
    <w:rsid w:val="14177739"/>
    <w:rsid w:val="14305E5E"/>
    <w:rsid w:val="146F2E2A"/>
    <w:rsid w:val="148A2BC0"/>
    <w:rsid w:val="14CC5171"/>
    <w:rsid w:val="14E33208"/>
    <w:rsid w:val="15251CCC"/>
    <w:rsid w:val="152C0D1B"/>
    <w:rsid w:val="15995BBE"/>
    <w:rsid w:val="15C54CCC"/>
    <w:rsid w:val="15DA37E6"/>
    <w:rsid w:val="15E102E1"/>
    <w:rsid w:val="15E40FDC"/>
    <w:rsid w:val="15EB3C12"/>
    <w:rsid w:val="16092E0B"/>
    <w:rsid w:val="1616144D"/>
    <w:rsid w:val="16315EBE"/>
    <w:rsid w:val="163A4BA6"/>
    <w:rsid w:val="16824929"/>
    <w:rsid w:val="16B629C4"/>
    <w:rsid w:val="16EF3A7F"/>
    <w:rsid w:val="17051824"/>
    <w:rsid w:val="17576F77"/>
    <w:rsid w:val="177E4ADF"/>
    <w:rsid w:val="17932239"/>
    <w:rsid w:val="179874A5"/>
    <w:rsid w:val="17A361EA"/>
    <w:rsid w:val="17C90A93"/>
    <w:rsid w:val="17E55389"/>
    <w:rsid w:val="17EA00F7"/>
    <w:rsid w:val="18133A66"/>
    <w:rsid w:val="18251831"/>
    <w:rsid w:val="18370A35"/>
    <w:rsid w:val="18381785"/>
    <w:rsid w:val="183C149F"/>
    <w:rsid w:val="18427458"/>
    <w:rsid w:val="18645C6E"/>
    <w:rsid w:val="1869488E"/>
    <w:rsid w:val="187334AB"/>
    <w:rsid w:val="188D1AD1"/>
    <w:rsid w:val="18A12CF5"/>
    <w:rsid w:val="18B84647"/>
    <w:rsid w:val="18BB2C3E"/>
    <w:rsid w:val="18BD2A39"/>
    <w:rsid w:val="18D56FD4"/>
    <w:rsid w:val="18ED7738"/>
    <w:rsid w:val="18F715F0"/>
    <w:rsid w:val="190817A0"/>
    <w:rsid w:val="1921046B"/>
    <w:rsid w:val="19406B43"/>
    <w:rsid w:val="194B4755"/>
    <w:rsid w:val="19680CDD"/>
    <w:rsid w:val="196A4989"/>
    <w:rsid w:val="196B16E7"/>
    <w:rsid w:val="19840D69"/>
    <w:rsid w:val="1999328D"/>
    <w:rsid w:val="199C5228"/>
    <w:rsid w:val="19B94B48"/>
    <w:rsid w:val="19BE3676"/>
    <w:rsid w:val="1A065E3F"/>
    <w:rsid w:val="1A19691B"/>
    <w:rsid w:val="1A252E71"/>
    <w:rsid w:val="1A2C027D"/>
    <w:rsid w:val="1A445924"/>
    <w:rsid w:val="1A9A51D3"/>
    <w:rsid w:val="1AC81A3F"/>
    <w:rsid w:val="1ACE017F"/>
    <w:rsid w:val="1ACF330A"/>
    <w:rsid w:val="1AF04DBD"/>
    <w:rsid w:val="1B1A4444"/>
    <w:rsid w:val="1B3F6E41"/>
    <w:rsid w:val="1B423649"/>
    <w:rsid w:val="1B47424D"/>
    <w:rsid w:val="1B7E3953"/>
    <w:rsid w:val="1B883283"/>
    <w:rsid w:val="1BB52303"/>
    <w:rsid w:val="1BD712B5"/>
    <w:rsid w:val="1BFB31F6"/>
    <w:rsid w:val="1C0E52F2"/>
    <w:rsid w:val="1C11425A"/>
    <w:rsid w:val="1C1C2FAC"/>
    <w:rsid w:val="1C687BA8"/>
    <w:rsid w:val="1C6D1AB1"/>
    <w:rsid w:val="1C6D1F41"/>
    <w:rsid w:val="1C832DFD"/>
    <w:rsid w:val="1C9571A6"/>
    <w:rsid w:val="1CD262EE"/>
    <w:rsid w:val="1CEB14BC"/>
    <w:rsid w:val="1CEB753D"/>
    <w:rsid w:val="1D04695D"/>
    <w:rsid w:val="1D492719"/>
    <w:rsid w:val="1D6951CC"/>
    <w:rsid w:val="1D725739"/>
    <w:rsid w:val="1D772D50"/>
    <w:rsid w:val="1D9D4DA8"/>
    <w:rsid w:val="1DAB47A7"/>
    <w:rsid w:val="1DB13524"/>
    <w:rsid w:val="1DD71A40"/>
    <w:rsid w:val="1DE065F9"/>
    <w:rsid w:val="1DE86925"/>
    <w:rsid w:val="1E137FFF"/>
    <w:rsid w:val="1E217F50"/>
    <w:rsid w:val="1E420733"/>
    <w:rsid w:val="1E862121"/>
    <w:rsid w:val="1EC712BB"/>
    <w:rsid w:val="1ECE50AB"/>
    <w:rsid w:val="1EDB2E6A"/>
    <w:rsid w:val="1EF76F5D"/>
    <w:rsid w:val="1EFE0AE6"/>
    <w:rsid w:val="1F091FF2"/>
    <w:rsid w:val="1F142C89"/>
    <w:rsid w:val="1F302612"/>
    <w:rsid w:val="1F3233D2"/>
    <w:rsid w:val="1F3507CD"/>
    <w:rsid w:val="1F510A57"/>
    <w:rsid w:val="1F813DD4"/>
    <w:rsid w:val="1F856013"/>
    <w:rsid w:val="1F8A5424"/>
    <w:rsid w:val="1FAB4482"/>
    <w:rsid w:val="1FDA6192"/>
    <w:rsid w:val="20112F2C"/>
    <w:rsid w:val="20217943"/>
    <w:rsid w:val="20295D75"/>
    <w:rsid w:val="203A2A6C"/>
    <w:rsid w:val="20454680"/>
    <w:rsid w:val="204C400B"/>
    <w:rsid w:val="20517888"/>
    <w:rsid w:val="20530AD5"/>
    <w:rsid w:val="20597EB3"/>
    <w:rsid w:val="20832045"/>
    <w:rsid w:val="20A35C0A"/>
    <w:rsid w:val="20B57A6E"/>
    <w:rsid w:val="20BA6731"/>
    <w:rsid w:val="20C67591"/>
    <w:rsid w:val="20F46C3D"/>
    <w:rsid w:val="21062A3D"/>
    <w:rsid w:val="210944F0"/>
    <w:rsid w:val="21111EDC"/>
    <w:rsid w:val="21142811"/>
    <w:rsid w:val="211803A6"/>
    <w:rsid w:val="212A1E87"/>
    <w:rsid w:val="21404B56"/>
    <w:rsid w:val="2141361E"/>
    <w:rsid w:val="21B038D2"/>
    <w:rsid w:val="21B76AE0"/>
    <w:rsid w:val="21BF15BD"/>
    <w:rsid w:val="21D7200F"/>
    <w:rsid w:val="21DF0EC4"/>
    <w:rsid w:val="21F61B19"/>
    <w:rsid w:val="21FE134A"/>
    <w:rsid w:val="22125EF5"/>
    <w:rsid w:val="222A359C"/>
    <w:rsid w:val="223109A8"/>
    <w:rsid w:val="224867F4"/>
    <w:rsid w:val="22C27F68"/>
    <w:rsid w:val="22C34341"/>
    <w:rsid w:val="22CA3922"/>
    <w:rsid w:val="22FF181D"/>
    <w:rsid w:val="230A54C8"/>
    <w:rsid w:val="23122559"/>
    <w:rsid w:val="23137077"/>
    <w:rsid w:val="232337B4"/>
    <w:rsid w:val="2323764B"/>
    <w:rsid w:val="233477C1"/>
    <w:rsid w:val="233F4C01"/>
    <w:rsid w:val="236355D5"/>
    <w:rsid w:val="23B1689B"/>
    <w:rsid w:val="23B6273D"/>
    <w:rsid w:val="23F4383B"/>
    <w:rsid w:val="241330BC"/>
    <w:rsid w:val="2419772A"/>
    <w:rsid w:val="242A274E"/>
    <w:rsid w:val="2431266C"/>
    <w:rsid w:val="24444249"/>
    <w:rsid w:val="248E32BD"/>
    <w:rsid w:val="2497230D"/>
    <w:rsid w:val="24A34F2A"/>
    <w:rsid w:val="24A74545"/>
    <w:rsid w:val="24AA0905"/>
    <w:rsid w:val="24B959FC"/>
    <w:rsid w:val="24E34497"/>
    <w:rsid w:val="24EB5E30"/>
    <w:rsid w:val="251E62D4"/>
    <w:rsid w:val="2527505B"/>
    <w:rsid w:val="254F10C5"/>
    <w:rsid w:val="25580FEF"/>
    <w:rsid w:val="25750924"/>
    <w:rsid w:val="25DA4C26"/>
    <w:rsid w:val="262F4B27"/>
    <w:rsid w:val="263776DD"/>
    <w:rsid w:val="263B20A8"/>
    <w:rsid w:val="264108E5"/>
    <w:rsid w:val="26704220"/>
    <w:rsid w:val="269456DA"/>
    <w:rsid w:val="2699161A"/>
    <w:rsid w:val="26B40B71"/>
    <w:rsid w:val="26D716F7"/>
    <w:rsid w:val="26E86A6C"/>
    <w:rsid w:val="27247AA4"/>
    <w:rsid w:val="273E67F9"/>
    <w:rsid w:val="275B76A1"/>
    <w:rsid w:val="275D2BA4"/>
    <w:rsid w:val="27711845"/>
    <w:rsid w:val="279E360D"/>
    <w:rsid w:val="27A9199E"/>
    <w:rsid w:val="27D94A30"/>
    <w:rsid w:val="27E04077"/>
    <w:rsid w:val="27E420EE"/>
    <w:rsid w:val="27ED550F"/>
    <w:rsid w:val="28224F8D"/>
    <w:rsid w:val="284B1061"/>
    <w:rsid w:val="284D302B"/>
    <w:rsid w:val="285A69A0"/>
    <w:rsid w:val="286C61F6"/>
    <w:rsid w:val="28996411"/>
    <w:rsid w:val="28A60898"/>
    <w:rsid w:val="28A9645D"/>
    <w:rsid w:val="28CA7490"/>
    <w:rsid w:val="28F74D45"/>
    <w:rsid w:val="290676DC"/>
    <w:rsid w:val="292A685E"/>
    <w:rsid w:val="294455B3"/>
    <w:rsid w:val="299747E3"/>
    <w:rsid w:val="29B9024C"/>
    <w:rsid w:val="29C235A5"/>
    <w:rsid w:val="2A174F9B"/>
    <w:rsid w:val="2A17569E"/>
    <w:rsid w:val="2A2C5E53"/>
    <w:rsid w:val="2A3C7C0F"/>
    <w:rsid w:val="2A4370E4"/>
    <w:rsid w:val="2A53737E"/>
    <w:rsid w:val="2A77516C"/>
    <w:rsid w:val="2A7D74CC"/>
    <w:rsid w:val="2A832231"/>
    <w:rsid w:val="2ABE5B1A"/>
    <w:rsid w:val="2AD20F52"/>
    <w:rsid w:val="2AE00267"/>
    <w:rsid w:val="2B082325"/>
    <w:rsid w:val="2B0D22A3"/>
    <w:rsid w:val="2B8113D0"/>
    <w:rsid w:val="2B8C3E6A"/>
    <w:rsid w:val="2B91146D"/>
    <w:rsid w:val="2C0F5A57"/>
    <w:rsid w:val="2C230601"/>
    <w:rsid w:val="2C3E23A2"/>
    <w:rsid w:val="2C5767DE"/>
    <w:rsid w:val="2C64742D"/>
    <w:rsid w:val="2C6B1CD2"/>
    <w:rsid w:val="2CA12DE6"/>
    <w:rsid w:val="2CC16C64"/>
    <w:rsid w:val="2CEF2903"/>
    <w:rsid w:val="2CF72E55"/>
    <w:rsid w:val="2D0C1AF6"/>
    <w:rsid w:val="2D23435A"/>
    <w:rsid w:val="2D6F75A0"/>
    <w:rsid w:val="2DA873F6"/>
    <w:rsid w:val="2DB126A6"/>
    <w:rsid w:val="2DE12E59"/>
    <w:rsid w:val="2E316055"/>
    <w:rsid w:val="2E5D28AF"/>
    <w:rsid w:val="2E6F71BF"/>
    <w:rsid w:val="2E7023A8"/>
    <w:rsid w:val="2E7F3B7F"/>
    <w:rsid w:val="2E8E41F0"/>
    <w:rsid w:val="2E967BDD"/>
    <w:rsid w:val="2EC830D0"/>
    <w:rsid w:val="2ED00512"/>
    <w:rsid w:val="2ED53227"/>
    <w:rsid w:val="2F193C67"/>
    <w:rsid w:val="2F2B6B37"/>
    <w:rsid w:val="2F476290"/>
    <w:rsid w:val="2F782CC6"/>
    <w:rsid w:val="2F976C21"/>
    <w:rsid w:val="2FCD1159"/>
    <w:rsid w:val="2FD47E0E"/>
    <w:rsid w:val="2FF116A0"/>
    <w:rsid w:val="2FF71C25"/>
    <w:rsid w:val="30114758"/>
    <w:rsid w:val="301574EF"/>
    <w:rsid w:val="30226B4B"/>
    <w:rsid w:val="30395912"/>
    <w:rsid w:val="30413836"/>
    <w:rsid w:val="30473591"/>
    <w:rsid w:val="30480DEC"/>
    <w:rsid w:val="304E5998"/>
    <w:rsid w:val="306E4E42"/>
    <w:rsid w:val="30785015"/>
    <w:rsid w:val="307A24E3"/>
    <w:rsid w:val="30802F76"/>
    <w:rsid w:val="309061AB"/>
    <w:rsid w:val="30B57283"/>
    <w:rsid w:val="30D84962"/>
    <w:rsid w:val="31682C84"/>
    <w:rsid w:val="318F6462"/>
    <w:rsid w:val="31CF4429"/>
    <w:rsid w:val="31DC015F"/>
    <w:rsid w:val="31F766B3"/>
    <w:rsid w:val="31F80989"/>
    <w:rsid w:val="31FC7390"/>
    <w:rsid w:val="322E55E0"/>
    <w:rsid w:val="323E5792"/>
    <w:rsid w:val="32424B66"/>
    <w:rsid w:val="32812D01"/>
    <w:rsid w:val="32C45001"/>
    <w:rsid w:val="32D34D0A"/>
    <w:rsid w:val="32ED531C"/>
    <w:rsid w:val="32F11798"/>
    <w:rsid w:val="3310712F"/>
    <w:rsid w:val="332D7B7E"/>
    <w:rsid w:val="334376A7"/>
    <w:rsid w:val="33637736"/>
    <w:rsid w:val="33772086"/>
    <w:rsid w:val="33BF40F2"/>
    <w:rsid w:val="33CB1BCD"/>
    <w:rsid w:val="33E0082A"/>
    <w:rsid w:val="33EA1E6B"/>
    <w:rsid w:val="340842AA"/>
    <w:rsid w:val="342E2BE6"/>
    <w:rsid w:val="342F1837"/>
    <w:rsid w:val="34704390"/>
    <w:rsid w:val="34CB3DEF"/>
    <w:rsid w:val="34FE0CA9"/>
    <w:rsid w:val="35002E80"/>
    <w:rsid w:val="35014185"/>
    <w:rsid w:val="351867D5"/>
    <w:rsid w:val="351F0B04"/>
    <w:rsid w:val="35837DFD"/>
    <w:rsid w:val="35845BB2"/>
    <w:rsid w:val="358F1011"/>
    <w:rsid w:val="35A633D5"/>
    <w:rsid w:val="35AA1ED7"/>
    <w:rsid w:val="35BC5655"/>
    <w:rsid w:val="36236320"/>
    <w:rsid w:val="36414B11"/>
    <w:rsid w:val="36527A5E"/>
    <w:rsid w:val="36674365"/>
    <w:rsid w:val="3676508C"/>
    <w:rsid w:val="36AC3A79"/>
    <w:rsid w:val="36B260C9"/>
    <w:rsid w:val="36BA5D2F"/>
    <w:rsid w:val="370171F5"/>
    <w:rsid w:val="37160001"/>
    <w:rsid w:val="373331A0"/>
    <w:rsid w:val="374A567A"/>
    <w:rsid w:val="37760BA3"/>
    <w:rsid w:val="378673A6"/>
    <w:rsid w:val="37880510"/>
    <w:rsid w:val="37F23FDD"/>
    <w:rsid w:val="381F40A2"/>
    <w:rsid w:val="38204FD7"/>
    <w:rsid w:val="38296E2D"/>
    <w:rsid w:val="38427942"/>
    <w:rsid w:val="385358D1"/>
    <w:rsid w:val="388E5414"/>
    <w:rsid w:val="38BE762D"/>
    <w:rsid w:val="38C31A20"/>
    <w:rsid w:val="38E3026A"/>
    <w:rsid w:val="38E958B3"/>
    <w:rsid w:val="38EC3030"/>
    <w:rsid w:val="39194863"/>
    <w:rsid w:val="392B4CC2"/>
    <w:rsid w:val="39370C1F"/>
    <w:rsid w:val="395A05A6"/>
    <w:rsid w:val="395A3541"/>
    <w:rsid w:val="399D4513"/>
    <w:rsid w:val="399F70A4"/>
    <w:rsid w:val="39A22AAB"/>
    <w:rsid w:val="39CB40BB"/>
    <w:rsid w:val="39D0586A"/>
    <w:rsid w:val="3A0E0140"/>
    <w:rsid w:val="3A2129D0"/>
    <w:rsid w:val="3A397C14"/>
    <w:rsid w:val="3A755729"/>
    <w:rsid w:val="3A7D7404"/>
    <w:rsid w:val="3A8C79E3"/>
    <w:rsid w:val="3A993035"/>
    <w:rsid w:val="3A9B32A1"/>
    <w:rsid w:val="3A9F7E02"/>
    <w:rsid w:val="3AA53E6D"/>
    <w:rsid w:val="3AC1443A"/>
    <w:rsid w:val="3AE01ADD"/>
    <w:rsid w:val="3AF6038E"/>
    <w:rsid w:val="3AF95749"/>
    <w:rsid w:val="3B2A2AAF"/>
    <w:rsid w:val="3B4172BD"/>
    <w:rsid w:val="3B460F17"/>
    <w:rsid w:val="3B8944D0"/>
    <w:rsid w:val="3BCC3E0F"/>
    <w:rsid w:val="3BD258C9"/>
    <w:rsid w:val="3BD86F36"/>
    <w:rsid w:val="3C275442"/>
    <w:rsid w:val="3C286867"/>
    <w:rsid w:val="3C37572C"/>
    <w:rsid w:val="3C6743CD"/>
    <w:rsid w:val="3C8C1362"/>
    <w:rsid w:val="3CAC611A"/>
    <w:rsid w:val="3CCE7556"/>
    <w:rsid w:val="3CD31AD7"/>
    <w:rsid w:val="3CDA2D45"/>
    <w:rsid w:val="3CDD4FE7"/>
    <w:rsid w:val="3CE1686E"/>
    <w:rsid w:val="3CE472AB"/>
    <w:rsid w:val="3D204412"/>
    <w:rsid w:val="3D3D1C1C"/>
    <w:rsid w:val="3D5E3E39"/>
    <w:rsid w:val="3D6E0D60"/>
    <w:rsid w:val="3D7A0084"/>
    <w:rsid w:val="3D864DFE"/>
    <w:rsid w:val="3D956BAE"/>
    <w:rsid w:val="3D9F1DB9"/>
    <w:rsid w:val="3DA21EB4"/>
    <w:rsid w:val="3DC810EA"/>
    <w:rsid w:val="3DD7776F"/>
    <w:rsid w:val="3DDC2358"/>
    <w:rsid w:val="3DDC2A2F"/>
    <w:rsid w:val="3DF5409F"/>
    <w:rsid w:val="3E0C3E7E"/>
    <w:rsid w:val="3E0D055A"/>
    <w:rsid w:val="3E2B3AED"/>
    <w:rsid w:val="3E330B24"/>
    <w:rsid w:val="3E4E7C7F"/>
    <w:rsid w:val="3E5527E2"/>
    <w:rsid w:val="3E6B1752"/>
    <w:rsid w:val="3E920C5B"/>
    <w:rsid w:val="3EAA2037"/>
    <w:rsid w:val="3EAA48DB"/>
    <w:rsid w:val="3EAD617A"/>
    <w:rsid w:val="3EB178A5"/>
    <w:rsid w:val="3ECF4A76"/>
    <w:rsid w:val="3EF23B8C"/>
    <w:rsid w:val="3F0B17B0"/>
    <w:rsid w:val="3F6F1E30"/>
    <w:rsid w:val="3F7B5539"/>
    <w:rsid w:val="3F8832C9"/>
    <w:rsid w:val="3F8D0026"/>
    <w:rsid w:val="3FA64167"/>
    <w:rsid w:val="3FBF4B6B"/>
    <w:rsid w:val="3FC27B53"/>
    <w:rsid w:val="4007741B"/>
    <w:rsid w:val="40084C9E"/>
    <w:rsid w:val="4046433E"/>
    <w:rsid w:val="40512D12"/>
    <w:rsid w:val="4057049F"/>
    <w:rsid w:val="408C6F55"/>
    <w:rsid w:val="409A6144"/>
    <w:rsid w:val="40AC7BA9"/>
    <w:rsid w:val="40B023A6"/>
    <w:rsid w:val="40C759CB"/>
    <w:rsid w:val="40E55784"/>
    <w:rsid w:val="40FC53A9"/>
    <w:rsid w:val="4111534F"/>
    <w:rsid w:val="41546D80"/>
    <w:rsid w:val="4159693A"/>
    <w:rsid w:val="417D2480"/>
    <w:rsid w:val="418E5F9D"/>
    <w:rsid w:val="41957B26"/>
    <w:rsid w:val="41B75ADD"/>
    <w:rsid w:val="41C87C60"/>
    <w:rsid w:val="41D05F08"/>
    <w:rsid w:val="41DA41DC"/>
    <w:rsid w:val="421F3EE2"/>
    <w:rsid w:val="42313178"/>
    <w:rsid w:val="426E4414"/>
    <w:rsid w:val="42A41642"/>
    <w:rsid w:val="42C04F67"/>
    <w:rsid w:val="42F7270F"/>
    <w:rsid w:val="43097A04"/>
    <w:rsid w:val="430C533F"/>
    <w:rsid w:val="432263B4"/>
    <w:rsid w:val="4326474D"/>
    <w:rsid w:val="434010FF"/>
    <w:rsid w:val="434F017C"/>
    <w:rsid w:val="43515CE6"/>
    <w:rsid w:val="43807488"/>
    <w:rsid w:val="438B2560"/>
    <w:rsid w:val="43A35D9D"/>
    <w:rsid w:val="43D61CCF"/>
    <w:rsid w:val="43D922DF"/>
    <w:rsid w:val="43E564E3"/>
    <w:rsid w:val="440E3217"/>
    <w:rsid w:val="44221169"/>
    <w:rsid w:val="44357175"/>
    <w:rsid w:val="44472913"/>
    <w:rsid w:val="44705CD5"/>
    <w:rsid w:val="448623F7"/>
    <w:rsid w:val="4487121B"/>
    <w:rsid w:val="448D43A1"/>
    <w:rsid w:val="4496320C"/>
    <w:rsid w:val="449B3BF1"/>
    <w:rsid w:val="44B37A44"/>
    <w:rsid w:val="44EA1159"/>
    <w:rsid w:val="44FC34DC"/>
    <w:rsid w:val="45060392"/>
    <w:rsid w:val="450821B5"/>
    <w:rsid w:val="450E35BB"/>
    <w:rsid w:val="45123BD8"/>
    <w:rsid w:val="45134A0A"/>
    <w:rsid w:val="452C4845"/>
    <w:rsid w:val="452E1696"/>
    <w:rsid w:val="4532572C"/>
    <w:rsid w:val="453C0711"/>
    <w:rsid w:val="45423E2F"/>
    <w:rsid w:val="454D091B"/>
    <w:rsid w:val="455235D7"/>
    <w:rsid w:val="45551EB3"/>
    <w:rsid w:val="45636562"/>
    <w:rsid w:val="45877724"/>
    <w:rsid w:val="458D460F"/>
    <w:rsid w:val="45932935"/>
    <w:rsid w:val="45A34263"/>
    <w:rsid w:val="45BA3409"/>
    <w:rsid w:val="45E8203F"/>
    <w:rsid w:val="45F55820"/>
    <w:rsid w:val="46407098"/>
    <w:rsid w:val="467D17E2"/>
    <w:rsid w:val="46A2071E"/>
    <w:rsid w:val="46B53E1D"/>
    <w:rsid w:val="46BB389D"/>
    <w:rsid w:val="46DA1AD6"/>
    <w:rsid w:val="46E3355B"/>
    <w:rsid w:val="46F54FCB"/>
    <w:rsid w:val="470A7C1F"/>
    <w:rsid w:val="470F6157"/>
    <w:rsid w:val="472C4C55"/>
    <w:rsid w:val="47396569"/>
    <w:rsid w:val="473F3C94"/>
    <w:rsid w:val="474A3B9E"/>
    <w:rsid w:val="476F66C2"/>
    <w:rsid w:val="477B2C8C"/>
    <w:rsid w:val="47891E21"/>
    <w:rsid w:val="479C37EB"/>
    <w:rsid w:val="47C01A3E"/>
    <w:rsid w:val="47E30E5E"/>
    <w:rsid w:val="480449D9"/>
    <w:rsid w:val="481B3258"/>
    <w:rsid w:val="482D231C"/>
    <w:rsid w:val="4838060A"/>
    <w:rsid w:val="48401E0D"/>
    <w:rsid w:val="48757E55"/>
    <w:rsid w:val="48827784"/>
    <w:rsid w:val="48867F4E"/>
    <w:rsid w:val="488843A0"/>
    <w:rsid w:val="489509A3"/>
    <w:rsid w:val="48D2291D"/>
    <w:rsid w:val="48D8725E"/>
    <w:rsid w:val="48F54560"/>
    <w:rsid w:val="497846BD"/>
    <w:rsid w:val="499E7C0A"/>
    <w:rsid w:val="49B85137"/>
    <w:rsid w:val="49B91A00"/>
    <w:rsid w:val="49C17812"/>
    <w:rsid w:val="49CD5C25"/>
    <w:rsid w:val="49DA5835"/>
    <w:rsid w:val="49ED6F18"/>
    <w:rsid w:val="4A0818D8"/>
    <w:rsid w:val="4A1D530D"/>
    <w:rsid w:val="4A2409E6"/>
    <w:rsid w:val="4A3E237C"/>
    <w:rsid w:val="4A5A3A15"/>
    <w:rsid w:val="4A624F50"/>
    <w:rsid w:val="4B0954E6"/>
    <w:rsid w:val="4B0F349C"/>
    <w:rsid w:val="4B766DDB"/>
    <w:rsid w:val="4B851076"/>
    <w:rsid w:val="4B856B5C"/>
    <w:rsid w:val="4B8F33B8"/>
    <w:rsid w:val="4B9F6E4A"/>
    <w:rsid w:val="4BA95F1B"/>
    <w:rsid w:val="4BF11389"/>
    <w:rsid w:val="4C1A4486"/>
    <w:rsid w:val="4C1B3BA3"/>
    <w:rsid w:val="4C207CAF"/>
    <w:rsid w:val="4C2757BD"/>
    <w:rsid w:val="4C2A1FF9"/>
    <w:rsid w:val="4C54044A"/>
    <w:rsid w:val="4C562EEB"/>
    <w:rsid w:val="4C64532E"/>
    <w:rsid w:val="4C6F4A6E"/>
    <w:rsid w:val="4C7958ED"/>
    <w:rsid w:val="4CAE3FDC"/>
    <w:rsid w:val="4CE44778"/>
    <w:rsid w:val="4D000563"/>
    <w:rsid w:val="4D08596F"/>
    <w:rsid w:val="4D0E7878"/>
    <w:rsid w:val="4D267FD3"/>
    <w:rsid w:val="4D275349"/>
    <w:rsid w:val="4D4963D8"/>
    <w:rsid w:val="4D9E38E4"/>
    <w:rsid w:val="4DBE4E79"/>
    <w:rsid w:val="4DE678A5"/>
    <w:rsid w:val="4E085512"/>
    <w:rsid w:val="4E142AAF"/>
    <w:rsid w:val="4E173153"/>
    <w:rsid w:val="4E1F09BA"/>
    <w:rsid w:val="4E5C0678"/>
    <w:rsid w:val="4E661EA1"/>
    <w:rsid w:val="4E7D5FBD"/>
    <w:rsid w:val="4EC3064A"/>
    <w:rsid w:val="4ED35EDF"/>
    <w:rsid w:val="4F005CD8"/>
    <w:rsid w:val="4F283CB4"/>
    <w:rsid w:val="4F396F09"/>
    <w:rsid w:val="4F63391C"/>
    <w:rsid w:val="4F701229"/>
    <w:rsid w:val="4F9B724B"/>
    <w:rsid w:val="4FA35D3D"/>
    <w:rsid w:val="4FC9093A"/>
    <w:rsid w:val="4FD17574"/>
    <w:rsid w:val="4FE51205"/>
    <w:rsid w:val="4FEE5732"/>
    <w:rsid w:val="4FFE6BC7"/>
    <w:rsid w:val="5005195A"/>
    <w:rsid w:val="50177495"/>
    <w:rsid w:val="502655AE"/>
    <w:rsid w:val="50516A66"/>
    <w:rsid w:val="507E723F"/>
    <w:rsid w:val="50830F3E"/>
    <w:rsid w:val="509A63FF"/>
    <w:rsid w:val="50C36A0F"/>
    <w:rsid w:val="50F2070A"/>
    <w:rsid w:val="510A7ECD"/>
    <w:rsid w:val="51520BF9"/>
    <w:rsid w:val="51597A9B"/>
    <w:rsid w:val="51621046"/>
    <w:rsid w:val="517577F8"/>
    <w:rsid w:val="51892F55"/>
    <w:rsid w:val="51895ACB"/>
    <w:rsid w:val="51B56722"/>
    <w:rsid w:val="51CB4E92"/>
    <w:rsid w:val="51D3742D"/>
    <w:rsid w:val="51D71EB8"/>
    <w:rsid w:val="51D90756"/>
    <w:rsid w:val="51FE0D6E"/>
    <w:rsid w:val="520B222A"/>
    <w:rsid w:val="5246001F"/>
    <w:rsid w:val="525535B2"/>
    <w:rsid w:val="526A2243"/>
    <w:rsid w:val="52D675F5"/>
    <w:rsid w:val="52DD5E83"/>
    <w:rsid w:val="52F52E54"/>
    <w:rsid w:val="53394028"/>
    <w:rsid w:val="53A0483E"/>
    <w:rsid w:val="53CA3E16"/>
    <w:rsid w:val="53D0673A"/>
    <w:rsid w:val="53D3385C"/>
    <w:rsid w:val="53F47B4C"/>
    <w:rsid w:val="54104D89"/>
    <w:rsid w:val="54486516"/>
    <w:rsid w:val="545A28A0"/>
    <w:rsid w:val="545C6276"/>
    <w:rsid w:val="546D7A2A"/>
    <w:rsid w:val="549C03CB"/>
    <w:rsid w:val="54A85071"/>
    <w:rsid w:val="54B0031A"/>
    <w:rsid w:val="54BE2A37"/>
    <w:rsid w:val="54C67EA4"/>
    <w:rsid w:val="54DB45C6"/>
    <w:rsid w:val="54E206D8"/>
    <w:rsid w:val="54EA440D"/>
    <w:rsid w:val="54EC2366"/>
    <w:rsid w:val="551E5284"/>
    <w:rsid w:val="553E76D4"/>
    <w:rsid w:val="55AC6D33"/>
    <w:rsid w:val="55B17EA6"/>
    <w:rsid w:val="55DA1F6B"/>
    <w:rsid w:val="55E62245"/>
    <w:rsid w:val="562E6F08"/>
    <w:rsid w:val="56666EE2"/>
    <w:rsid w:val="566F579F"/>
    <w:rsid w:val="568A5206"/>
    <w:rsid w:val="56925F29"/>
    <w:rsid w:val="56A01C11"/>
    <w:rsid w:val="56A75E3B"/>
    <w:rsid w:val="56B82E45"/>
    <w:rsid w:val="56D7393C"/>
    <w:rsid w:val="56DA45E0"/>
    <w:rsid w:val="56FD2433"/>
    <w:rsid w:val="57352F0B"/>
    <w:rsid w:val="576E1100"/>
    <w:rsid w:val="57833220"/>
    <w:rsid w:val="57871C26"/>
    <w:rsid w:val="5794298E"/>
    <w:rsid w:val="579655A5"/>
    <w:rsid w:val="57BF5603"/>
    <w:rsid w:val="57D305A7"/>
    <w:rsid w:val="57D85BBE"/>
    <w:rsid w:val="57E519DB"/>
    <w:rsid w:val="581163C6"/>
    <w:rsid w:val="582E0BB0"/>
    <w:rsid w:val="586475A6"/>
    <w:rsid w:val="58676D16"/>
    <w:rsid w:val="587619E8"/>
    <w:rsid w:val="589C45EC"/>
    <w:rsid w:val="58A638B4"/>
    <w:rsid w:val="58F3091F"/>
    <w:rsid w:val="591F1682"/>
    <w:rsid w:val="59326C6E"/>
    <w:rsid w:val="594247A2"/>
    <w:rsid w:val="594F1EAF"/>
    <w:rsid w:val="5953349B"/>
    <w:rsid w:val="5954396A"/>
    <w:rsid w:val="596A30C0"/>
    <w:rsid w:val="59776A2D"/>
    <w:rsid w:val="59D86F77"/>
    <w:rsid w:val="59E06FAB"/>
    <w:rsid w:val="59FB29AF"/>
    <w:rsid w:val="5A01133A"/>
    <w:rsid w:val="5A052EBC"/>
    <w:rsid w:val="5A1A0B6E"/>
    <w:rsid w:val="5A2059DA"/>
    <w:rsid w:val="5A2562E3"/>
    <w:rsid w:val="5A3E5D04"/>
    <w:rsid w:val="5A653877"/>
    <w:rsid w:val="5A6B2D19"/>
    <w:rsid w:val="5A6E45B7"/>
    <w:rsid w:val="5A9F7C3A"/>
    <w:rsid w:val="5ABC725D"/>
    <w:rsid w:val="5AD7215D"/>
    <w:rsid w:val="5AED6D9E"/>
    <w:rsid w:val="5AEE7FA1"/>
    <w:rsid w:val="5B121DD7"/>
    <w:rsid w:val="5B327D7B"/>
    <w:rsid w:val="5B397E38"/>
    <w:rsid w:val="5B4C0672"/>
    <w:rsid w:val="5B574FA7"/>
    <w:rsid w:val="5B780C22"/>
    <w:rsid w:val="5B822AE3"/>
    <w:rsid w:val="5B856690"/>
    <w:rsid w:val="5B98036D"/>
    <w:rsid w:val="5BA16819"/>
    <w:rsid w:val="5BAF6843"/>
    <w:rsid w:val="5BD859FF"/>
    <w:rsid w:val="5BDB09B2"/>
    <w:rsid w:val="5BDB6EE4"/>
    <w:rsid w:val="5BE83E85"/>
    <w:rsid w:val="5C082DD0"/>
    <w:rsid w:val="5C1D0043"/>
    <w:rsid w:val="5CA97B29"/>
    <w:rsid w:val="5CAB65D8"/>
    <w:rsid w:val="5CBA7F88"/>
    <w:rsid w:val="5CBB785C"/>
    <w:rsid w:val="5CBE532C"/>
    <w:rsid w:val="5CD53162"/>
    <w:rsid w:val="5CE768A3"/>
    <w:rsid w:val="5D03464B"/>
    <w:rsid w:val="5D0C1038"/>
    <w:rsid w:val="5D235B2D"/>
    <w:rsid w:val="5D2934B8"/>
    <w:rsid w:val="5D421147"/>
    <w:rsid w:val="5D464695"/>
    <w:rsid w:val="5D70258A"/>
    <w:rsid w:val="5DB37248"/>
    <w:rsid w:val="5DED216E"/>
    <w:rsid w:val="5E04332E"/>
    <w:rsid w:val="5E4A1C46"/>
    <w:rsid w:val="5E8C34AB"/>
    <w:rsid w:val="5E8F6B82"/>
    <w:rsid w:val="5EBD65BF"/>
    <w:rsid w:val="5EC35C6D"/>
    <w:rsid w:val="5EC61822"/>
    <w:rsid w:val="5ED54C05"/>
    <w:rsid w:val="5F2303A3"/>
    <w:rsid w:val="5F2435CD"/>
    <w:rsid w:val="5F3209BE"/>
    <w:rsid w:val="5F4E4A6A"/>
    <w:rsid w:val="5F6B5569"/>
    <w:rsid w:val="5F775CBC"/>
    <w:rsid w:val="5F952C60"/>
    <w:rsid w:val="5FD169B7"/>
    <w:rsid w:val="5FD461C1"/>
    <w:rsid w:val="5FE01AB3"/>
    <w:rsid w:val="60623F72"/>
    <w:rsid w:val="606258E9"/>
    <w:rsid w:val="606F1089"/>
    <w:rsid w:val="608A7C71"/>
    <w:rsid w:val="608F23ED"/>
    <w:rsid w:val="609008FA"/>
    <w:rsid w:val="60AC7BE7"/>
    <w:rsid w:val="60B57F7E"/>
    <w:rsid w:val="60CC1C1C"/>
    <w:rsid w:val="60CE7B5E"/>
    <w:rsid w:val="60EA6E44"/>
    <w:rsid w:val="60ED0C93"/>
    <w:rsid w:val="61204966"/>
    <w:rsid w:val="61677061"/>
    <w:rsid w:val="61686204"/>
    <w:rsid w:val="619C6B90"/>
    <w:rsid w:val="61A17E49"/>
    <w:rsid w:val="61B451D9"/>
    <w:rsid w:val="61BA4586"/>
    <w:rsid w:val="61D67FCE"/>
    <w:rsid w:val="61E1110E"/>
    <w:rsid w:val="61EE1BDC"/>
    <w:rsid w:val="620D2908"/>
    <w:rsid w:val="6221580D"/>
    <w:rsid w:val="623959DF"/>
    <w:rsid w:val="624D7956"/>
    <w:rsid w:val="626F338E"/>
    <w:rsid w:val="6284207D"/>
    <w:rsid w:val="62A24E62"/>
    <w:rsid w:val="62B74D35"/>
    <w:rsid w:val="62C37595"/>
    <w:rsid w:val="62C459D4"/>
    <w:rsid w:val="62D84CC4"/>
    <w:rsid w:val="62E26AB0"/>
    <w:rsid w:val="63190CCD"/>
    <w:rsid w:val="633769A9"/>
    <w:rsid w:val="63554566"/>
    <w:rsid w:val="63590D8D"/>
    <w:rsid w:val="63685B24"/>
    <w:rsid w:val="636D5D54"/>
    <w:rsid w:val="636F31DD"/>
    <w:rsid w:val="63882CAA"/>
    <w:rsid w:val="639D5F0D"/>
    <w:rsid w:val="63AD446C"/>
    <w:rsid w:val="63E44975"/>
    <w:rsid w:val="647549DD"/>
    <w:rsid w:val="647D1899"/>
    <w:rsid w:val="647E189B"/>
    <w:rsid w:val="64810FAF"/>
    <w:rsid w:val="649B41FB"/>
    <w:rsid w:val="64C45DE1"/>
    <w:rsid w:val="64CE2914"/>
    <w:rsid w:val="64E04304"/>
    <w:rsid w:val="64EC4A56"/>
    <w:rsid w:val="65257F68"/>
    <w:rsid w:val="65607D06"/>
    <w:rsid w:val="659155FE"/>
    <w:rsid w:val="65AF2289"/>
    <w:rsid w:val="6617416F"/>
    <w:rsid w:val="662076C0"/>
    <w:rsid w:val="6670131F"/>
    <w:rsid w:val="66754F1F"/>
    <w:rsid w:val="66A8324B"/>
    <w:rsid w:val="66B61B35"/>
    <w:rsid w:val="66C618D3"/>
    <w:rsid w:val="66C6654C"/>
    <w:rsid w:val="66CF713B"/>
    <w:rsid w:val="66D165F1"/>
    <w:rsid w:val="66FD53B0"/>
    <w:rsid w:val="67205C40"/>
    <w:rsid w:val="672A79F5"/>
    <w:rsid w:val="67565FA3"/>
    <w:rsid w:val="679F4625"/>
    <w:rsid w:val="67A23AF2"/>
    <w:rsid w:val="67CD1CD1"/>
    <w:rsid w:val="67E82146"/>
    <w:rsid w:val="68001742"/>
    <w:rsid w:val="682269E1"/>
    <w:rsid w:val="68230121"/>
    <w:rsid w:val="68334803"/>
    <w:rsid w:val="685F0B4B"/>
    <w:rsid w:val="6861404E"/>
    <w:rsid w:val="68731E19"/>
    <w:rsid w:val="690A194F"/>
    <w:rsid w:val="69117181"/>
    <w:rsid w:val="693D1D24"/>
    <w:rsid w:val="6989589F"/>
    <w:rsid w:val="699911C9"/>
    <w:rsid w:val="699A7177"/>
    <w:rsid w:val="69A16BD8"/>
    <w:rsid w:val="69C02CF1"/>
    <w:rsid w:val="69CF7BBD"/>
    <w:rsid w:val="6A013A45"/>
    <w:rsid w:val="6A785127"/>
    <w:rsid w:val="6A842A4E"/>
    <w:rsid w:val="6A863F6D"/>
    <w:rsid w:val="6AA36F00"/>
    <w:rsid w:val="6B085226"/>
    <w:rsid w:val="6B0C39B5"/>
    <w:rsid w:val="6B0D2C0B"/>
    <w:rsid w:val="6B864C9C"/>
    <w:rsid w:val="6B8A3827"/>
    <w:rsid w:val="6B9D4CFC"/>
    <w:rsid w:val="6BA54A19"/>
    <w:rsid w:val="6BB729D4"/>
    <w:rsid w:val="6BBC3075"/>
    <w:rsid w:val="6BCD763B"/>
    <w:rsid w:val="6C122373"/>
    <w:rsid w:val="6C2B17D2"/>
    <w:rsid w:val="6C596C54"/>
    <w:rsid w:val="6C5B7246"/>
    <w:rsid w:val="6C784A0B"/>
    <w:rsid w:val="6CA901D5"/>
    <w:rsid w:val="6CC77785"/>
    <w:rsid w:val="6CC8663F"/>
    <w:rsid w:val="6CDD437B"/>
    <w:rsid w:val="6CE10C19"/>
    <w:rsid w:val="6D0271B6"/>
    <w:rsid w:val="6D244FF6"/>
    <w:rsid w:val="6D3E5CF7"/>
    <w:rsid w:val="6D534610"/>
    <w:rsid w:val="6D5C3508"/>
    <w:rsid w:val="6D60154F"/>
    <w:rsid w:val="6D667370"/>
    <w:rsid w:val="6D72742C"/>
    <w:rsid w:val="6D72794C"/>
    <w:rsid w:val="6D7E157B"/>
    <w:rsid w:val="6D8E2323"/>
    <w:rsid w:val="6D986680"/>
    <w:rsid w:val="6D9A775D"/>
    <w:rsid w:val="6DC34622"/>
    <w:rsid w:val="6DCF4734"/>
    <w:rsid w:val="6DD05A39"/>
    <w:rsid w:val="6DDF577F"/>
    <w:rsid w:val="6E185E2D"/>
    <w:rsid w:val="6E1D2124"/>
    <w:rsid w:val="6E280C4E"/>
    <w:rsid w:val="6E3B50E8"/>
    <w:rsid w:val="6E3F4722"/>
    <w:rsid w:val="6E5E17F9"/>
    <w:rsid w:val="6E74363E"/>
    <w:rsid w:val="6E9F61D1"/>
    <w:rsid w:val="6F173BEF"/>
    <w:rsid w:val="6F260569"/>
    <w:rsid w:val="6F4C5FA5"/>
    <w:rsid w:val="6F6F075E"/>
    <w:rsid w:val="6F7401F7"/>
    <w:rsid w:val="6F75559D"/>
    <w:rsid w:val="6F7A62F8"/>
    <w:rsid w:val="6F8B68FD"/>
    <w:rsid w:val="6F9A32FC"/>
    <w:rsid w:val="6FC47F71"/>
    <w:rsid w:val="6FC860C0"/>
    <w:rsid w:val="6FD00A02"/>
    <w:rsid w:val="6FD05147"/>
    <w:rsid w:val="6FEA122E"/>
    <w:rsid w:val="6FFF4200"/>
    <w:rsid w:val="700233CF"/>
    <w:rsid w:val="700346D4"/>
    <w:rsid w:val="70221706"/>
    <w:rsid w:val="702C0BAC"/>
    <w:rsid w:val="7059768F"/>
    <w:rsid w:val="70673123"/>
    <w:rsid w:val="706F5F82"/>
    <w:rsid w:val="706F7FE7"/>
    <w:rsid w:val="70767D3B"/>
    <w:rsid w:val="7091687C"/>
    <w:rsid w:val="70C75A6E"/>
    <w:rsid w:val="70D20225"/>
    <w:rsid w:val="70DD65B6"/>
    <w:rsid w:val="70DE4037"/>
    <w:rsid w:val="70E51FBD"/>
    <w:rsid w:val="71034277"/>
    <w:rsid w:val="710F0089"/>
    <w:rsid w:val="71147127"/>
    <w:rsid w:val="711F61B4"/>
    <w:rsid w:val="71411D46"/>
    <w:rsid w:val="715069EC"/>
    <w:rsid w:val="717856E2"/>
    <w:rsid w:val="718B0D79"/>
    <w:rsid w:val="7198256C"/>
    <w:rsid w:val="71B216C2"/>
    <w:rsid w:val="71B30915"/>
    <w:rsid w:val="720E5A2E"/>
    <w:rsid w:val="723200C7"/>
    <w:rsid w:val="72496B0C"/>
    <w:rsid w:val="724D03A9"/>
    <w:rsid w:val="72842772"/>
    <w:rsid w:val="729E0D2D"/>
    <w:rsid w:val="72AE6D65"/>
    <w:rsid w:val="72CB5DE1"/>
    <w:rsid w:val="72EF6435"/>
    <w:rsid w:val="73520AC2"/>
    <w:rsid w:val="735F0AE9"/>
    <w:rsid w:val="739E5B97"/>
    <w:rsid w:val="73B23F7C"/>
    <w:rsid w:val="73B8353C"/>
    <w:rsid w:val="73CD1EF7"/>
    <w:rsid w:val="740E335C"/>
    <w:rsid w:val="7416389E"/>
    <w:rsid w:val="743F175E"/>
    <w:rsid w:val="74CF0D29"/>
    <w:rsid w:val="74D472B5"/>
    <w:rsid w:val="750162FC"/>
    <w:rsid w:val="75034787"/>
    <w:rsid w:val="7516666D"/>
    <w:rsid w:val="759747A8"/>
    <w:rsid w:val="75AF0AA4"/>
    <w:rsid w:val="75BA5FA1"/>
    <w:rsid w:val="75C9324B"/>
    <w:rsid w:val="75CD4430"/>
    <w:rsid w:val="75DE663D"/>
    <w:rsid w:val="7620328F"/>
    <w:rsid w:val="762B2729"/>
    <w:rsid w:val="764F0F26"/>
    <w:rsid w:val="7655100B"/>
    <w:rsid w:val="76A6254F"/>
    <w:rsid w:val="76A62EE0"/>
    <w:rsid w:val="76D05FFC"/>
    <w:rsid w:val="76E759FF"/>
    <w:rsid w:val="76EE0B02"/>
    <w:rsid w:val="76F81041"/>
    <w:rsid w:val="770041D0"/>
    <w:rsid w:val="77183DD1"/>
    <w:rsid w:val="77384726"/>
    <w:rsid w:val="774E47AD"/>
    <w:rsid w:val="7758241F"/>
    <w:rsid w:val="775D3592"/>
    <w:rsid w:val="776F3C10"/>
    <w:rsid w:val="777F5BFE"/>
    <w:rsid w:val="778E503F"/>
    <w:rsid w:val="77DF70D2"/>
    <w:rsid w:val="77F17D01"/>
    <w:rsid w:val="77FC0FFD"/>
    <w:rsid w:val="77FD19B4"/>
    <w:rsid w:val="78070820"/>
    <w:rsid w:val="781A76D5"/>
    <w:rsid w:val="78240EAC"/>
    <w:rsid w:val="784B4BDC"/>
    <w:rsid w:val="7860007C"/>
    <w:rsid w:val="788762BC"/>
    <w:rsid w:val="78EA1B6E"/>
    <w:rsid w:val="78F93137"/>
    <w:rsid w:val="791C643F"/>
    <w:rsid w:val="795D5ACB"/>
    <w:rsid w:val="79630533"/>
    <w:rsid w:val="79652BD2"/>
    <w:rsid w:val="79971D46"/>
    <w:rsid w:val="79AA6729"/>
    <w:rsid w:val="79E41D86"/>
    <w:rsid w:val="7A0C718E"/>
    <w:rsid w:val="7A3A5CE2"/>
    <w:rsid w:val="7A41719B"/>
    <w:rsid w:val="7A552612"/>
    <w:rsid w:val="7A666C01"/>
    <w:rsid w:val="7A820A1A"/>
    <w:rsid w:val="7A944128"/>
    <w:rsid w:val="7AA3678B"/>
    <w:rsid w:val="7AF03DFA"/>
    <w:rsid w:val="7B15290C"/>
    <w:rsid w:val="7B1E2019"/>
    <w:rsid w:val="7B2B7B1F"/>
    <w:rsid w:val="7B2E5E4E"/>
    <w:rsid w:val="7B3B2338"/>
    <w:rsid w:val="7B51340D"/>
    <w:rsid w:val="7B650F22"/>
    <w:rsid w:val="7B667D04"/>
    <w:rsid w:val="7B6E3C82"/>
    <w:rsid w:val="7B8D3DD2"/>
    <w:rsid w:val="7B917CAE"/>
    <w:rsid w:val="7B9262F3"/>
    <w:rsid w:val="7BA668E4"/>
    <w:rsid w:val="7BD74E83"/>
    <w:rsid w:val="7BDD4BD3"/>
    <w:rsid w:val="7BF24BF0"/>
    <w:rsid w:val="7BF817F1"/>
    <w:rsid w:val="7C2D424A"/>
    <w:rsid w:val="7C3C31DF"/>
    <w:rsid w:val="7C4A5D78"/>
    <w:rsid w:val="7C5612C2"/>
    <w:rsid w:val="7C6635A2"/>
    <w:rsid w:val="7C730498"/>
    <w:rsid w:val="7C7639B1"/>
    <w:rsid w:val="7C773348"/>
    <w:rsid w:val="7C8943DA"/>
    <w:rsid w:val="7C8F0A6B"/>
    <w:rsid w:val="7CA50812"/>
    <w:rsid w:val="7CAF4AEE"/>
    <w:rsid w:val="7CD75D15"/>
    <w:rsid w:val="7CE21998"/>
    <w:rsid w:val="7CF718EF"/>
    <w:rsid w:val="7CFB7AD5"/>
    <w:rsid w:val="7D1D3B52"/>
    <w:rsid w:val="7D256A7B"/>
    <w:rsid w:val="7D3A23FC"/>
    <w:rsid w:val="7D3B4375"/>
    <w:rsid w:val="7D3F16BD"/>
    <w:rsid w:val="7D455CFB"/>
    <w:rsid w:val="7D7D0485"/>
    <w:rsid w:val="7DA95783"/>
    <w:rsid w:val="7DB56486"/>
    <w:rsid w:val="7DBA1B2D"/>
    <w:rsid w:val="7DDD618F"/>
    <w:rsid w:val="7DE34815"/>
    <w:rsid w:val="7DED64EF"/>
    <w:rsid w:val="7E2B263C"/>
    <w:rsid w:val="7E332420"/>
    <w:rsid w:val="7E467DAF"/>
    <w:rsid w:val="7E4F51C9"/>
    <w:rsid w:val="7EA146AC"/>
    <w:rsid w:val="7ECA4B12"/>
    <w:rsid w:val="7EEA12E3"/>
    <w:rsid w:val="7EFD5F2E"/>
    <w:rsid w:val="7F367487"/>
    <w:rsid w:val="7F464805"/>
    <w:rsid w:val="7F484B27"/>
    <w:rsid w:val="7F4F1990"/>
    <w:rsid w:val="7F53213A"/>
    <w:rsid w:val="7F594F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9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420" w:firstLineChars="20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30"/>
    <w:qFormat/>
    <w:uiPriority w:val="0"/>
    <w:pPr>
      <w:adjustRightInd w:val="0"/>
      <w:snapToGrid w:val="0"/>
      <w:spacing w:line="360" w:lineRule="exact"/>
      <w:outlineLvl w:val="0"/>
    </w:pPr>
    <w:rPr>
      <w:rFonts w:ascii="宋体" w:hAnsi="宋体" w:eastAsia="宋体" w:cs="宋体"/>
      <w:b/>
      <w:color w:val="000000" w:themeColor="text1"/>
      <w:sz w:val="28"/>
      <w:szCs w:val="28"/>
      <w14:textFill>
        <w14:solidFill>
          <w14:schemeClr w14:val="tx1"/>
        </w14:solidFill>
      </w14:textFill>
    </w:rPr>
  </w:style>
  <w:style w:type="paragraph" w:styleId="3">
    <w:name w:val="heading 2"/>
    <w:basedOn w:val="1"/>
    <w:next w:val="1"/>
    <w:unhideWhenUsed/>
    <w:qFormat/>
    <w:uiPriority w:val="0"/>
    <w:pPr>
      <w:adjustRightInd w:val="0"/>
      <w:snapToGrid w:val="0"/>
      <w:spacing w:line="360" w:lineRule="exact"/>
      <w:outlineLvl w:val="1"/>
    </w:pPr>
    <w:rPr>
      <w:rFonts w:ascii="宋体" w:hAnsi="宋体" w:eastAsia="宋体" w:cs="宋体"/>
      <w:b/>
      <w:color w:val="000000" w:themeColor="text1"/>
      <w:szCs w:val="21"/>
      <w14:textFill>
        <w14:solidFill>
          <w14:schemeClr w14:val="tx1"/>
        </w14:solidFill>
      </w14:textFill>
    </w:rPr>
  </w:style>
  <w:style w:type="paragraph" w:styleId="4">
    <w:name w:val="heading 3"/>
    <w:basedOn w:val="1"/>
    <w:next w:val="1"/>
    <w:unhideWhenUsed/>
    <w:qFormat/>
    <w:uiPriority w:val="0"/>
    <w:pPr>
      <w:adjustRightInd w:val="0"/>
      <w:snapToGrid w:val="0"/>
      <w:spacing w:line="360" w:lineRule="exact"/>
      <w:outlineLvl w:val="2"/>
    </w:pPr>
    <w:rPr>
      <w:rFonts w:ascii="宋体" w:hAnsi="宋体" w:eastAsia="宋体" w:cs="宋体"/>
      <w:b/>
      <w:color w:val="000000" w:themeColor="text1"/>
      <w:szCs w:val="21"/>
      <w14:textFill>
        <w14:solidFill>
          <w14:schemeClr w14:val="tx1"/>
        </w14:solidFill>
      </w14:textFill>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28"/>
    <w:qFormat/>
    <w:uiPriority w:val="0"/>
  </w:style>
  <w:style w:type="paragraph" w:styleId="7">
    <w:name w:val="Body Text"/>
    <w:basedOn w:val="1"/>
    <w:qFormat/>
    <w:uiPriority w:val="0"/>
    <w:rPr>
      <w:rFonts w:ascii="Times New Roman" w:hAnsi="Times New Roman" w:eastAsia="Times New Roman" w:cs="Times New Roman"/>
      <w:sz w:val="18"/>
      <w:szCs w:val="18"/>
      <w:lang w:eastAsia="en-US"/>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footnote text"/>
    <w:basedOn w:val="1"/>
    <w:qFormat/>
    <w:uiPriority w:val="99"/>
    <w:pPr>
      <w:snapToGrid w:val="0"/>
    </w:pPr>
    <w:rPr>
      <w:sz w:val="18"/>
      <w:szCs w:val="18"/>
    </w:r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qFormat/>
    <w:uiPriority w:val="0"/>
    <w:pPr>
      <w:spacing w:beforeAutospacing="1" w:afterAutospacing="1"/>
      <w:jc w:val="left"/>
    </w:pPr>
    <w:rPr>
      <w:rFonts w:cs="Times New Roman"/>
      <w:kern w:val="0"/>
      <w:sz w:val="24"/>
    </w:rPr>
  </w:style>
  <w:style w:type="paragraph" w:styleId="13">
    <w:name w:val="annotation subject"/>
    <w:basedOn w:val="6"/>
    <w:next w:val="6"/>
    <w:link w:val="29"/>
    <w:qFormat/>
    <w:uiPriority w:val="0"/>
    <w:pPr>
      <w:jc w:val="left"/>
    </w:pPr>
    <w:rPr>
      <w:b/>
      <w:bCs/>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Emphasis"/>
    <w:basedOn w:val="16"/>
    <w:qFormat/>
    <w:uiPriority w:val="0"/>
    <w:rPr>
      <w:i/>
    </w:rPr>
  </w:style>
  <w:style w:type="character" w:styleId="19">
    <w:name w:val="HTML Code"/>
    <w:basedOn w:val="16"/>
    <w:qFormat/>
    <w:uiPriority w:val="0"/>
    <w:rPr>
      <w:rFonts w:ascii="Courier New" w:hAnsi="Courier New"/>
      <w:sz w:val="20"/>
    </w:rPr>
  </w:style>
  <w:style w:type="character" w:styleId="20">
    <w:name w:val="annotation reference"/>
    <w:basedOn w:val="16"/>
    <w:qFormat/>
    <w:uiPriority w:val="0"/>
    <w:rPr>
      <w:sz w:val="21"/>
      <w:szCs w:val="21"/>
    </w:rPr>
  </w:style>
  <w:style w:type="character" w:customStyle="1" w:styleId="21">
    <w:name w:val="font11"/>
    <w:basedOn w:val="16"/>
    <w:qFormat/>
    <w:uiPriority w:val="0"/>
    <w:rPr>
      <w:rFonts w:hint="default" w:ascii="Segoe UI" w:hAnsi="Segoe UI" w:eastAsia="Segoe UI" w:cs="Segoe UI"/>
      <w:color w:val="000000"/>
      <w:sz w:val="22"/>
      <w:szCs w:val="22"/>
      <w:u w:val="none"/>
    </w:rPr>
  </w:style>
  <w:style w:type="character" w:customStyle="1" w:styleId="22">
    <w:name w:val="font01"/>
    <w:basedOn w:val="16"/>
    <w:qFormat/>
    <w:uiPriority w:val="0"/>
    <w:rPr>
      <w:rFonts w:hint="eastAsia" w:ascii="宋体" w:hAnsi="宋体" w:eastAsia="宋体" w:cs="宋体"/>
      <w:color w:val="000000"/>
      <w:sz w:val="22"/>
      <w:szCs w:val="22"/>
      <w:u w:val="none"/>
    </w:rPr>
  </w:style>
  <w:style w:type="character" w:customStyle="1" w:styleId="23">
    <w:name w:val="font31"/>
    <w:basedOn w:val="16"/>
    <w:qFormat/>
    <w:uiPriority w:val="0"/>
    <w:rPr>
      <w:rFonts w:hint="eastAsia" w:ascii="宋体" w:hAnsi="宋体" w:eastAsia="宋体" w:cs="宋体"/>
      <w:color w:val="000000"/>
      <w:sz w:val="24"/>
      <w:szCs w:val="24"/>
      <w:u w:val="none"/>
    </w:rPr>
  </w:style>
  <w:style w:type="character" w:customStyle="1" w:styleId="24">
    <w:name w:val="font21"/>
    <w:basedOn w:val="16"/>
    <w:qFormat/>
    <w:uiPriority w:val="0"/>
    <w:rPr>
      <w:rFonts w:hint="default" w:ascii="Segoe UI" w:hAnsi="Segoe UI" w:eastAsia="Segoe UI" w:cs="Segoe UI"/>
      <w:color w:val="000000"/>
      <w:sz w:val="24"/>
      <w:szCs w:val="24"/>
      <w:u w:val="none"/>
    </w:rPr>
  </w:style>
  <w:style w:type="character" w:customStyle="1" w:styleId="25">
    <w:name w:val="font51"/>
    <w:basedOn w:val="16"/>
    <w:qFormat/>
    <w:uiPriority w:val="0"/>
    <w:rPr>
      <w:rFonts w:hint="eastAsia" w:ascii="宋体" w:hAnsi="宋体" w:eastAsia="宋体" w:cs="宋体"/>
      <w:color w:val="000000"/>
      <w:sz w:val="23"/>
      <w:szCs w:val="23"/>
      <w:u w:val="none"/>
    </w:rPr>
  </w:style>
  <w:style w:type="character" w:customStyle="1" w:styleId="26">
    <w:name w:val="font61"/>
    <w:basedOn w:val="16"/>
    <w:qFormat/>
    <w:uiPriority w:val="0"/>
    <w:rPr>
      <w:rFonts w:hint="default" w:ascii="Segoe UI" w:hAnsi="Segoe UI" w:eastAsia="Segoe UI" w:cs="Segoe UI"/>
      <w:color w:val="000000"/>
      <w:sz w:val="23"/>
      <w:szCs w:val="23"/>
      <w:u w:val="none"/>
    </w:rPr>
  </w:style>
  <w:style w:type="character" w:customStyle="1" w:styleId="27">
    <w:name w:val="font71"/>
    <w:basedOn w:val="16"/>
    <w:qFormat/>
    <w:uiPriority w:val="0"/>
    <w:rPr>
      <w:rFonts w:hint="default" w:ascii="Times New Roman" w:hAnsi="Times New Roman" w:cs="Times New Roman"/>
      <w:color w:val="000000"/>
      <w:sz w:val="23"/>
      <w:szCs w:val="23"/>
      <w:u w:val="none"/>
    </w:rPr>
  </w:style>
  <w:style w:type="character" w:customStyle="1" w:styleId="28">
    <w:name w:val="批注文字 字符"/>
    <w:basedOn w:val="16"/>
    <w:link w:val="6"/>
    <w:qFormat/>
    <w:uiPriority w:val="0"/>
    <w:rPr>
      <w:rFonts w:asciiTheme="minorHAnsi" w:hAnsiTheme="minorHAnsi" w:eastAsiaTheme="minorEastAsia" w:cstheme="minorBidi"/>
      <w:kern w:val="2"/>
      <w:sz w:val="21"/>
      <w:szCs w:val="24"/>
    </w:rPr>
  </w:style>
  <w:style w:type="character" w:customStyle="1" w:styleId="29">
    <w:name w:val="批注主题 字符"/>
    <w:basedOn w:val="28"/>
    <w:link w:val="13"/>
    <w:qFormat/>
    <w:uiPriority w:val="0"/>
    <w:rPr>
      <w:rFonts w:asciiTheme="minorHAnsi" w:hAnsiTheme="minorHAnsi" w:eastAsiaTheme="minorEastAsia" w:cstheme="minorBidi"/>
      <w:b/>
      <w:bCs/>
      <w:kern w:val="2"/>
      <w:sz w:val="21"/>
      <w:szCs w:val="24"/>
    </w:rPr>
  </w:style>
  <w:style w:type="character" w:customStyle="1" w:styleId="30">
    <w:name w:val="标题 1 字符"/>
    <w:link w:val="2"/>
    <w:qFormat/>
    <w:uiPriority w:val="0"/>
    <w:rPr>
      <w:rFonts w:ascii="宋体" w:hAnsi="宋体" w:eastAsia="宋体" w:cs="宋体"/>
      <w:b/>
      <w:color w:val="000000" w:themeColor="text1"/>
      <w:sz w:val="28"/>
      <w:szCs w:val="28"/>
      <w14:textFill>
        <w14:solidFill>
          <w14:schemeClr w14:val="tx1"/>
        </w14:solidFill>
      </w14:textFill>
    </w:rPr>
  </w:style>
  <w:style w:type="paragraph" w:customStyle="1" w:styleId="31">
    <w:name w:val="中国园林正文"/>
    <w:basedOn w:val="1"/>
    <w:link w:val="32"/>
    <w:qFormat/>
    <w:uiPriority w:val="0"/>
    <w:pPr>
      <w:widowControl w:val="0"/>
      <w:autoSpaceDE w:val="0"/>
      <w:autoSpaceDN w:val="0"/>
      <w:adjustRightInd w:val="0"/>
      <w:spacing w:line="324" w:lineRule="auto"/>
      <w:ind w:firstLine="340" w:firstLineChars="200"/>
      <w:jc w:val="both"/>
      <w:textAlignment w:val="center"/>
    </w:pPr>
    <w:rPr>
      <w:rFonts w:ascii="黑体" w:hAnsi="黑体" w:eastAsia="黑体" w:cs="方正兰亭纤黑_GBK"/>
      <w:color w:val="000000"/>
      <w:sz w:val="17"/>
      <w:szCs w:val="17"/>
      <w:lang w:eastAsia="zh-CN"/>
    </w:rPr>
  </w:style>
  <w:style w:type="character" w:customStyle="1" w:styleId="32">
    <w:name w:val="中国园林正文 Char"/>
    <w:link w:val="31"/>
    <w:qFormat/>
    <w:uiPriority w:val="0"/>
    <w:rPr>
      <w:rFonts w:ascii="黑体" w:hAnsi="黑体" w:eastAsia="黑体" w:cs="方正兰亭纤黑_GBK"/>
      <w:color w:val="000000"/>
      <w:sz w:val="17"/>
      <w:szCs w:val="17"/>
      <w:lang w:eastAsia="zh-CN"/>
    </w:rPr>
  </w:style>
  <w:style w:type="paragraph" w:customStyle="1" w:styleId="33">
    <w:name w:val="风景园林二三级标题"/>
    <w:basedOn w:val="1"/>
    <w:uiPriority w:val="0"/>
    <w:pPr>
      <w:adjustRightInd w:val="0"/>
      <w:snapToGrid w:val="0"/>
      <w:ind w:firstLine="0" w:firstLineChars="0"/>
    </w:pPr>
    <w:rPr>
      <w:rFonts w:ascii="Times New Roman" w:hAnsi="Times New Roman" w:eastAsia="宋体" w:cs="Times New Roman"/>
      <w:b/>
      <w:color w:val="000000" w:themeColor="text1"/>
      <w:szCs w:val="21"/>
      <w14:textFill>
        <w14:solidFill>
          <w14:schemeClr w14:val="tx1"/>
        </w14:solidFill>
      </w14:textFill>
    </w:rPr>
  </w:style>
  <w:style w:type="paragraph" w:customStyle="1" w:styleId="34">
    <w:name w:val="风园正文"/>
    <w:basedOn w:val="1"/>
    <w:link w:val="41"/>
    <w:uiPriority w:val="0"/>
    <w:rPr>
      <w:rFonts w:ascii="Times New Roman" w:hAnsi="Times New Roman" w:eastAsia="宋体" w:cs="Times New Roman"/>
    </w:rPr>
  </w:style>
  <w:style w:type="paragraph" w:customStyle="1" w:styleId="35">
    <w:name w:val="丰原引用标"/>
    <w:basedOn w:val="1"/>
    <w:link w:val="44"/>
    <w:uiPriority w:val="0"/>
    <w:pPr>
      <w:widowControl/>
      <w:jc w:val="left"/>
    </w:pPr>
    <w:rPr>
      <w:rFonts w:ascii="Times New Roman" w:hAnsi="Times New Roman" w:eastAsia="宋体" w:cs="Times New Roman"/>
      <w:color w:val="C00000"/>
      <w:vertAlign w:val="superscript"/>
    </w:rPr>
  </w:style>
  <w:style w:type="paragraph" w:customStyle="1" w:styleId="36">
    <w:name w:val="南方建筑表名"/>
    <w:basedOn w:val="1"/>
    <w:qFormat/>
    <w:uiPriority w:val="0"/>
    <w:rPr>
      <w:rFonts w:ascii="宋体" w:hAnsi="宋体" w:eastAsia="宋体" w:cs="黑体"/>
      <w:b/>
      <w:sz w:val="15"/>
      <w:szCs w:val="15"/>
      <w:lang w:val="zh-TW" w:eastAsia="zh-CN"/>
    </w:rPr>
  </w:style>
  <w:style w:type="paragraph" w:customStyle="1" w:styleId="37">
    <w:name w:val="北林正文"/>
    <w:basedOn w:val="1"/>
    <w:qFormat/>
    <w:uiPriority w:val="0"/>
    <w:pPr>
      <w:spacing w:line="264" w:lineRule="auto"/>
      <w:ind w:firstLine="400" w:firstLineChars="200"/>
    </w:pPr>
    <w:rPr>
      <w:rFonts w:eastAsia="宋体" w:cs="Times New Roman"/>
      <w:sz w:val="20"/>
      <w:szCs w:val="20"/>
      <w:lang w:val="zh-TW" w:eastAsia="zh-CN"/>
    </w:rPr>
  </w:style>
  <w:style w:type="paragraph" w:customStyle="1" w:styleId="38">
    <w:name w:val="南方建筑正文"/>
    <w:basedOn w:val="1"/>
    <w:qFormat/>
    <w:uiPriority w:val="0"/>
    <w:pPr>
      <w:ind w:firstLine="480" w:firstLineChars="200"/>
    </w:pPr>
    <w:rPr>
      <w:rFonts w:ascii="宋体" w:hAnsi="宋体" w:eastAsia="宋体" w:cs="方正中等线简体"/>
      <w:u w:color="FF0000"/>
      <w:lang w:val="zh-TW" w:eastAsia="zh-CN"/>
    </w:rPr>
  </w:style>
  <w:style w:type="paragraph" w:customStyle="1" w:styleId="39">
    <w:name w:val="中国园林表名"/>
    <w:basedOn w:val="1"/>
    <w:qFormat/>
    <w:uiPriority w:val="0"/>
    <w:pPr>
      <w:jc w:val="both"/>
    </w:pPr>
    <w:rPr>
      <w:rFonts w:hint="eastAsia" w:ascii="黑体" w:hAnsi="黑体" w:eastAsia="黑体" w:cs="黑体"/>
      <w:bCs/>
      <w:sz w:val="13"/>
      <w:szCs w:val="13"/>
      <w:lang w:eastAsia="zh-CN"/>
    </w:rPr>
  </w:style>
  <w:style w:type="paragraph" w:customStyle="1" w:styleId="40">
    <w:name w:val="风景一级标题"/>
    <w:basedOn w:val="1"/>
    <w:uiPriority w:val="0"/>
    <w:pPr>
      <w:ind w:firstLine="0" w:firstLineChars="0"/>
    </w:pPr>
    <w:rPr>
      <w:rFonts w:ascii="Times New Roman" w:hAnsi="Times New Roman" w:eastAsia="宋体" w:cs="Times New Roman"/>
      <w:b/>
      <w:bCs/>
      <w:color w:val="000000"/>
      <w:sz w:val="28"/>
      <w:szCs w:val="28"/>
      <w:shd w:val="clear" w:color="auto" w:fill="FFFFFF"/>
    </w:rPr>
  </w:style>
  <w:style w:type="character" w:customStyle="1" w:styleId="41">
    <w:name w:val="风园正文 Char"/>
    <w:link w:val="34"/>
    <w:uiPriority w:val="0"/>
    <w:rPr>
      <w:rFonts w:ascii="Times New Roman" w:hAnsi="Times New Roman" w:eastAsia="宋体" w:cs="Times New Roman"/>
    </w:rPr>
  </w:style>
  <w:style w:type="paragraph" w:customStyle="1" w:styleId="42">
    <w:name w:val="风园摘要英文"/>
    <w:basedOn w:val="1"/>
    <w:link w:val="43"/>
    <w:uiPriority w:val="0"/>
    <w:pPr>
      <w:adjustRightInd w:val="0"/>
      <w:snapToGrid w:val="0"/>
      <w:ind w:firstLine="0" w:firstLineChars="0"/>
    </w:pPr>
    <w:rPr>
      <w:rFonts w:ascii="Times New Roman" w:hAnsi="Times New Roman" w:eastAsia="Segoe UI" w:cs="Times New Roman"/>
      <w:color w:val="0F1115"/>
      <w:szCs w:val="21"/>
      <w:shd w:val="clear" w:fill="FFFFFF"/>
    </w:rPr>
  </w:style>
  <w:style w:type="character" w:customStyle="1" w:styleId="43">
    <w:name w:val="风园摘要英文 Char"/>
    <w:link w:val="42"/>
    <w:uiPriority w:val="0"/>
    <w:rPr>
      <w:rFonts w:ascii="Times New Roman" w:hAnsi="Times New Roman" w:eastAsia="Segoe UI" w:cs="Times New Roman"/>
      <w:color w:val="0F1115"/>
      <w:szCs w:val="21"/>
      <w:shd w:val="clear" w:fill="FFFFFF"/>
    </w:rPr>
  </w:style>
  <w:style w:type="character" w:customStyle="1" w:styleId="44">
    <w:name w:val="丰原引用标 Char"/>
    <w:link w:val="35"/>
    <w:uiPriority w:val="0"/>
    <w:rPr>
      <w:rFonts w:ascii="Times New Roman" w:hAnsi="Times New Roman" w:eastAsia="宋体" w:cs="Times New Roman"/>
      <w:color w:val="C00000"/>
      <w:kern w:val="2"/>
      <w:sz w:val="21"/>
      <w:szCs w:val="24"/>
      <w:vertAlign w:val="superscript"/>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19" Type="http://schemas.openxmlformats.org/officeDocument/2006/relationships/comments" Target="comment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15976</Words>
  <Characters>29612</Characters>
  <Lines>559</Lines>
  <Paragraphs>371</Paragraphs>
  <TotalTime>0</TotalTime>
  <ScaleCrop>false</ScaleCrop>
  <LinksUpToDate>false</LinksUpToDate>
  <CharactersWithSpaces>31784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2025-08-13T08:26:00Z</dcterms:created>
  <dc:creator>ocean</dc:creator>
  <cp:lastModifiedBy>小方</cp:lastModifiedBy>
  <dcterms:modified xsi:type="dcterms:W3CDTF">2026-06-01T07:59:57Z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eyJoZGlkIjoiYmMzZDljYTk0YTg2NWQzY2YyZjM5MDcxODIxNGIyYzUiLCJ1c2VySWQiOiIyNTAyNjU3NjYifQ==</vt:lpwstr>
  </property>
  <property fmtid="{D5CDD505-2E9C-101B-9397-08002B2CF9AE}" pid="4" name="ICV">
    <vt:lpwstr>610765F946F44A30A9FFA5BD07DBDEAC_13</vt:lpwstr>
  </property>
</Properties>
</file>