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两篇论文修订稿修改说明</w:t>
      </w:r>
    </w:p>
    <w:p>
      <w:r>
        <w:t>任务日期：2026-06-01</w:t>
      </w:r>
    </w:p>
    <w:p>
      <w:r>
        <w:t>说明：本次未覆盖原稿；所有直接改动均在修订稿中标黄，并在对应位置添加 Word 批注。</w:t>
      </w:r>
    </w:p>
    <w:p>
      <w:pPr>
        <w:pStyle w:val="Heading1"/>
      </w:pPr>
      <w:r>
        <w:t>论文一修改摘要</w:t>
      </w:r>
    </w:p>
    <w:p>
      <w:pPr>
        <w:pStyle w:val="ListBullet"/>
      </w:pPr>
      <w:r>
        <w:t>论文一：清理零宽字符和不间断空格。</w:t>
      </w:r>
    </w:p>
    <w:p>
      <w:pPr>
        <w:pStyle w:val="ListBullet"/>
      </w:pPr>
      <w:r>
        <w:t>论文一：清理零宽字符和不间断空格。</w:t>
      </w:r>
    </w:p>
    <w:p>
      <w:pPr>
        <w:pStyle w:val="ListBullet"/>
      </w:pPr>
      <w:r>
        <w:t>论文一：清理零宽字符和不间断空格。</w:t>
      </w:r>
    </w:p>
    <w:p>
      <w:pPr>
        <w:pStyle w:val="ListBullet"/>
      </w:pPr>
      <w:r>
        <w:t>论文一：清理零宽字符和不间断空格。</w:t>
      </w:r>
    </w:p>
    <w:p>
      <w:pPr>
        <w:pStyle w:val="ListBullet"/>
      </w:pPr>
      <w:r>
        <w:t>论文一：清理零宽字符和不间断空格。</w:t>
      </w:r>
    </w:p>
    <w:p>
      <w:pPr>
        <w:pStyle w:val="ListBullet"/>
      </w:pPr>
      <w:r>
        <w:t>论文一：清理零宽字符和不间断空格。</w:t>
      </w:r>
    </w:p>
    <w:p>
      <w:pPr>
        <w:pStyle w:val="ListBullet"/>
      </w:pPr>
      <w:r>
        <w:t>论文一：清理零宽字符和不间断空格。</w:t>
      </w:r>
    </w:p>
    <w:p>
      <w:pPr>
        <w:pStyle w:val="ListBullet"/>
      </w:pPr>
      <w:r>
        <w:t>论文一：清理零宽字符和不间断空格。</w:t>
      </w:r>
    </w:p>
    <w:p>
      <w:pPr>
        <w:pStyle w:val="ListBullet"/>
      </w:pPr>
      <w:r>
        <w:t>论文一：清理零宽字符和不间断空格。</w:t>
      </w:r>
    </w:p>
    <w:p>
      <w:pPr>
        <w:pStyle w:val="ListBullet"/>
      </w:pPr>
      <w:r>
        <w:t>论文一：将 `Key words:Cultural Ecosystem Services` 改为 `Key words: Cultural Ecosystem Services`。</w:t>
      </w:r>
    </w:p>
    <w:p>
      <w:pPr>
        <w:pStyle w:val="ListBullet"/>
      </w:pPr>
      <w:r>
        <w:t>论文一：将 `公园选址和分类` 改为 `1.1 公园选址和分类`。</w:t>
      </w:r>
    </w:p>
    <w:p>
      <w:pPr>
        <w:pStyle w:val="ListBullet"/>
      </w:pPr>
      <w:r>
        <w:t>论文一：将 `表3百度智能云API平台情感感知倾向分析参数` 改为 `表3 百度智能云API平台情感感知倾向分析参数`。</w:t>
      </w:r>
    </w:p>
    <w:p>
      <w:pPr>
        <w:pStyle w:val="ListBullet"/>
      </w:pPr>
      <w:r>
        <w:t>论文一：将 `图2总体要素感知频率和感知倾向箱图` 改为 `图2 总体要素感知频率和感知倾向箱图`。</w:t>
      </w:r>
    </w:p>
    <w:p>
      <w:pPr>
        <w:pStyle w:val="ListBullet"/>
      </w:pPr>
      <w:r>
        <w:t>论文一：将 `Costanza[15]等、Mónica[16]等` 改为 `Costanza 等[15]、Hernández-Morcillo 等[16]`。</w:t>
      </w:r>
    </w:p>
    <w:p>
      <w:pPr>
        <w:pStyle w:val="ListBullet"/>
      </w:pPr>
      <w:r>
        <w:t>论文一：将 `表5指导GPT-4.5与DeepSeek-R1的文化生态系统服务（CES）多标签分类的代表性少样本示例` 改为 `表5 指导GPT-4.5与DeepSeek-R1的文化生态系统服务（CES）多标签分类的代表性少样本示例`。</w:t>
      </w:r>
    </w:p>
    <w:p>
      <w:pPr>
        <w:pStyle w:val="ListBullet"/>
      </w:pPr>
      <w:r>
        <w:t>论文一：修正 Word 公式对象中的 Fij=CijCi。</w:t>
      </w:r>
    </w:p>
    <w:p>
      <w:pPr>
        <w:pStyle w:val="ListBullet"/>
      </w:pPr>
      <w:r>
        <w:t>论文一：弱化百度情感分析准确率表述，并插入官方文档引用。</w:t>
      </w:r>
    </w:p>
    <w:p>
      <w:pPr>
        <w:pStyle w:val="ListBullet"/>
      </w:pPr>
      <w:r>
        <w:t>论文一：在引言方法概述处新增 LLM 方法来源引用。</w:t>
      </w:r>
    </w:p>
    <w:p>
      <w:pPr>
        <w:pStyle w:val="ListBullet"/>
      </w:pPr>
      <w:r>
        <w:t>论文一：在社交媒体偏差讨论处新增近作文献引用。</w:t>
      </w:r>
    </w:p>
    <w:p>
      <w:pPr>
        <w:pStyle w:val="ListBullet"/>
      </w:pPr>
      <w:r>
        <w:t>论文一：标注需作者确认的位置 `人工抽查97条样本`。</w:t>
      </w:r>
    </w:p>
    <w:p>
      <w:pPr>
        <w:pStyle w:val="ListBullet"/>
      </w:pPr>
      <w:r>
        <w:t>论文一：标注需作者确认的位置 `随机抽查不少于5%的候选句`。</w:t>
      </w:r>
    </w:p>
    <w:p>
      <w:pPr>
        <w:pStyle w:val="ListBullet"/>
      </w:pPr>
      <w:r>
        <w:t>论文一：标注需作者确认的位置 `低需低供表示`。</w:t>
      </w:r>
    </w:p>
    <w:p>
      <w:pPr>
        <w:pStyle w:val="ListBullet"/>
      </w:pPr>
      <w:r>
        <w:t>论文一：标注需作者确认的位置 `表1 深圳市52个公园类型划分`。</w:t>
      </w:r>
    </w:p>
    <w:p>
      <w:pPr>
        <w:pStyle w:val="ListBullet"/>
      </w:pPr>
      <w:r>
        <w:t>论文一：标注需作者确认的位置 `文章编号：`。</w:t>
      </w:r>
    </w:p>
    <w:p>
      <w:pPr>
        <w:pStyle w:val="ListBullet"/>
      </w:pPr>
      <w:r>
        <w:t>论文一：标注需作者确认的位置 `DOI：`。</w:t>
      </w:r>
    </w:p>
    <w:p>
      <w:pPr>
        <w:pStyle w:val="ListBullet"/>
      </w:pPr>
      <w:r>
        <w:t>论文一：标注需作者确认的位置 `收稿日期：`。</w:t>
      </w:r>
    </w:p>
    <w:p>
      <w:pPr>
        <w:pStyle w:val="ListBullet"/>
      </w:pPr>
      <w:r>
        <w:t>论文一：标注需作者确认的位置 `修回日期：`。</w:t>
      </w:r>
    </w:p>
    <w:p>
      <w:pPr>
        <w:pStyle w:val="ListBullet"/>
      </w:pPr>
      <w:r>
        <w:t>论文一：将 DeepSeek-R1 参考文献替换为 Nature 正式题录。</w:t>
      </w:r>
    </w:p>
    <w:p>
      <w:pPr>
        <w:pStyle w:val="ListBullet"/>
      </w:pPr>
      <w:r>
        <w:t>论文一：修正声景文献作者名和格式。</w:t>
      </w:r>
    </w:p>
    <w:p>
      <w:pPr>
        <w:pStyle w:val="ListBullet"/>
      </w:pPr>
      <w:r>
        <w:t>论文一：删除文末编辑占位符。</w:t>
      </w:r>
    </w:p>
    <w:p>
      <w:pPr>
        <w:pStyle w:val="ListBullet"/>
      </w:pPr>
      <w:r>
        <w:t>论文一：在文末新增 GPT-4.5、Few-shot、LLM+CES、社交媒体 CES、深圳 CES 和百度官方文档参考文献。</w:t>
      </w:r>
    </w:p>
    <w:p>
      <w:pPr>
        <w:pStyle w:val="Heading1"/>
      </w:pPr>
      <w:r>
        <w:t>论文二修改摘要</w:t>
      </w:r>
    </w:p>
    <w:p>
      <w:pPr>
        <w:pStyle w:val="ListBullet"/>
      </w:pPr>
      <w:r>
        <w:t>论文二：清理零宽字符和不间断空格。</w:t>
      </w:r>
    </w:p>
    <w:p>
      <w:pPr>
        <w:pStyle w:val="ListBullet"/>
      </w:pPr>
      <w:r>
        <w:t>论文二：清理零宽字符和不间断空格。</w:t>
      </w:r>
    </w:p>
    <w:p>
      <w:pPr>
        <w:pStyle w:val="ListBullet"/>
      </w:pPr>
      <w:r>
        <w:t>论文二：清理零宽字符和不间断空格。</w:t>
      </w:r>
    </w:p>
    <w:p>
      <w:pPr>
        <w:pStyle w:val="ListBullet"/>
      </w:pPr>
      <w:r>
        <w:t>论文二：清理零宽字符和不间断空格。</w:t>
      </w:r>
    </w:p>
    <w:p>
      <w:pPr>
        <w:pStyle w:val="ListBullet"/>
      </w:pPr>
      <w:r>
        <w:t>论文二：清理零宽字符和不间断空格。</w:t>
      </w:r>
    </w:p>
    <w:p>
      <w:pPr>
        <w:pStyle w:val="ListBullet"/>
      </w:pPr>
      <w:r>
        <w:t>论文二：清理零宽字符和不间断空格。</w:t>
      </w:r>
    </w:p>
    <w:p>
      <w:pPr>
        <w:pStyle w:val="ListBullet"/>
      </w:pPr>
      <w:r>
        <w:t>论文二：清理零宽字符和不间断空格。</w:t>
      </w:r>
    </w:p>
    <w:p>
      <w:pPr>
        <w:pStyle w:val="ListBullet"/>
      </w:pPr>
      <w:r>
        <w:t>论文二：清理零宽字符和不间断空格。</w:t>
      </w:r>
    </w:p>
    <w:p>
      <w:pPr>
        <w:pStyle w:val="ListBullet"/>
      </w:pPr>
      <w:r>
        <w:t>论文二：清理零宽字符和不间断空格。</w:t>
      </w:r>
    </w:p>
    <w:p>
      <w:pPr>
        <w:pStyle w:val="ListBullet"/>
      </w:pPr>
      <w:r>
        <w:t>论文二：清理零宽字符和不间断空格。</w:t>
      </w:r>
    </w:p>
    <w:p>
      <w:pPr>
        <w:pStyle w:val="ListBullet"/>
      </w:pPr>
      <w:r>
        <w:t>论文二：清理零宽字符和不间断空格。</w:t>
      </w:r>
    </w:p>
    <w:p>
      <w:pPr>
        <w:pStyle w:val="ListBullet"/>
      </w:pPr>
      <w:r>
        <w:t>论文二：清理零宽字符和不间断空格。</w:t>
      </w:r>
    </w:p>
    <w:p>
      <w:pPr>
        <w:pStyle w:val="ListBullet"/>
      </w:pPr>
      <w:r>
        <w:t>论文二：清理零宽字符和不间断空格。</w:t>
      </w:r>
    </w:p>
    <w:p>
      <w:pPr>
        <w:pStyle w:val="ListBullet"/>
      </w:pPr>
      <w:r>
        <w:t>论文二：清理零宽字符和不间断空格。</w:t>
      </w:r>
    </w:p>
    <w:p>
      <w:pPr>
        <w:pStyle w:val="ListBullet"/>
      </w:pPr>
      <w:r>
        <w:t>论文二：清理零宽字符和不间断空格。</w:t>
      </w:r>
    </w:p>
    <w:p>
      <w:pPr>
        <w:pStyle w:val="ListBullet"/>
      </w:pPr>
      <w:r>
        <w:t>论文二：将 `[Objective]Against` 改为 `[Objective] Against`。</w:t>
      </w:r>
    </w:p>
    <w:p>
      <w:pPr>
        <w:pStyle w:val="ListBullet"/>
      </w:pPr>
      <w:r>
        <w:t>论文二：将 `[Methods]Taking` 改为 `[Methods] Taking`。</w:t>
      </w:r>
    </w:p>
    <w:p>
      <w:pPr>
        <w:pStyle w:val="ListBullet"/>
      </w:pPr>
      <w:r>
        <w:t>论文二：将 `Fig.1` 改为 `Fig. 1`。</w:t>
      </w:r>
    </w:p>
    <w:p>
      <w:pPr>
        <w:pStyle w:val="ListBullet"/>
      </w:pPr>
      <w:r>
        <w:t>论文二：将 `Table.1:` 改为 `Table 1`。</w:t>
      </w:r>
    </w:p>
    <w:p>
      <w:pPr>
        <w:pStyle w:val="ListBullet"/>
      </w:pPr>
      <w:r>
        <w:t>论文二：将 `Table.2` 改为 `Table 2`。</w:t>
      </w:r>
    </w:p>
    <w:p>
      <w:pPr>
        <w:pStyle w:val="ListBullet"/>
      </w:pPr>
      <w:r>
        <w:t>论文二：将 `Costanza[16]等、Mónica[17]等` 改为 `Costanza 等[16]、Hernández-Morcillo 等[17]`。</w:t>
      </w:r>
    </w:p>
    <w:p>
      <w:pPr>
        <w:pStyle w:val="ListBullet"/>
      </w:pPr>
      <w:r>
        <w:t>论文二：将 `李如生,WANG Hui` 改为 `李如生, 王辉`。</w:t>
      </w:r>
    </w:p>
    <w:p>
      <w:pPr>
        <w:pStyle w:val="ListBullet"/>
      </w:pPr>
      <w:r>
        <w:t>论文二：修正 Word 公式对象中的 Fij=CijCi。</w:t>
      </w:r>
    </w:p>
    <w:p>
      <w:pPr>
        <w:pStyle w:val="ListBullet"/>
      </w:pPr>
      <w:r>
        <w:t>论文二：弱化百度情感分析准确率表述，并插入官方文档引用。</w:t>
      </w:r>
    </w:p>
    <w:p>
      <w:pPr>
        <w:pStyle w:val="ListBullet"/>
      </w:pPr>
      <w:r>
        <w:t>论文二：在百姓园林与 CES 框架段新增相关文献。</w:t>
      </w:r>
    </w:p>
    <w:p>
      <w:pPr>
        <w:pStyle w:val="ListBullet"/>
      </w:pPr>
      <w:r>
        <w:t>论文二：标注需作者确认的位置 `人工抽查97条样本`。</w:t>
      </w:r>
    </w:p>
    <w:p>
      <w:pPr>
        <w:pStyle w:val="ListBullet"/>
      </w:pPr>
      <w:r>
        <w:t>论文二：标注需作者确认的位置 `处于低需低供区`。</w:t>
      </w:r>
    </w:p>
    <w:p>
      <w:pPr>
        <w:pStyle w:val="ListBullet"/>
      </w:pPr>
      <w:r>
        <w:t>论文二：标注需作者确认的位置 `图表来源(Sources of Figures and Tables)`。</w:t>
      </w:r>
    </w:p>
    <w:p>
      <w:pPr>
        <w:pStyle w:val="ListBullet"/>
      </w:pPr>
      <w:r>
        <w:t>论文二：取消 [4] 英文译文独立编号，修正参考文献错位风险。</w:t>
      </w:r>
    </w:p>
    <w:p>
      <w:pPr>
        <w:pStyle w:val="ListBullet"/>
      </w:pPr>
      <w:r>
        <w:t>论文二：将 DeepSeek-R1 参考文献替换为 Nature 正式题录。</w:t>
      </w:r>
    </w:p>
    <w:p>
      <w:pPr>
        <w:pStyle w:val="ListBullet"/>
      </w:pPr>
      <w:r>
        <w:t>论文二：在文末新增 CES 供需、规划应用、GPT-4.5、Few-shot、LLM+CES 和百度官方文档参考文献。</w:t>
      </w:r>
    </w:p>
    <w:p>
      <w:pPr>
        <w:pStyle w:val="Heading1"/>
      </w:pPr>
      <w:r>
        <w:t>因缺少原始数据而只做批注的位置</w:t>
      </w:r>
    </w:p>
    <w:p>
      <w:pPr>
        <w:pStyle w:val="ListBullet"/>
      </w:pPr>
      <w:r>
        <w:t>97 条人工抽查样本、5%候选句复核、500 条验证集之间的关系需要作者确认。</w:t>
      </w:r>
    </w:p>
    <w:p>
      <w:pPr>
        <w:pStyle w:val="ListBullet"/>
      </w:pPr>
      <w:r>
        <w:t>表 1 公园类别特点是否重复或错填，需要作者核对原始表格。</w:t>
      </w:r>
    </w:p>
    <w:p>
      <w:pPr>
        <w:pStyle w:val="ListBullet"/>
      </w:pPr>
      <w:r>
        <w:t>低需低供象限与岭回归显著正向结果之间，需要作者补充时间尺度或治理优先级解释。</w:t>
      </w:r>
    </w:p>
    <w:p>
      <w:pPr>
        <w:pStyle w:val="ListBullet"/>
      </w:pPr>
      <w:r>
        <w:t>文章编号、DOI、收稿日期、修回日期属于投稿流程字段，未替作者编写。</w:t>
      </w:r>
    </w:p>
    <w:p>
      <w:pPr>
        <w:pStyle w:val="Heading1"/>
      </w:pPr>
      <w:r>
        <w:t>新增或替换参考文献</w:t>
      </w:r>
    </w:p>
    <w:p>
      <w:pPr>
        <w:pStyle w:val="ListNumber"/>
      </w:pPr>
      <w:r>
        <w:t>OPENAI. OpenAI GPT-4.5 system card[EB/OL]. (2025-02-27)[2026-06-01]. https://openai.com/index/gpt-4-5-system-card/.</w:t>
      </w:r>
    </w:p>
    <w:p>
      <w:pPr>
        <w:pStyle w:val="ListNumber"/>
      </w:pPr>
      <w:r>
        <w:t>BROWN T B, MANN B, RYDER N, et al. Language models are few-shot learners[C]//Advances in Neural Information Processing Systems. 2020, 33: 1877-1901.</w:t>
      </w:r>
    </w:p>
    <w:p>
      <w:pPr>
        <w:pStyle w:val="ListNumber"/>
      </w:pPr>
      <w:r>
        <w:t>GUO D Y, YANG D, ZHANG H W, et al. DeepSeek-R1 incentivizes reasoning in LLMs through reinforcement learning[J]. Nature, 2025, 645: 633-638. DOI:10.1038/s41586-025-09422-z.</w:t>
      </w:r>
    </w:p>
    <w:p>
      <w:pPr>
        <w:pStyle w:val="ListNumber"/>
      </w:pPr>
      <w:r>
        <w:t>LUO H, ZHANG Z, ZHU Q, et al. Using large language models to investigate cultural ecosystem services perceptions: a few-shot and prompt method[J]. Landscape and Urban Planning, 2025, 258: 105323. DOI:10.1016/j.landurbplan.2025.105323.</w:t>
      </w:r>
    </w:p>
    <w:p>
      <w:pPr>
        <w:pStyle w:val="ListNumber"/>
      </w:pPr>
      <w:r>
        <w:t>ZHENG S W, REN Y Y, ZHU C Y, et al. Quantifying cultural ecosystem services in urban parks using social media and large language models: insights for Beijing's Garden City initiative[J]. Urban Forestry &amp; Urban Greening, 2026: 129263. DOI:10.1016/j.ufug.2026.129263.</w:t>
      </w:r>
    </w:p>
    <w:p>
      <w:pPr>
        <w:pStyle w:val="ListNumber"/>
      </w:pPr>
      <w:r>
        <w:t>ZHAO Z R, MA Z H, CHEN B Y, et al. Understanding public perceptions of cultural ecosystem services in urban coastal wetland ecological restoration areas: a social media-based large language model approach[J]. Journal of Environmental Management, 2026: 128816. DOI:10.1016/j.jenvman.2026.128816.</w:t>
      </w:r>
    </w:p>
    <w:p>
      <w:pPr>
        <w:pStyle w:val="ListNumber"/>
      </w:pPr>
      <w:r>
        <w:t>GHERMANDI A, et al. Digital windows into nature's values: a critical review of cultural ecosystem services research with social media data[J]. Ecosystem Services, 2026: 101839. DOI:10.1016/j.ecoser.2026.101839.</w:t>
      </w:r>
    </w:p>
    <w:p>
      <w:pPr>
        <w:pStyle w:val="ListNumber"/>
      </w:pPr>
      <w:r>
        <w:t>DANG A R, LI X. Supply-demand relationship and spatial flow of urban cultural ecosystem services: the case of Shenzhen, China[J]. Journal of Cleaner Production, 2023: 138765. DOI:10.1016/j.jclepro.2023.138765.</w:t>
      </w:r>
    </w:p>
    <w:p>
      <w:pPr>
        <w:pStyle w:val="ListNumber"/>
      </w:pPr>
      <w:r>
        <w:t>TU X, HUANG G, WU J, et al. How do visitors' perceptions differ from the supply of cultural ecosystem services in urban parks? The case of Beijing[J]. International Journal of Sustainable Development &amp; World Ecology, 2023. DOI:10.1080/13504509.2023.2234479.</w:t>
      </w:r>
    </w:p>
    <w:p>
      <w:pPr>
        <w:pStyle w:val="ListNumber"/>
      </w:pPr>
      <w:r>
        <w:t>PARK S, et al. Operationalizing cultural ecosystem services in urban green planning: a systematic review[J]. Frontiers in Sustainable Cities, 2026. DOI:10.3389/frsc.2026.1768123.</w:t>
      </w:r>
    </w:p>
    <w:p>
      <w:pPr>
        <w:pStyle w:val="ListNumber"/>
      </w:pPr>
      <w:r>
        <w:t>百度智能云. NLP-Python-SDK：情感倾向分析[EB/OL]. [2026-06-01]. https://cloud.baidu.com/doc/NLP/s/tk6z52b9z.</w:t>
      </w:r>
    </w:p>
    <w:p>
      <w:pPr>
        <w:pStyle w:val="ListNumber"/>
      </w:pPr>
      <w:r>
        <w:t>百度智能云. 情感倾向分析_情感倾向分析算法[EB/OL]. [2026-06-01]. https://cloud.baidu.com/product/nlp_apply/sentiment_classify.</w:t>
      </w:r>
    </w:p>
    <w:p>
      <w:pPr>
        <w:pStyle w:val="ListNumber"/>
      </w:pPr>
      <w:r>
        <w:t>HONG J Y, JEON J Y. Designing sound and visual components for enhancement of urban soundscapes[J]. The Journal of the Acoustical Society of America, 2013, 134(3): 2026-2036. DOI:10.1121/1.4817924.</w:t>
      </w:r>
    </w:p>
    <w:p>
      <w:pPr>
        <w:pStyle w:val="Heading1"/>
      </w:pPr>
      <w:r>
        <w:t>联网来源和访问状态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来源</w:t>
            </w:r>
          </w:p>
        </w:tc>
        <w:tc>
          <w:tcPr>
            <w:tcW w:type="dxa" w:w="2880"/>
          </w:tcPr>
          <w:p>
            <w:r>
              <w:t>链接</w:t>
            </w:r>
          </w:p>
        </w:tc>
        <w:tc>
          <w:tcPr>
            <w:tcW w:type="dxa" w:w="2880"/>
          </w:tcPr>
          <w:p>
            <w:r>
              <w:t>访问状态</w:t>
            </w:r>
          </w:p>
        </w:tc>
      </w:tr>
      <w:tr>
        <w:tc>
          <w:tcPr>
            <w:tcW w:type="dxa" w:w="2880"/>
          </w:tcPr>
          <w:p>
            <w:r>
              <w:t>OpenAI GPT-4.5 system card</w:t>
            </w:r>
          </w:p>
        </w:tc>
        <w:tc>
          <w:tcPr>
            <w:tcW w:type="dxa" w:w="2880"/>
          </w:tcPr>
          <w:p>
            <w:r>
              <w:t>https://openai.com/index/gpt-4-5-system-card/</w:t>
            </w:r>
          </w:p>
        </w:tc>
        <w:tc>
          <w:tcPr>
            <w:tcW w:type="dxa" w:w="2880"/>
          </w:tcPr>
          <w:p>
            <w:r>
              <w:t>官方网页</w:t>
            </w:r>
          </w:p>
        </w:tc>
      </w:tr>
      <w:tr>
        <w:tc>
          <w:tcPr>
            <w:tcW w:type="dxa" w:w="2880"/>
          </w:tcPr>
          <w:p>
            <w:r>
              <w:t>DeepSeek-R1 Nature</w:t>
            </w:r>
          </w:p>
        </w:tc>
        <w:tc>
          <w:tcPr>
            <w:tcW w:type="dxa" w:w="2880"/>
          </w:tcPr>
          <w:p>
            <w:r>
              <w:t>https://doi.org/10.1038/s41586-025-09422-z</w:t>
            </w:r>
          </w:p>
        </w:tc>
        <w:tc>
          <w:tcPr>
            <w:tcW w:type="dxa" w:w="2880"/>
          </w:tcPr>
          <w:p>
            <w:r>
              <w:t>DOI/出版社元数据</w:t>
            </w:r>
          </w:p>
        </w:tc>
      </w:tr>
      <w:tr>
        <w:tc>
          <w:tcPr>
            <w:tcW w:type="dxa" w:w="2880"/>
          </w:tcPr>
          <w:p>
            <w:r>
              <w:t>Luo 2025 LLM+CES</w:t>
            </w:r>
          </w:p>
        </w:tc>
        <w:tc>
          <w:tcPr>
            <w:tcW w:type="dxa" w:w="2880"/>
          </w:tcPr>
          <w:p>
            <w:r>
              <w:t>https://doi.org/10.1016/j.landurbplan.2025.105323</w:t>
            </w:r>
          </w:p>
        </w:tc>
        <w:tc>
          <w:tcPr>
            <w:tcW w:type="dxa" w:w="2880"/>
          </w:tcPr>
          <w:p>
            <w:r>
              <w:t>DOI/出版社元数据</w:t>
            </w:r>
          </w:p>
        </w:tc>
      </w:tr>
      <w:tr>
        <w:tc>
          <w:tcPr>
            <w:tcW w:type="dxa" w:w="2880"/>
          </w:tcPr>
          <w:p>
            <w:r>
              <w:t>Zheng 2026 城市公园 LLM+CES</w:t>
            </w:r>
          </w:p>
        </w:tc>
        <w:tc>
          <w:tcPr>
            <w:tcW w:type="dxa" w:w="2880"/>
          </w:tcPr>
          <w:p>
            <w:r>
              <w:t>https://doi.org/10.1016/j.ufug.2026.129263</w:t>
            </w:r>
          </w:p>
        </w:tc>
        <w:tc>
          <w:tcPr>
            <w:tcW w:type="dxa" w:w="2880"/>
          </w:tcPr>
          <w:p>
            <w:r>
              <w:t>DOI/出版社元数据，部分仅基于摘要/元数据判断</w:t>
            </w:r>
          </w:p>
        </w:tc>
      </w:tr>
      <w:tr>
        <w:tc>
          <w:tcPr>
            <w:tcW w:type="dxa" w:w="2880"/>
          </w:tcPr>
          <w:p>
            <w:r>
              <w:t>Zhao 2026 湿地恢复 LLM+CES</w:t>
            </w:r>
          </w:p>
        </w:tc>
        <w:tc>
          <w:tcPr>
            <w:tcW w:type="dxa" w:w="2880"/>
          </w:tcPr>
          <w:p>
            <w:r>
              <w:t>https://doi.org/10.1016/j.jenvman.2026.128816</w:t>
            </w:r>
          </w:p>
        </w:tc>
        <w:tc>
          <w:tcPr>
            <w:tcW w:type="dxa" w:w="2880"/>
          </w:tcPr>
          <w:p>
            <w:r>
              <w:t>DOI/出版社元数据，部分仅基于摘要/元数据判断</w:t>
            </w:r>
          </w:p>
        </w:tc>
      </w:tr>
      <w:tr>
        <w:tc>
          <w:tcPr>
            <w:tcW w:type="dxa" w:w="2880"/>
          </w:tcPr>
          <w:p>
            <w:r>
              <w:t>百度智能云情感倾向分析</w:t>
            </w:r>
          </w:p>
        </w:tc>
        <w:tc>
          <w:tcPr>
            <w:tcW w:type="dxa" w:w="2880"/>
          </w:tcPr>
          <w:p>
            <w:r>
              <w:t>https://cloud.baidu.com/doc/NLP/s/tk6z52b9z</w:t>
            </w:r>
          </w:p>
        </w:tc>
        <w:tc>
          <w:tcPr>
            <w:tcW w:type="dxa" w:w="2880"/>
          </w:tcPr>
          <w:p>
            <w:r>
              <w:t>官方文档</w:t>
            </w:r>
          </w:p>
        </w:tc>
      </w:tr>
    </w:tbl>
    <w:p>
      <w:pPr>
        <w:pStyle w:val="Heading1"/>
      </w:pPr>
      <w:r>
        <w:t>验收说明</w:t>
      </w:r>
    </w:p>
    <w:p>
      <w:pPr>
        <w:pStyle w:val="ListBullet"/>
      </w:pPr>
      <w:r>
        <w:t>已检查两份修订稿包含黄色高亮和 Word 批注。</w:t>
      </w:r>
    </w:p>
    <w:p>
      <w:pPr>
        <w:pStyle w:val="ListBullet"/>
      </w:pPr>
      <w:r>
        <w:t>已检查新增参考文献写入文末。</w:t>
      </w:r>
    </w:p>
    <w:p>
      <w:pPr>
        <w:pStyle w:val="ListBullet"/>
      </w:pPr>
      <w:r>
        <w:t>已检查图片和表格数量未异常丢失。</w:t>
      </w:r>
    </w:p>
    <w:p>
      <w:pPr>
        <w:pStyle w:val="ListBullet"/>
      </w:pPr>
      <w:r>
        <w:t>本机缺少 LibreOffice/soffice 和 pdftoppm，无法完成截图级版式验收。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