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E691F6">
      <w:pPr>
        <w:pStyle w:val="2"/>
        <w:keepNext w:val="0"/>
        <w:keepLines w:val="0"/>
        <w:shd w:val="clear" w:color="auto" w:fill="FFFFFF"/>
        <w:spacing w:before="0" w:after="0" w:line="525" w:lineRule="atLeast"/>
        <w:jc w:val="center"/>
        <w:textAlignment w:val="center"/>
        <w:rPr>
          <w:rFonts w:hint="eastAsia" w:ascii="黑体" w:hAnsi="黑体" w:eastAsia="黑体" w:cs="方正兰亭中黑_GBK"/>
          <w:b w:val="0"/>
          <w:bCs w:val="0"/>
          <w:color w:val="000000"/>
          <w:spacing w:val="-10"/>
          <w:kern w:val="0"/>
          <w:sz w:val="32"/>
          <w:szCs w:val="32"/>
          <w:lang w:eastAsia="zh-CN"/>
        </w:rPr>
      </w:pPr>
      <w:r>
        <w:rPr>
          <w:rFonts w:hint="eastAsia" w:ascii="黑体" w:hAnsi="黑体" w:eastAsia="黑体" w:cs="方正兰亭中黑_GBK"/>
          <w:b w:val="0"/>
          <w:bCs w:val="0"/>
          <w:color w:val="000000"/>
          <w:spacing w:val="-10"/>
          <w:kern w:val="0"/>
          <w:sz w:val="32"/>
          <w:szCs w:val="32"/>
          <w:lang w:val="zh-CN" w:eastAsia="zh-CN"/>
        </w:rPr>
        <w:t>基于大语言模型的城市</w:t>
      </w:r>
      <w:r>
        <w:rPr>
          <w:rFonts w:hint="eastAsia" w:ascii="黑体" w:hAnsi="黑体" w:eastAsia="黑体" w:cs="方正兰亭中黑_GBK"/>
          <w:b w:val="0"/>
          <w:bCs w:val="0"/>
          <w:color w:val="000000"/>
          <w:spacing w:val="-10"/>
          <w:kern w:val="0"/>
          <w:sz w:val="32"/>
          <w:szCs w:val="32"/>
          <w:lang w:val="en-US" w:eastAsia="zh-CN"/>
        </w:rPr>
        <w:t>公园</w:t>
      </w:r>
      <w:r>
        <w:rPr>
          <w:rFonts w:hint="eastAsia" w:ascii="黑体" w:hAnsi="黑体" w:eastAsia="黑体" w:cs="方正兰亭中黑_GBK"/>
          <w:b w:val="0"/>
          <w:bCs w:val="0"/>
          <w:color w:val="000000"/>
          <w:spacing w:val="-10"/>
          <w:kern w:val="0"/>
          <w:sz w:val="32"/>
          <w:szCs w:val="32"/>
          <w:lang w:eastAsia="zh-CN"/>
        </w:rPr>
        <w:t>生态系统文化服务供需</w:t>
      </w:r>
      <w:r>
        <w:rPr>
          <w:rFonts w:hint="eastAsia" w:ascii="黑体" w:hAnsi="黑体" w:eastAsia="黑体" w:cs="方正兰亭中黑_GBK"/>
          <w:b w:val="0"/>
          <w:bCs w:val="0"/>
          <w:color w:val="000000"/>
          <w:spacing w:val="-10"/>
          <w:kern w:val="0"/>
          <w:sz w:val="32"/>
          <w:szCs w:val="32"/>
          <w:lang w:val="zh-CN" w:eastAsia="zh-CN"/>
        </w:rPr>
        <w:t>评价</w:t>
      </w:r>
      <w:r>
        <w:rPr>
          <w:rFonts w:hint="eastAsia" w:ascii="黑体" w:hAnsi="黑体" w:eastAsia="黑体" w:cs="方正兰亭中黑_GBK"/>
          <w:b w:val="0"/>
          <w:bCs w:val="0"/>
          <w:color w:val="000000"/>
          <w:spacing w:val="-10"/>
          <w:kern w:val="0"/>
          <w:sz w:val="32"/>
          <w:szCs w:val="32"/>
          <w:lang w:eastAsia="zh-CN"/>
        </w:rPr>
        <w:t>研究</w:t>
      </w:r>
    </w:p>
    <w:p w14:paraId="723C149B">
      <w:pPr>
        <w:spacing w:line="300" w:lineRule="auto"/>
        <w:jc w:val="center"/>
        <w:rPr>
          <w:rFonts w:hint="eastAsia" w:ascii="黑体" w:hAnsi="黑体" w:eastAsia="黑体" w:cs="方正兰亭中黑_GBK"/>
          <w:color w:val="000000"/>
          <w:spacing w:val="-10"/>
          <w:sz w:val="32"/>
          <w:szCs w:val="32"/>
          <w:lang w:eastAsia="zh-CN"/>
        </w:rPr>
        <w:sectPr>
          <w:footerReference r:id="rId3" w:type="default"/>
          <w:type w:val="continuous"/>
          <w:pgSz w:w="11900" w:h="16840"/>
          <w:pgMar w:top="1985" w:right="851" w:bottom="1134" w:left="1134" w:header="709" w:footer="709" w:gutter="0"/>
          <w:cols w:space="708" w:num="1"/>
          <w:docGrid w:linePitch="360" w:charSpace="0"/>
        </w:sectPr>
      </w:pPr>
      <w:r>
        <w:rPr>
          <w:rFonts w:hint="eastAsia" w:ascii="黑体" w:hAnsi="黑体" w:eastAsia="黑体" w:cs="方正兰亭中黑_GBK"/>
          <w:color w:val="000000"/>
          <w:spacing w:val="-10"/>
          <w:sz w:val="32"/>
          <w:szCs w:val="32"/>
          <w:lang w:val="zh-CN" w:eastAsia="zh-CN"/>
        </w:rPr>
        <w:t>——</w:t>
      </w:r>
      <w:r>
        <w:rPr>
          <w:rFonts w:hint="eastAsia" w:ascii="黑体" w:hAnsi="黑体" w:eastAsia="黑体" w:cs="方正兰亭中黑_GBK"/>
          <w:color w:val="000000"/>
          <w:spacing w:val="-10"/>
          <w:sz w:val="32"/>
          <w:szCs w:val="32"/>
          <w:lang w:eastAsia="zh-CN"/>
        </w:rPr>
        <w:t>以</w:t>
      </w:r>
      <w:r>
        <w:rPr>
          <w:rFonts w:ascii="黑体" w:hAnsi="黑体" w:eastAsia="黑体" w:cs="方正兰亭中黑_GBK"/>
          <w:color w:val="000000"/>
          <w:spacing w:val="-10"/>
          <w:sz w:val="32"/>
          <w:szCs w:val="32"/>
          <w:lang w:val="zh-CN" w:eastAsia="zh-CN"/>
        </w:rPr>
        <w:t>深圳市</w:t>
      </w:r>
      <w:r>
        <w:rPr>
          <w:rFonts w:hint="eastAsia" w:ascii="黑体" w:hAnsi="黑体" w:eastAsia="黑体" w:cs="方正兰亭中黑_GBK"/>
          <w:color w:val="000000"/>
          <w:spacing w:val="-10"/>
          <w:sz w:val="32"/>
          <w:szCs w:val="32"/>
          <w:lang w:eastAsia="zh-CN"/>
        </w:rPr>
        <w:t>为例</w:t>
      </w:r>
    </w:p>
    <w:p w14:paraId="614281B1">
      <w:pPr>
        <w:widowControl w:val="0"/>
        <w:spacing w:line="20" w:lineRule="atLeast"/>
        <w:jc w:val="both"/>
        <w:rPr>
          <w:rStyle w:val="50"/>
          <w:lang w:eastAsia="zh-CN"/>
        </w:rPr>
      </w:pPr>
    </w:p>
    <w:p w14:paraId="57D2BC23">
      <w:pPr>
        <w:jc w:val="both"/>
        <w:rPr>
          <w:rFonts w:hint="eastAsia" w:ascii="宋体" w:hAnsi="宋体" w:cs="方正纤雅宋简体"/>
          <w:color w:val="000000"/>
          <w:spacing w:val="-3"/>
          <w:sz w:val="16"/>
          <w:szCs w:val="16"/>
          <w:lang w:val="zh-CN" w:eastAsia="zh-CN"/>
        </w:rPr>
      </w:pPr>
      <w:r>
        <w:rPr>
          <w:rFonts w:hint="eastAsia" w:ascii="宋体" w:hAnsi="宋体" w:cs="宋体"/>
          <w:b/>
          <w:color w:val="000000" w:themeColor="text1"/>
          <w:sz w:val="16"/>
          <w:szCs w:val="16"/>
          <w:lang w:eastAsia="zh-CN"/>
          <w14:textFill>
            <w14:solidFill>
              <w14:schemeClr w14:val="tx1"/>
            </w14:solidFill>
          </w14:textFill>
        </w:rPr>
        <w:t>摘要</w:t>
      </w:r>
      <w:r>
        <w:rPr>
          <w:rFonts w:hint="eastAsia" w:ascii="宋体" w:hAnsi="宋体" w:cs="宋体"/>
          <w:bCs/>
          <w:color w:val="000000" w:themeColor="text1"/>
          <w:sz w:val="16"/>
          <w:szCs w:val="16"/>
          <w:lang w:eastAsia="zh-CN"/>
          <w14:textFill>
            <w14:solidFill>
              <w14:schemeClr w14:val="tx1"/>
            </w14:solidFill>
          </w14:textFill>
        </w:rPr>
        <w:t>：</w:t>
      </w:r>
      <w:r>
        <w:rPr>
          <w:rFonts w:hint="eastAsia" w:ascii="宋体" w:hAnsi="宋体" w:cs="方正纤雅宋简体"/>
          <w:color w:val="000000"/>
          <w:spacing w:val="-3"/>
          <w:sz w:val="16"/>
          <w:szCs w:val="16"/>
          <w:lang w:val="zh-CN" w:eastAsia="zh-CN"/>
        </w:rPr>
        <w:t>在深圳“千园之城”由增量建设转向品质提升的背景下，城市公园生态系统文化服务（CES）如何在公众感知层面实现供需匹配，已成为公园精细化治理的重要议题。以深圳市52座公园9624条网络评论为样本，构建4维度10要素评价框架，结合语义识别、情感分析、岭回归与IPA模型，分析不同类型公园CES感知供需特征及关键驱动要素。结果表明：美学与文化服务关注度最高，游憩与教育服务整体偏弱；基干公园总体感知倾向</w:t>
      </w:r>
      <w:r>
        <w:rPr>
          <w:rFonts w:hint="eastAsia" w:ascii="宋体" w:hAnsi="宋体" w:cs="方正纤雅宋简体"/>
          <w:color w:val="000000"/>
          <w:spacing w:val="-3"/>
          <w:sz w:val="16"/>
          <w:szCs w:val="16"/>
          <w:lang w:val="en-US" w:eastAsia="zh-CN"/>
        </w:rPr>
        <w:t>最高</w:t>
      </w:r>
      <w:r>
        <w:rPr>
          <w:rFonts w:hint="eastAsia" w:ascii="宋体" w:hAnsi="宋体" w:cs="方正纤雅宋简体"/>
          <w:color w:val="000000"/>
          <w:spacing w:val="-3"/>
          <w:sz w:val="16"/>
          <w:szCs w:val="16"/>
          <w:lang w:val="zh-CN" w:eastAsia="zh-CN"/>
        </w:rPr>
        <w:t>，不同类型公园在服务稳定性</w:t>
      </w:r>
      <w:r>
        <w:rPr>
          <w:rFonts w:hint="eastAsia" w:ascii="宋体" w:hAnsi="宋体" w:cs="方正纤雅宋简体"/>
          <w:color w:val="000000"/>
          <w:spacing w:val="-3"/>
          <w:sz w:val="16"/>
          <w:szCs w:val="16"/>
          <w:lang w:val="en-US" w:eastAsia="zh-CN"/>
        </w:rPr>
        <w:t>与关注热点</w:t>
      </w:r>
      <w:r>
        <w:rPr>
          <w:rFonts w:hint="eastAsia" w:ascii="宋体" w:hAnsi="宋体" w:cs="方正纤雅宋简体"/>
          <w:color w:val="000000"/>
          <w:spacing w:val="-3"/>
          <w:sz w:val="16"/>
          <w:szCs w:val="16"/>
          <w:lang w:val="zh-CN" w:eastAsia="zh-CN"/>
        </w:rPr>
        <w:t>方面存在差异；文化遗产服务</w:t>
      </w:r>
      <w:r>
        <w:rPr>
          <w:rFonts w:hint="eastAsia" w:ascii="宋体" w:hAnsi="宋体" w:cs="方正纤雅宋简体"/>
          <w:color w:val="000000"/>
          <w:spacing w:val="-3"/>
          <w:sz w:val="16"/>
          <w:szCs w:val="16"/>
          <w:lang w:val="en-US" w:eastAsia="zh-CN"/>
        </w:rPr>
        <w:t>、</w:t>
      </w:r>
      <w:r>
        <w:rPr>
          <w:rFonts w:hint="eastAsia" w:ascii="宋体" w:hAnsi="宋体" w:cs="方正纤雅宋简体"/>
          <w:color w:val="000000"/>
          <w:spacing w:val="-3"/>
          <w:sz w:val="16"/>
          <w:szCs w:val="16"/>
          <w:lang w:val="zh-CN" w:eastAsia="zh-CN"/>
        </w:rPr>
        <w:t>空间开敞与通行服务对总体感知倾向具有</w:t>
      </w:r>
      <w:r>
        <w:rPr>
          <w:rFonts w:hint="eastAsia" w:ascii="宋体" w:hAnsi="宋体" w:cs="方正纤雅宋简体"/>
          <w:color w:val="000000"/>
          <w:spacing w:val="-3"/>
          <w:sz w:val="16"/>
          <w:szCs w:val="16"/>
          <w:lang w:val="en-US" w:eastAsia="zh-CN"/>
        </w:rPr>
        <w:t>显著</w:t>
      </w:r>
      <w:r>
        <w:rPr>
          <w:rFonts w:hint="eastAsia" w:ascii="宋体" w:hAnsi="宋体" w:cs="方正纤雅宋简体"/>
          <w:color w:val="000000"/>
          <w:spacing w:val="-3"/>
          <w:sz w:val="16"/>
          <w:szCs w:val="16"/>
          <w:lang w:val="zh-CN" w:eastAsia="zh-CN"/>
        </w:rPr>
        <w:t>正向作用，可达性与保障服务呈</w:t>
      </w:r>
      <w:r>
        <w:rPr>
          <w:rFonts w:hint="eastAsia" w:ascii="宋体" w:hAnsi="宋体" w:cs="方正纤雅宋简体"/>
          <w:color w:val="000000"/>
          <w:spacing w:val="-3"/>
          <w:sz w:val="16"/>
          <w:szCs w:val="16"/>
          <w:lang w:val="en-US" w:eastAsia="zh-CN"/>
        </w:rPr>
        <w:t>显著</w:t>
      </w:r>
      <w:r>
        <w:rPr>
          <w:rFonts w:hint="eastAsia" w:ascii="宋体" w:hAnsi="宋体" w:cs="方正纤雅宋简体"/>
          <w:color w:val="000000"/>
          <w:spacing w:val="-3"/>
          <w:sz w:val="16"/>
          <w:szCs w:val="16"/>
          <w:lang w:val="zh-CN" w:eastAsia="zh-CN"/>
        </w:rPr>
        <w:t>负向作用，是制约整体体验的短板。</w:t>
      </w:r>
      <w:r>
        <w:rPr>
          <w:rFonts w:hint="eastAsia" w:ascii="宋体" w:hAnsi="宋体" w:eastAsia="宋体" w:cs="宋体"/>
          <w:sz w:val="16"/>
          <w:szCs w:val="16"/>
        </w:rPr>
        <w:t>多数要素</w:t>
      </w:r>
      <w:r>
        <w:rPr>
          <w:rFonts w:hint="eastAsia" w:ascii="宋体" w:hAnsi="宋体" w:cs="宋体"/>
          <w:sz w:val="16"/>
          <w:szCs w:val="16"/>
          <w:lang w:val="en-US" w:eastAsia="zh-CN"/>
        </w:rPr>
        <w:t>为保持优势或低优先观察</w:t>
      </w:r>
      <w:r>
        <w:rPr>
          <w:rFonts w:hint="eastAsia" w:ascii="宋体" w:hAnsi="宋体" w:eastAsia="宋体" w:cs="宋体"/>
          <w:sz w:val="16"/>
          <w:szCs w:val="16"/>
        </w:rPr>
        <w:t>；可达性与保障服务处于高需低供区，</w:t>
      </w:r>
      <w:r>
        <w:rPr>
          <w:rFonts w:hint="eastAsia" w:ascii="宋体" w:hAnsi="宋体" w:cs="宋体"/>
          <w:sz w:val="16"/>
          <w:szCs w:val="16"/>
          <w:lang w:val="en-US" w:eastAsia="zh-CN"/>
        </w:rPr>
        <w:t>为</w:t>
      </w:r>
      <w:r>
        <w:rPr>
          <w:rFonts w:hint="eastAsia" w:ascii="宋体" w:hAnsi="宋体" w:eastAsia="宋体" w:cs="宋体"/>
          <w:sz w:val="16"/>
          <w:szCs w:val="16"/>
        </w:rPr>
        <w:t>优先补齐短板；生态健康指标和体验地形服务处于低需高供区，后续宜通过解说展示、自然教育提升公众感知度。</w:t>
      </w:r>
      <w:r>
        <w:rPr>
          <w:rFonts w:hint="eastAsia" w:ascii="宋体" w:hAnsi="宋体" w:cs="方正纤雅宋简体"/>
          <w:color w:val="000000"/>
          <w:spacing w:val="-3"/>
          <w:sz w:val="16"/>
          <w:szCs w:val="16"/>
          <w:lang w:val="zh-CN" w:eastAsia="zh-CN"/>
        </w:rPr>
        <w:t>研究</w:t>
      </w:r>
      <w:r>
        <w:rPr>
          <w:rFonts w:hint="eastAsia" w:ascii="宋体" w:hAnsi="宋体" w:cs="方正纤雅宋简体"/>
          <w:color w:val="000000"/>
          <w:spacing w:val="-3"/>
          <w:sz w:val="16"/>
          <w:szCs w:val="16"/>
          <w:lang w:val="en-US" w:eastAsia="zh-CN"/>
        </w:rPr>
        <w:t>表明：</w:t>
      </w:r>
      <w:r>
        <w:rPr>
          <w:rFonts w:hint="eastAsia" w:ascii="宋体" w:hAnsi="宋体" w:eastAsia="宋体" w:cs="宋体"/>
          <w:sz w:val="16"/>
          <w:szCs w:val="16"/>
        </w:rPr>
        <w:t>深圳城市公园分类治理与</w:t>
      </w:r>
      <w:r>
        <w:rPr>
          <w:rFonts w:hint="eastAsia" w:ascii="宋体" w:hAnsi="宋体" w:cs="宋体"/>
          <w:sz w:val="16"/>
          <w:szCs w:val="16"/>
          <w:lang w:val="en-US" w:eastAsia="zh-CN"/>
        </w:rPr>
        <w:t>关键</w:t>
      </w:r>
      <w:r>
        <w:rPr>
          <w:rFonts w:hint="eastAsia" w:ascii="宋体" w:hAnsi="宋体" w:eastAsia="宋体" w:cs="宋体"/>
          <w:sz w:val="16"/>
          <w:szCs w:val="16"/>
        </w:rPr>
        <w:t>要素更新</w:t>
      </w:r>
      <w:r>
        <w:rPr>
          <w:rFonts w:hint="eastAsia" w:ascii="宋体" w:hAnsi="宋体" w:cs="宋体"/>
          <w:sz w:val="16"/>
          <w:szCs w:val="16"/>
          <w:lang w:eastAsia="zh-CN"/>
        </w:rPr>
        <w:t>，</w:t>
      </w:r>
      <w:r>
        <w:rPr>
          <w:rFonts w:hint="eastAsia" w:ascii="宋体" w:hAnsi="宋体" w:eastAsia="宋体" w:cs="宋体"/>
          <w:sz w:val="16"/>
          <w:szCs w:val="16"/>
        </w:rPr>
        <w:t>应在优先</w:t>
      </w:r>
      <w:r>
        <w:rPr>
          <w:rFonts w:hint="eastAsia" w:ascii="宋体" w:hAnsi="宋体" w:cs="宋体"/>
          <w:sz w:val="16"/>
          <w:szCs w:val="16"/>
          <w:lang w:val="en-US" w:eastAsia="zh-CN"/>
        </w:rPr>
        <w:t>改善</w:t>
      </w:r>
      <w:r>
        <w:rPr>
          <w:rFonts w:hint="eastAsia" w:ascii="宋体" w:hAnsi="宋体" w:eastAsia="宋体" w:cs="宋体"/>
          <w:sz w:val="16"/>
          <w:szCs w:val="16"/>
        </w:rPr>
        <w:t>停车、如厕和无障碍等基础保障短板的同时，强化文化表达与空间组织协同</w:t>
      </w:r>
      <w:r>
        <w:rPr>
          <w:rFonts w:hint="eastAsia" w:ascii="宋体" w:hAnsi="宋体" w:cs="方正纤雅宋简体"/>
          <w:color w:val="000000"/>
          <w:spacing w:val="-3"/>
          <w:sz w:val="16"/>
          <w:szCs w:val="16"/>
          <w:lang w:val="zh-CN" w:eastAsia="zh-CN"/>
        </w:rPr>
        <w:t>，</w:t>
      </w:r>
      <w:r>
        <w:rPr>
          <w:rFonts w:hint="eastAsia" w:ascii="宋体" w:hAnsi="宋体" w:cs="方正纤雅宋简体"/>
          <w:color w:val="000000"/>
          <w:spacing w:val="-3"/>
          <w:sz w:val="16"/>
          <w:szCs w:val="16"/>
          <w:lang w:val="en-US" w:eastAsia="zh-CN"/>
        </w:rPr>
        <w:t>推动深圳市公园</w:t>
      </w:r>
      <w:r>
        <w:rPr>
          <w:rFonts w:hint="eastAsia" w:ascii="宋体" w:hAnsi="宋体" w:cs="方正纤雅宋简体"/>
          <w:color w:val="000000"/>
          <w:spacing w:val="-3"/>
          <w:sz w:val="16"/>
          <w:szCs w:val="16"/>
          <w:lang w:val="zh-CN" w:eastAsia="zh-CN"/>
        </w:rPr>
        <w:t>CES供需关系持续优化。</w:t>
      </w:r>
    </w:p>
    <w:p w14:paraId="0D8D9DAB">
      <w:pPr>
        <w:jc w:val="both"/>
        <w:rPr>
          <w:rFonts w:hint="eastAsia" w:ascii="宋体" w:hAnsi="宋体" w:cs="宋体"/>
          <w:sz w:val="16"/>
          <w:szCs w:val="16"/>
          <w:lang w:eastAsia="zh-CN"/>
        </w:rPr>
      </w:pPr>
      <w:r>
        <w:rPr>
          <w:rFonts w:hint="eastAsia" w:ascii="宋体" w:hAnsi="宋体" w:cs="方正粗雅宋_GBK"/>
          <w:b/>
          <w:sz w:val="16"/>
          <w:szCs w:val="16"/>
          <w:lang w:eastAsia="zh-CN"/>
        </w:rPr>
        <w:t>关</w:t>
      </w:r>
      <w:r>
        <w:rPr>
          <w:rFonts w:ascii="宋体" w:hAnsi="宋体" w:cs="方正粗雅宋_GBK"/>
          <w:b/>
          <w:sz w:val="16"/>
          <w:szCs w:val="16"/>
          <w:lang w:eastAsia="zh-CN"/>
        </w:rPr>
        <w:t xml:space="preserve"> </w:t>
      </w:r>
      <w:r>
        <w:rPr>
          <w:rFonts w:hint="eastAsia" w:ascii="宋体" w:hAnsi="宋体" w:cs="方正粗雅宋_GBK"/>
          <w:b/>
          <w:sz w:val="16"/>
          <w:szCs w:val="16"/>
          <w:lang w:eastAsia="zh-CN"/>
        </w:rPr>
        <w:t>键</w:t>
      </w:r>
      <w:r>
        <w:rPr>
          <w:rFonts w:ascii="宋体" w:hAnsi="宋体" w:cs="方正粗雅宋_GBK"/>
          <w:b/>
          <w:sz w:val="16"/>
          <w:szCs w:val="16"/>
          <w:lang w:eastAsia="zh-CN"/>
        </w:rPr>
        <w:t xml:space="preserve"> </w:t>
      </w:r>
      <w:r>
        <w:rPr>
          <w:rFonts w:hint="eastAsia" w:ascii="宋体" w:hAnsi="宋体" w:cs="方正粗雅宋_GBK"/>
          <w:b/>
          <w:sz w:val="16"/>
          <w:szCs w:val="16"/>
          <w:lang w:eastAsia="zh-CN"/>
        </w:rPr>
        <w:t>词：</w:t>
      </w:r>
      <w:r>
        <w:rPr>
          <w:rFonts w:hint="eastAsia" w:ascii="宋体" w:hAnsi="宋体" w:cs="宋体"/>
          <w:sz w:val="16"/>
          <w:szCs w:val="16"/>
          <w:lang w:eastAsia="zh-CN"/>
        </w:rPr>
        <w:t>生态系统文化服务（CES）；城市公园；供给侧—需求侧；深圳市；大语言模型；城市规划</w:t>
      </w:r>
    </w:p>
    <w:p w14:paraId="653207D4">
      <w:pPr>
        <w:widowControl w:val="0"/>
        <w:spacing w:line="20" w:lineRule="atLeast"/>
        <w:jc w:val="both"/>
        <w:rPr>
          <w:rFonts w:hint="eastAsia" w:ascii="宋体" w:hAnsi="宋体" w:cs="方正纤雅宋简体"/>
          <w:color w:val="000000"/>
          <w:spacing w:val="-3"/>
          <w:sz w:val="16"/>
          <w:szCs w:val="16"/>
          <w:lang w:val="zh-CN" w:eastAsia="zh-CN"/>
        </w:rPr>
      </w:pPr>
    </w:p>
    <w:p w14:paraId="343621CC">
      <w:pPr>
        <w:widowControl w:val="0"/>
        <w:autoSpaceDE w:val="0"/>
        <w:autoSpaceDN w:val="0"/>
        <w:adjustRightInd w:val="0"/>
        <w:spacing w:line="20" w:lineRule="atLeast"/>
        <w:jc w:val="both"/>
        <w:textAlignment w:val="center"/>
        <w:rPr>
          <w:rFonts w:hint="eastAsia" w:ascii="宋体" w:hAnsi="宋体" w:cs="方正粗雅宋_GBK"/>
          <w:bCs/>
          <w:color w:val="000000"/>
          <w:sz w:val="16"/>
          <w:szCs w:val="16"/>
          <w:lang w:val="zh-CN" w:eastAsia="zh-CN"/>
        </w:rPr>
      </w:pPr>
      <w:commentRangeStart w:id="23"/>
      <w:r>
        <w:rPr>
          <w:highlight w:val="yellow"/>
        </w:rPr>
        <w:t>文章编号：</w:t>
      </w:r>
      <w:commentRangeEnd w:id="23"/>
      <w:r>
        <w:rPr>
          <w:rStyle w:val="CommentReference"/>
        </w:rPr>
        <w:commentReference w:id="23"/>
      </w:r>
    </w:p>
    <w:p w14:paraId="0E898D40">
      <w:pPr>
        <w:widowControl w:val="0"/>
        <w:autoSpaceDE w:val="0"/>
        <w:autoSpaceDN w:val="0"/>
        <w:adjustRightInd w:val="0"/>
        <w:spacing w:line="20" w:lineRule="atLeast"/>
        <w:jc w:val="both"/>
        <w:textAlignment w:val="center"/>
        <w:rPr>
          <w:rFonts w:hint="eastAsia" w:ascii="宋体" w:hAnsi="宋体" w:cs="方正粗雅宋_GBK"/>
          <w:b/>
          <w:color w:val="000000"/>
          <w:sz w:val="16"/>
          <w:szCs w:val="16"/>
          <w:lang w:val="zh-CN" w:eastAsia="zh-CN"/>
        </w:rPr>
      </w:pPr>
      <w:commentRangeStart w:id="24"/>
      <w:r>
        <w:rPr>
          <w:highlight w:val="yellow"/>
        </w:rPr>
        <w:t>DOI：</w:t>
      </w:r>
      <w:commentRangeEnd w:id="24"/>
      <w:r>
        <w:rPr>
          <w:rStyle w:val="CommentReference"/>
        </w:rPr>
        <w:commentReference w:id="24"/>
      </w:r>
    </w:p>
    <w:p w14:paraId="00B018B4">
      <w:pPr>
        <w:widowControl w:val="0"/>
        <w:autoSpaceDE w:val="0"/>
        <w:autoSpaceDN w:val="0"/>
        <w:adjustRightInd w:val="0"/>
        <w:spacing w:line="20" w:lineRule="atLeast"/>
        <w:jc w:val="both"/>
        <w:textAlignment w:val="center"/>
        <w:rPr>
          <w:rFonts w:hint="eastAsia" w:ascii="宋体" w:hAnsi="宋体" w:cs="方正粗雅宋_GBK"/>
          <w:b/>
          <w:color w:val="000000"/>
          <w:sz w:val="16"/>
          <w:szCs w:val="16"/>
          <w:lang w:val="zh-CN" w:eastAsia="zh-CN"/>
        </w:rPr>
      </w:pPr>
      <w:r>
        <w:rPr>
          <w:rFonts w:hint="eastAsia" w:ascii="宋体" w:hAnsi="宋体" w:cs="方正粗雅宋_GBK"/>
          <w:b/>
          <w:color w:val="000000"/>
          <w:sz w:val="16"/>
          <w:szCs w:val="16"/>
          <w:lang w:val="zh-CN" w:eastAsia="zh-CN"/>
        </w:rPr>
        <w:t>中图分类号：</w:t>
      </w:r>
      <w:r>
        <w:rPr>
          <w:rFonts w:hint="eastAsia" w:ascii="宋体" w:hAnsi="宋体" w:cs="方正粗雅宋_GBK"/>
          <w:bCs/>
          <w:color w:val="000000"/>
          <w:sz w:val="16"/>
          <w:szCs w:val="16"/>
          <w:lang w:val="zh-CN" w:eastAsia="zh-CN"/>
        </w:rPr>
        <w:t xml:space="preserve">TU 986 </w:t>
      </w:r>
      <w:r>
        <w:rPr>
          <w:rFonts w:hint="eastAsia" w:ascii="宋体" w:hAnsi="宋体" w:cs="方正粗雅宋_GBK"/>
          <w:b/>
          <w:color w:val="000000"/>
          <w:sz w:val="16"/>
          <w:szCs w:val="16"/>
          <w:lang w:val="zh-CN" w:eastAsia="zh-CN"/>
        </w:rPr>
        <w:t xml:space="preserve">          </w:t>
      </w:r>
    </w:p>
    <w:p w14:paraId="7EB05727">
      <w:pPr>
        <w:widowControl w:val="0"/>
        <w:autoSpaceDE w:val="0"/>
        <w:autoSpaceDN w:val="0"/>
        <w:adjustRightInd w:val="0"/>
        <w:spacing w:line="20" w:lineRule="atLeast"/>
        <w:jc w:val="both"/>
        <w:textAlignment w:val="center"/>
        <w:rPr>
          <w:rFonts w:hint="eastAsia" w:ascii="宋体" w:hAnsi="宋体" w:cs="方正粗雅宋_GBK"/>
          <w:b/>
          <w:color w:val="000000"/>
          <w:sz w:val="16"/>
          <w:szCs w:val="16"/>
          <w:lang w:val="zh-CN" w:eastAsia="zh-CN"/>
        </w:rPr>
      </w:pPr>
      <w:r>
        <w:rPr>
          <w:rFonts w:hint="eastAsia" w:ascii="宋体" w:hAnsi="宋体" w:cs="方正粗雅宋_GBK"/>
          <w:b/>
          <w:color w:val="000000"/>
          <w:sz w:val="16"/>
          <w:szCs w:val="16"/>
          <w:lang w:val="zh-CN" w:eastAsia="zh-CN"/>
        </w:rPr>
        <w:t>文献标识码：</w:t>
      </w:r>
      <w:r>
        <w:rPr>
          <w:rFonts w:hint="eastAsia" w:ascii="宋体" w:hAnsi="宋体" w:cs="方正粗雅宋_GBK"/>
          <w:bCs/>
          <w:color w:val="000000"/>
          <w:sz w:val="16"/>
          <w:szCs w:val="16"/>
          <w:lang w:val="zh-CN" w:eastAsia="zh-CN"/>
        </w:rPr>
        <w:t>A</w:t>
      </w:r>
    </w:p>
    <w:p w14:paraId="4E0C61FD">
      <w:pPr>
        <w:widowControl w:val="0"/>
        <w:autoSpaceDE w:val="0"/>
        <w:autoSpaceDN w:val="0"/>
        <w:adjustRightInd w:val="0"/>
        <w:spacing w:line="20" w:lineRule="atLeast"/>
        <w:jc w:val="both"/>
        <w:textAlignment w:val="center"/>
        <w:rPr>
          <w:rFonts w:hint="eastAsia" w:ascii="宋体" w:hAnsi="宋体" w:cs="方正粗雅宋_GBK"/>
          <w:b/>
          <w:color w:val="000000"/>
          <w:sz w:val="16"/>
          <w:szCs w:val="16"/>
          <w:lang w:val="zh-CN" w:eastAsia="zh-CN"/>
        </w:rPr>
      </w:pPr>
      <w:commentRangeStart w:id="25"/>
      <w:r>
        <w:rPr>
          <w:highlight w:val="yellow"/>
        </w:rPr>
        <w:t>收稿日期：</w:t>
      </w:r>
      <w:commentRangeEnd w:id="25"/>
      <w:r>
        <w:rPr>
          <w:rStyle w:val="CommentReference"/>
        </w:rPr>
        <w:commentReference w:id="25"/>
      </w:r>
      <w:r>
        <w:t xml:space="preserve">    </w:t>
      </w:r>
    </w:p>
    <w:p w14:paraId="44D06A63">
      <w:pPr>
        <w:widowControl w:val="0"/>
        <w:autoSpaceDE w:val="0"/>
        <w:autoSpaceDN w:val="0"/>
        <w:adjustRightInd w:val="0"/>
        <w:spacing w:line="20" w:lineRule="atLeast"/>
        <w:jc w:val="both"/>
        <w:textAlignment w:val="center"/>
        <w:rPr>
          <w:rFonts w:hint="eastAsia" w:ascii="宋体" w:hAnsi="宋体" w:cs="方正粗雅宋_GBK"/>
          <w:b/>
          <w:color w:val="000000"/>
          <w:sz w:val="16"/>
          <w:szCs w:val="16"/>
          <w:lang w:eastAsia="zh-CN"/>
        </w:rPr>
      </w:pPr>
      <w:commentRangeStart w:id="26"/>
      <w:r>
        <w:rPr>
          <w:highlight w:val="yellow"/>
        </w:rPr>
        <w:t>修回日期：</w:t>
      </w:r>
      <w:commentRangeEnd w:id="26"/>
      <w:r>
        <w:rPr>
          <w:rStyle w:val="CommentReference"/>
        </w:rPr>
        <w:commentReference w:id="26"/>
      </w:r>
    </w:p>
    <w:p w14:paraId="3D498E80">
      <w:pPr>
        <w:widowControl w:val="0"/>
        <w:autoSpaceDE w:val="0"/>
        <w:autoSpaceDN w:val="0"/>
        <w:adjustRightInd w:val="0"/>
        <w:spacing w:line="20" w:lineRule="atLeast"/>
        <w:jc w:val="both"/>
        <w:textAlignment w:val="center"/>
        <w:rPr>
          <w:rFonts w:hint="eastAsia" w:ascii="宋体" w:hAnsi="宋体" w:cs="方正粗雅宋_GBK"/>
          <w:b/>
          <w:color w:val="000000"/>
          <w:sz w:val="16"/>
          <w:szCs w:val="16"/>
          <w:lang w:eastAsia="zh-CN"/>
        </w:rPr>
      </w:pPr>
    </w:p>
    <w:p w14:paraId="2A863821">
      <w:pPr>
        <w:pStyle w:val="60"/>
        <w:spacing w:line="20" w:lineRule="atLeast"/>
        <w:jc w:val="both"/>
        <w:rPr>
          <w:rFonts w:ascii="Times New Roman" w:hAnsi="Times New Roman" w:eastAsia="华文黑体 Light" w:cs="Times New Roman"/>
          <w:sz w:val="22"/>
          <w:szCs w:val="22"/>
        </w:rPr>
      </w:pPr>
      <w:r>
        <w:rPr>
          <w:rFonts w:ascii="Times New Roman" w:hAnsi="Times New Roman" w:eastAsia="华文黑体 Light" w:cs="Times New Roman"/>
          <w:sz w:val="22"/>
          <w:szCs w:val="22"/>
        </w:rPr>
        <w:t>Research on the Supply–Demand Evaluation of Cultural Ecosystem Services in Urban Parks Based on Large Language Models: A Case Study of Shenzhen</w:t>
      </w:r>
    </w:p>
    <w:p w14:paraId="22F3742B">
      <w:pPr>
        <w:jc w:val="both"/>
        <w:rPr>
          <w:rFonts w:ascii="Times New Roman" w:hAnsi="Times New Roman" w:eastAsia="Segoe UI" w:cs="Times New Roman"/>
          <w:color w:val="0F1115"/>
          <w:sz w:val="16"/>
          <w:szCs w:val="16"/>
          <w:shd w:val="clear" w:color="auto" w:fill="FFFFFF"/>
        </w:rPr>
      </w:pPr>
      <w:r>
        <w:rPr>
          <w:rFonts w:ascii="Times New Roman" w:cs="Times New Roman"/>
          <w:b/>
          <w:bCs/>
          <w:sz w:val="16"/>
          <w:szCs w:val="16"/>
        </w:rPr>
        <w:t xml:space="preserve">Abstract: </w:t>
      </w:r>
      <w:r>
        <w:rPr>
          <w:rFonts w:ascii="Times New Roman" w:hAnsi="Times New Roman" w:eastAsia="Segoe UI" w:cs="Times New Roman"/>
          <w:color w:val="0F1115"/>
          <w:sz w:val="16"/>
          <w:szCs w:val="16"/>
          <w:shd w:val="clear" w:color="auto" w:fill="FFFFFF"/>
        </w:rPr>
        <w:t xml:space="preserve">Against the backdrop of Shenzhen’s “City of Thousand Parks” initiative shifting from quantitative expansion to quality-oriented improvement, achieving an effective match between the supply and demand of cultural ecosystem services (CES) in urban parks at the level of public perception has become a critical issue in refined park governance. Although the rapid increase in park provision has substantially improved the quantity and accessibility of urban green space, it has not automatically translated into corresponding improvements in the quality, stability, or perceptibility of non-material benefits. In this context, clarifying the perceived supply–demand characteristics of CES and identifying the factors that shape overall public experience are of direct importance for urban park renewal and differentiated governance. Using 9,624 online reviews from 52 parks in Shenzhen as the research sample, this study establishes an evaluation framework composed of four dimensions and ten service elements. By integrating semantic recognition, sentiment analysis, ridge regression, and Importance–Performance Analysis (IPA), it investigates the perceived supply–demand characteristics of CES across different park types and examines their key driving mechanisms.The results show that aesthetic and cultural services receive the greatest public attention, indicating that visual landscape quality, cultural expression, and symbolic meaning remain the most salient dimensions of urban park experience in Shenzhen. By contrast, recreation and educational services are comparatively weak overall, suggesting that these functions have not yet been effectively translated into equally strong or stable public perceptions. Distinct differences are also observed among park types. Basic urban parks exhibit a more positive overall perception tendency than specialized parks and natural parks, while different park categories display marked variation in service stability, hotspot carrying capacity, and continuity of visitation experience. These findings suggest that the perceived performance of CES is shaped not only by resource endowment or scenic conditions, but also by functional positioning, spatial organization, and the effectiveness of daily operation and maintenance.The regression analysis further indicates that cultural heritage services and </w:t>
      </w:r>
      <w:r>
        <w:rPr>
          <w:rFonts w:hint="eastAsia" w:ascii="Times New Roman" w:hAnsi="Times New Roman" w:cs="Times New Roman"/>
          <w:color w:val="0F1115"/>
          <w:sz w:val="16"/>
          <w:szCs w:val="16"/>
          <w:shd w:val="clear" w:color="auto" w:fill="FFFFFF"/>
          <w:lang w:eastAsia="zh-CN"/>
        </w:rPr>
        <w:t>spatial openness and circulation services</w:t>
      </w:r>
      <w:r>
        <w:rPr>
          <w:rFonts w:ascii="Times New Roman" w:hAnsi="Times New Roman" w:eastAsia="Segoe UI" w:cs="Times New Roman"/>
          <w:color w:val="0F1115"/>
          <w:sz w:val="16"/>
          <w:szCs w:val="16"/>
          <w:shd w:val="clear" w:color="auto" w:fill="FFFFFF"/>
        </w:rPr>
        <w:t xml:space="preserve"> exert significant positive effects on overall perception tendency, demonstrating that they function as important gain-oriented factors in the formation of park experience. Cultural heritage services strengthen place identity, symbolic recognition, and cultural memory through local narratives, recognizable landmarks, and culturally expressive settings. </w:t>
      </w:r>
      <w:r>
        <w:rPr>
          <w:rFonts w:hint="eastAsia" w:ascii="Times New Roman" w:hAnsi="Times New Roman" w:cs="Times New Roman"/>
          <w:color w:val="0F1115"/>
          <w:sz w:val="16"/>
          <w:szCs w:val="16"/>
          <w:shd w:val="clear" w:color="auto" w:fill="FFFFFF"/>
          <w:lang w:eastAsia="zh-CN"/>
        </w:rPr>
        <w:t>spatial openness and circulation services</w:t>
      </w:r>
      <w:r>
        <w:rPr>
          <w:rFonts w:ascii="Times New Roman" w:hAnsi="Times New Roman" w:eastAsia="Segoe UI" w:cs="Times New Roman"/>
          <w:color w:val="0F1115"/>
          <w:sz w:val="16"/>
          <w:szCs w:val="16"/>
          <w:shd w:val="clear" w:color="auto" w:fill="FFFFFF"/>
        </w:rPr>
        <w:t>, in turn, improve experiential quality by enhancing openness, circulation efficiency, and the orderly accommodation of visitor flows. In contrast, accessibility and support services show a significant negative effect on overall perception tendency and constitute the most prominent shortcoming constraining overall experience quality. This suggests that deficiencies in parking, toilets, wayfinding, lighting, barrier-free facilities, and safety management are not merely isolated facility problems; rather, they reflect weaknesses in the continuity of the entrance–path–node–stay system and in the stability of service provision under high-frequency and peak-use conditions.The study suggests that the renewal of urban parks in Shenzhen should move beyond quantitative expansion toward classified governance and the fine-grained improvement of service elements. In practical terms, this requires prioritizing the remediation of deficiencies in basic support services while simultaneously enhancing gains through stronger cultural expression and more effective spatial organization. More broadly, the core challenge in the CES supply–demand relationship of Shenzhen’s urban parks has shifted from the insufficiency of physical provision to the degree of coordination among basic support, cultural expression, and spatial organization within the public experience chain. Therefore, the continuous optimization of CES supply–demand relations depends on a transition from undifferentiated construction expansion to more targeted, category-sensitive, and element-based upgrading strategies.</w:t>
      </w:r>
    </w:p>
    <w:p w14:paraId="57561FBB">
      <w:pPr>
        <w:jc w:val="both"/>
        <w:rPr>
          <w:rFonts w:ascii="Times New Roman" w:hAnsi="Times New Roman" w:eastAsia="Segoe UI" w:cs="Times New Roman"/>
          <w:color w:val="0F1115"/>
          <w:sz w:val="16"/>
          <w:szCs w:val="16"/>
          <w:shd w:val="clear" w:color="auto" w:fill="FFFFFF"/>
        </w:rPr>
        <w:sectPr>
          <w:type w:val="continuous"/>
          <w:pgSz w:w="11900" w:h="16840"/>
          <w:pgMar w:top="1985" w:right="851" w:bottom="1134" w:left="1134" w:header="709" w:footer="709" w:gutter="0"/>
          <w:cols w:space="708" w:num="1"/>
          <w:docGrid w:linePitch="360" w:charSpace="0"/>
        </w:sectPr>
      </w:pPr>
      <w:commentRangeStart w:id="9"/>
      <w:r>
        <w:rPr>
          <w:highlight w:val="yellow"/>
        </w:rPr>
        <w:t>Key words: Cultural Ecosystem Services</w:t>
      </w:r>
      <w:commentRangeEnd w:id="9"/>
      <w:r>
        <w:rPr>
          <w:rStyle w:val="CommentReference"/>
        </w:rPr>
        <w:commentReference w:id="9"/>
      </w:r>
      <w:r>
        <w:t xml:space="preserve"> (CES); Urban Parks; Supply Side–Demand Side; Shenzhen; Large Language Models; Urban Planning</w:t>
      </w:r>
    </w:p>
    <w:p w14:paraId="174670CE">
      <w:pPr>
        <w:widowControl w:val="0"/>
        <w:spacing w:line="20" w:lineRule="atLeast"/>
        <w:jc w:val="both"/>
        <w:rPr>
          <w:rFonts w:ascii="Times New Roman" w:hAnsi="Times New Roman" w:eastAsia="华文黑体 Light" w:cs="Times New Roman"/>
          <w:color w:val="000000"/>
          <w:sz w:val="16"/>
          <w:szCs w:val="16"/>
          <w:lang w:eastAsia="zh-CN"/>
        </w:rPr>
        <w:sectPr>
          <w:type w:val="continuous"/>
          <w:pgSz w:w="11900" w:h="16840"/>
          <w:pgMar w:top="1985" w:right="851" w:bottom="1134" w:left="1134" w:header="709" w:footer="709" w:gutter="0"/>
          <w:cols w:space="708" w:num="2"/>
          <w:docGrid w:linePitch="360" w:charSpace="0"/>
        </w:sectPr>
      </w:pPr>
    </w:p>
    <w:p w14:paraId="1D474EF4">
      <w:pPr>
        <w:widowControl w:val="0"/>
        <w:spacing w:line="20" w:lineRule="atLeast"/>
        <w:jc w:val="both"/>
        <w:rPr>
          <w:rFonts w:ascii="Times New Roman" w:hAnsi="Times New Roman" w:eastAsia="华文黑体 Light" w:cs="Times New Roman"/>
          <w:color w:val="000000"/>
          <w:sz w:val="16"/>
          <w:szCs w:val="16"/>
          <w:lang w:eastAsia="zh-CN"/>
        </w:rPr>
      </w:pPr>
    </w:p>
    <w:p w14:paraId="53ACB756">
      <w:pPr>
        <w:pStyle w:val="51"/>
        <w:spacing w:line="20" w:lineRule="atLeast"/>
        <w:ind w:firstLine="0"/>
        <w:rPr>
          <w:lang w:val="en-US"/>
        </w:rPr>
        <w:sectPr>
          <w:type w:val="continuous"/>
          <w:pgSz w:w="11900" w:h="16840"/>
          <w:pgMar w:top="1985" w:right="851" w:bottom="1134" w:left="1134" w:header="709" w:footer="709" w:gutter="0"/>
          <w:cols w:space="708" w:num="2"/>
          <w:docGrid w:linePitch="360" w:charSpace="0"/>
        </w:sectPr>
      </w:pPr>
    </w:p>
    <w:p w14:paraId="380FBAC7">
      <w:pPr>
        <w:pStyle w:val="75"/>
      </w:pPr>
      <w:r>
        <w:t>在高密度城市发展背景下，城市公园已由单一游憩绿地转变为承载日常休闲、社会交往、公共健康与城市文化展示的复合性公共空间</w:t>
      </w:r>
      <w:r>
        <w:fldChar w:fldCharType="begin"/>
      </w:r>
      <w:r>
        <w:instrText xml:space="preserve"> REF _Ref8020 \r \h </w:instrText>
      </w:r>
      <w:r>
        <w:fldChar w:fldCharType="separate"/>
      </w:r>
      <w:r>
        <w:t>[1-</w:t>
      </w:r>
      <w:r>
        <w:fldChar w:fldCharType="end"/>
      </w:r>
      <w:r>
        <w:fldChar w:fldCharType="begin"/>
      </w:r>
      <w:r>
        <w:instrText xml:space="preserve"> REF _Ref29364 \r \h </w:instrText>
      </w:r>
      <w:r>
        <w:fldChar w:fldCharType="separate"/>
      </w:r>
      <w:r>
        <w:t>2]</w:t>
      </w:r>
      <w:r>
        <w:fldChar w:fldCharType="end"/>
      </w:r>
      <w:r>
        <w:t>。深圳“千园之城”建设虽推动公园数量快速增长，然而服务品质与体验提升并不同步</w:t>
      </w:r>
      <w:r>
        <w:fldChar w:fldCharType="begin"/>
      </w:r>
      <w:r>
        <w:instrText xml:space="preserve"> REF _Ref8036 \r \h </w:instrText>
      </w:r>
      <w:r>
        <w:fldChar w:fldCharType="separate"/>
      </w:r>
      <w:r>
        <w:t>[3]</w:t>
      </w:r>
      <w:r>
        <w:fldChar w:fldCharType="end"/>
      </w:r>
      <w:r>
        <w:t>，设施冗余、景观同质与文化表达不足等问题仍然存在</w:t>
      </w:r>
      <w:r>
        <w:fldChar w:fldCharType="begin"/>
      </w:r>
      <w:r>
        <w:instrText xml:space="preserve"> REF _Ref8043 \r \h </w:instrText>
      </w:r>
      <w:r>
        <w:fldChar w:fldCharType="separate"/>
      </w:r>
      <w:r>
        <w:t>[4]</w:t>
      </w:r>
      <w:r>
        <w:fldChar w:fldCharType="end"/>
      </w:r>
      <w:r>
        <w:t>。因此，如何将公园物质供给有效转化为公众可感知的非物质收益，已成为深圳现阶段城市公园规划、建设与更新中的关键议题。</w:t>
      </w:r>
    </w:p>
    <w:p w14:paraId="06C532DE">
      <w:pPr>
        <w:pStyle w:val="75"/>
      </w:pPr>
      <w:r>
        <w:t>生态系统文化服务（Cultural ecosystem services;CES）强调生态系统对人类福祉的非物质收益</w:t>
      </w:r>
      <w:r>
        <w:fldChar w:fldCharType="begin"/>
      </w:r>
      <w:r>
        <w:instrText xml:space="preserve"> REF _Ref8046 \r \h </w:instrText>
      </w:r>
      <w:r>
        <w:fldChar w:fldCharType="separate"/>
      </w:r>
      <w:r>
        <w:t>[5]</w:t>
      </w:r>
      <w:r>
        <w:fldChar w:fldCharType="end"/>
      </w:r>
      <w:r>
        <w:t>。《千年生态系统评估》将生态系统服务划分为供给、调节、支持与文化服务4类</w:t>
      </w:r>
      <w:r>
        <w:fldChar w:fldCharType="begin"/>
      </w:r>
      <w:r>
        <w:instrText xml:space="preserve"> REF _Ref8049 \r \h </w:instrText>
      </w:r>
      <w:r>
        <w:fldChar w:fldCharType="separate"/>
      </w:r>
      <w:r>
        <w:t>[6]</w:t>
      </w:r>
      <w:r>
        <w:fldChar w:fldCharType="end"/>
      </w:r>
      <w:r>
        <w:t>，其中文化服务涵盖精神愉悦、认知提升、休闲游憩与审美享受等。目前，CES评价研究评价对象和方法偏重单一服务类型与数值化表征，较多延续物质性生态系统服务的量化逻辑，对</w:t>
      </w:r>
      <w:r>
        <w:rPr>
          <w:rFonts w:hint="eastAsia"/>
          <w:lang w:eastAsia="zh-CN"/>
        </w:rPr>
        <w:t>公众</w:t>
      </w:r>
      <w:r>
        <w:t>体验过程、感知差异及具体空间问题的解释不足，导致研究结果较难直接转化为规划设计策略。现有城市公园CES已有研究以网络评论数据构建</w:t>
      </w:r>
      <w:r>
        <w:rPr>
          <w:rFonts w:hint="eastAsia"/>
          <w:lang w:val="en-US" w:eastAsia="zh-CN"/>
        </w:rPr>
        <w:t>公众感知的</w:t>
      </w:r>
      <w:r>
        <w:t>“感知频率</w:t>
      </w:r>
      <w:r>
        <w:rPr>
          <w:rStyle w:val="82"/>
        </w:rPr>
        <w:t>—感知倾向”对应</w:t>
      </w:r>
      <w:r>
        <w:rPr>
          <w:rStyle w:val="82"/>
          <w:rFonts w:hint="eastAsia"/>
          <w:lang w:val="en-US"/>
        </w:rPr>
        <w:t>CES</w:t>
      </w:r>
      <w:r>
        <w:rPr>
          <w:rStyle w:val="82"/>
        </w:rPr>
        <w:t>重要性与满意度</w:t>
      </w:r>
      <w:r>
        <w:rPr>
          <w:rStyle w:val="82"/>
          <w:rFonts w:hint="default"/>
        </w:rPr>
        <w:fldChar w:fldCharType="begin"/>
      </w:r>
      <w:r>
        <w:rPr>
          <w:rStyle w:val="82"/>
          <w:rFonts w:hint="default"/>
        </w:rPr>
        <w:instrText xml:space="preserve"> REF _Ref4360 \r \h </w:instrText>
      </w:r>
      <w:r>
        <w:rPr>
          <w:rStyle w:val="82"/>
          <w:rFonts w:hint="default"/>
        </w:rPr>
        <w:fldChar w:fldCharType="separate"/>
      </w:r>
      <w:r>
        <w:rPr>
          <w:rStyle w:val="82"/>
          <w:rFonts w:hint="default"/>
        </w:rPr>
        <w:t>[7</w:t>
      </w:r>
      <w:r>
        <w:rPr>
          <w:rStyle w:val="82"/>
          <w:rFonts w:hint="default"/>
        </w:rPr>
        <w:fldChar w:fldCharType="end"/>
      </w:r>
      <w:r>
        <w:rPr>
          <w:rStyle w:val="82"/>
          <w:rFonts w:hint="default"/>
        </w:rPr>
        <w:fldChar w:fldCharType="begin"/>
      </w:r>
      <w:r>
        <w:rPr>
          <w:rStyle w:val="82"/>
          <w:rFonts w:hint="default"/>
        </w:rPr>
        <w:instrText xml:space="preserve"> REF _Ref4360 \n \h </w:instrText>
      </w:r>
      <w:r>
        <w:rPr>
          <w:rStyle w:val="82"/>
          <w:rFonts w:hint="default"/>
        </w:rPr>
        <w:fldChar w:fldCharType="separate"/>
      </w:r>
      <w:r>
        <w:rPr>
          <w:rStyle w:val="82"/>
        </w:rPr>
        <w:t>-</w:t>
      </w:r>
      <w:r>
        <w:rPr>
          <w:rStyle w:val="82"/>
          <w:rFonts w:hint="default"/>
        </w:rPr>
        <w:t>8]</w:t>
      </w:r>
      <w:r>
        <w:rPr>
          <w:rStyle w:val="82"/>
          <w:rFonts w:hint="default"/>
        </w:rPr>
        <w:fldChar w:fldCharType="end"/>
      </w:r>
      <w:r>
        <w:rPr>
          <w:rStyle w:val="82"/>
        </w:rPr>
        <w:t>；或沿用</w:t>
      </w:r>
      <w:r>
        <w:rPr>
          <w:rStyle w:val="82"/>
          <w:rFonts w:hint="eastAsia"/>
          <w:lang w:val="en-US"/>
        </w:rPr>
        <w:t>CES</w:t>
      </w:r>
      <w:r>
        <w:rPr>
          <w:rStyle w:val="82"/>
        </w:rPr>
        <w:t>“重要性—满意度”对应</w:t>
      </w:r>
      <w:r>
        <w:rPr>
          <w:rStyle w:val="82"/>
          <w:rFonts w:hint="eastAsia"/>
          <w:lang w:val="en-US"/>
        </w:rPr>
        <w:t>CES</w:t>
      </w:r>
      <w:r>
        <w:rPr>
          <w:rStyle w:val="82"/>
        </w:rPr>
        <w:t>需求与供给</w:t>
      </w:r>
      <w:r>
        <w:rPr>
          <w:rStyle w:val="82"/>
          <w:rFonts w:hint="default"/>
        </w:rPr>
        <w:fldChar w:fldCharType="begin"/>
      </w:r>
      <w:r>
        <w:rPr>
          <w:rStyle w:val="82"/>
          <w:rFonts w:hint="default"/>
        </w:rPr>
        <w:instrText xml:space="preserve"> REF _Ref4389 \r \h </w:instrText>
      </w:r>
      <w:r>
        <w:rPr>
          <w:rStyle w:val="82"/>
          <w:rFonts w:hint="default"/>
        </w:rPr>
        <w:fldChar w:fldCharType="separate"/>
      </w:r>
      <w:r>
        <w:rPr>
          <w:rStyle w:val="82"/>
          <w:rFonts w:hint="default"/>
        </w:rPr>
        <w:t>[</w:t>
      </w:r>
      <w:r>
        <w:rPr>
          <w:rStyle w:val="82"/>
        </w:rPr>
        <w:t>9</w:t>
      </w:r>
      <w:r>
        <w:rPr>
          <w:rStyle w:val="82"/>
          <w:rFonts w:hint="default"/>
        </w:rPr>
        <w:fldChar w:fldCharType="end"/>
      </w:r>
      <w:r>
        <w:rPr>
          <w:rStyle w:val="82"/>
          <w:rFonts w:hint="default"/>
        </w:rPr>
        <w:fldChar w:fldCharType="begin"/>
      </w:r>
      <w:r>
        <w:rPr>
          <w:rStyle w:val="82"/>
          <w:rFonts w:hint="default"/>
        </w:rPr>
        <w:instrText xml:space="preserve"> REF _Ref19333 \r \h </w:instrText>
      </w:r>
      <w:r>
        <w:rPr>
          <w:rStyle w:val="82"/>
          <w:rFonts w:hint="default"/>
        </w:rPr>
        <w:fldChar w:fldCharType="separate"/>
      </w:r>
      <w:r>
        <w:rPr>
          <w:rStyle w:val="82"/>
          <w:rFonts w:hint="default"/>
        </w:rPr>
        <w:t>]</w:t>
      </w:r>
      <w:r>
        <w:rPr>
          <w:rStyle w:val="82"/>
          <w:rFonts w:hint="default"/>
        </w:rPr>
        <w:fldChar w:fldCharType="end"/>
      </w:r>
      <w:r>
        <w:rPr>
          <w:rStyle w:val="82"/>
        </w:rPr>
        <w:t>等框架。</w:t>
      </w:r>
      <w:r>
        <w:rPr>
          <w:rStyle w:val="82"/>
          <w:rFonts w:hint="eastAsia"/>
          <w:lang w:val="en-US"/>
        </w:rPr>
        <w:t>然而</w:t>
      </w:r>
      <w:r>
        <w:rPr>
          <w:rStyle w:val="82"/>
        </w:rPr>
        <w:t>尚未将线上评论中的提及强度、情感反馈与</w:t>
      </w:r>
      <w:r>
        <w:rPr>
          <w:rStyle w:val="82"/>
          <w:rFonts w:hint="eastAsia"/>
          <w:lang w:val="en-US"/>
        </w:rPr>
        <w:t>CES</w:t>
      </w:r>
      <w:r>
        <w:rPr>
          <w:rStyle w:val="82"/>
        </w:rPr>
        <w:t>供需直接逻辑贯通起来，研究难以比较，供需评价也容易停留在总体描述。</w:t>
      </w:r>
    </w:p>
    <w:p w14:paraId="1BA70027">
      <w:pPr>
        <w:pStyle w:val="75"/>
      </w:pPr>
      <w:r>
        <w:t>本文旨在从</w:t>
      </w:r>
      <w:r>
        <w:rPr>
          <w:rFonts w:hint="eastAsia"/>
          <w:lang w:eastAsia="zh-CN"/>
        </w:rPr>
        <w:t>公众</w:t>
      </w:r>
      <w:r>
        <w:t>个体感知出发，构建CES供需评价方法，将</w:t>
      </w:r>
      <w:r>
        <w:rPr>
          <w:rFonts w:hint="eastAsia"/>
          <w:lang w:eastAsia="zh-CN"/>
        </w:rPr>
        <w:t>公众</w:t>
      </w:r>
      <w:r>
        <w:t>日常使用中的关注与反馈转化为公园服务诊断依据。研究围绕3个问题展开：深圳城市公园CES在</w:t>
      </w:r>
      <w:r>
        <w:rPr>
          <w:rFonts w:hint="eastAsia"/>
          <w:lang w:eastAsia="zh-CN"/>
        </w:rPr>
        <w:t>公众</w:t>
      </w:r>
      <w:r>
        <w:t>个体感知层面由哪些因素驱动；是否存在供需错配，错配集中于哪些服务要素；不同错配类型对应何种治理优先序。</w:t>
      </w:r>
    </w:p>
    <w:p w14:paraId="5A0F9BD8">
      <w:pPr>
        <w:pStyle w:val="75"/>
      </w:pPr>
      <w:r>
        <w:t>基于此，研究以深圳市52座公园为例，将感知频率和感知倾向分别作为</w:t>
      </w:r>
      <w:r>
        <w:rPr>
          <w:rFonts w:hint="eastAsia"/>
          <w:lang w:val="en-US" w:eastAsia="zh-CN"/>
        </w:rPr>
        <w:t>CES要素的</w:t>
      </w:r>
      <w:r>
        <w:t>需求侧与供给侧代理指标，结合GPT-4.5、DeepSeek-R1、百度智能云情感分析、岭回归和IPA模型识别关键驱动、错配象限与治理重点，以期为深圳公园从增量建设转向品质提升提供可操作的评价路径。</w:t>
      </w:r>
      <w:commentRangeStart w:id="17"/>
      <w:r>
        <w:rPr>
          <w:highlight w:val="yellow"/>
        </w:rPr>
        <w:t>[41-44]</w:t>
      </w:r>
      <w:commentRangeEnd w:id="17"/>
      <w:r>
        <w:rPr>
          <w:rStyle w:val="CommentReference"/>
        </w:rPr>
        <w:commentReference w:id="17"/>
      </w:r>
    </w:p>
    <w:p w14:paraId="053C58BE">
      <w:pPr>
        <w:widowControl w:val="0"/>
        <w:autoSpaceDE w:val="0"/>
        <w:autoSpaceDN w:val="0"/>
        <w:adjustRightInd w:val="0"/>
        <w:spacing w:line="324" w:lineRule="auto"/>
        <w:jc w:val="both"/>
        <w:textAlignment w:val="center"/>
        <w:rPr>
          <w:rFonts w:hint="eastAsia" w:ascii="黑体" w:hAnsi="黑体" w:eastAsia="黑体" w:cs="方正兰亭准黑_GBK"/>
          <w:color w:val="000000"/>
          <w:sz w:val="18"/>
          <w:szCs w:val="18"/>
          <w:lang w:eastAsia="zh-CN"/>
        </w:rPr>
      </w:pPr>
      <w:r>
        <w:rPr>
          <w:rFonts w:hint="eastAsia" w:ascii="黑体" w:hAnsi="黑体" w:eastAsia="黑体" w:cs="方正兰亭准黑_GBK"/>
          <w:color w:val="000000"/>
          <w:sz w:val="18"/>
          <w:szCs w:val="18"/>
          <w:lang w:val="zh-CN" w:eastAsia="zh-CN"/>
        </w:rPr>
        <w:t>1</w:t>
      </w:r>
      <w:r>
        <w:rPr>
          <w:rFonts w:ascii="黑体" w:hAnsi="黑体" w:eastAsia="黑体" w:cs="方正兰亭准黑_GBK"/>
          <w:color w:val="000000"/>
          <w:sz w:val="18"/>
          <w:szCs w:val="18"/>
          <w:lang w:val="zh-CN" w:eastAsia="zh-CN"/>
        </w:rPr>
        <w:t xml:space="preserve">  </w:t>
      </w:r>
      <w:r>
        <w:rPr>
          <w:rFonts w:hint="eastAsia" w:ascii="黑体" w:hAnsi="黑体" w:eastAsia="黑体" w:cs="方正兰亭准黑_GBK"/>
          <w:color w:val="000000"/>
          <w:sz w:val="18"/>
          <w:szCs w:val="18"/>
          <w:lang w:eastAsia="zh-CN"/>
        </w:rPr>
        <w:t>研究方法和对象</w:t>
      </w:r>
    </w:p>
    <w:p w14:paraId="32D6C826">
      <w:pPr>
        <w:widowControl w:val="0"/>
        <w:numPr>
          <w:ilvl w:val="1"/>
          <w:numId w:val="1"/>
        </w:numPr>
        <w:autoSpaceDE w:val="0"/>
        <w:autoSpaceDN w:val="0"/>
        <w:adjustRightInd w:val="0"/>
        <w:spacing w:line="324" w:lineRule="auto"/>
        <w:jc w:val="both"/>
        <w:textAlignment w:val="center"/>
        <w:rPr>
          <w:rFonts w:hint="eastAsia" w:ascii="黑体" w:hAnsi="黑体" w:eastAsia="黑体" w:cs="方正兰亭准黑_GBK"/>
          <w:color w:val="000000"/>
          <w:sz w:val="17"/>
          <w:szCs w:val="17"/>
          <w:lang w:eastAsia="zh-CN"/>
        </w:rPr>
      </w:pPr>
      <w:r>
        <w:t xml:space="preserve"> </w:t>
      </w:r>
      <w:commentRangeStart w:id="10"/>
      <w:r>
        <w:rPr>
          <w:highlight w:val="yellow"/>
        </w:rPr>
        <w:t>1.1 公园选址和分类</w:t>
      </w:r>
      <w:commentRangeEnd w:id="10"/>
      <w:r>
        <w:rPr>
          <w:rStyle w:val="CommentReference"/>
        </w:rPr>
        <w:commentReference w:id="10"/>
      </w:r>
    </w:p>
    <w:p w14:paraId="5D4C888F">
      <w:pPr>
        <w:pStyle w:val="4"/>
        <w:ind w:firstLine="340" w:firstLineChars="200"/>
        <w:rPr>
          <w:rFonts w:hint="eastAsia" w:cs="方正兰亭纤黑_GBK"/>
          <w:sz w:val="17"/>
          <w:szCs w:val="17"/>
          <w:lang w:val="en-US"/>
        </w:rPr>
      </w:pPr>
      <w:r>
        <w:rPr>
          <w:rFonts w:hint="eastAsia" w:cs="方正兰亭纤黑_GBK"/>
          <w:sz w:val="17"/>
          <w:szCs w:val="17"/>
          <w:lang w:val="en-US"/>
        </w:rPr>
        <w:t>考虑到深圳公园类型多样、官方分类口径与研究目的并不完全一致，在公园分类方面，研究选取的5</w:t>
      </w:r>
      <w:r>
        <w:rPr>
          <w:rFonts w:hint="eastAsia" w:cs="方正兰亭纤黑_GBK"/>
          <w:sz w:val="17"/>
          <w:szCs w:val="17"/>
          <w:lang w:val="en-US" w:eastAsia="zh-CN"/>
        </w:rPr>
        <w:t>2</w:t>
      </w:r>
      <w:r>
        <w:rPr>
          <w:rFonts w:hint="eastAsia" w:cs="方正兰亭纤黑_GBK"/>
          <w:sz w:val="17"/>
          <w:szCs w:val="17"/>
          <w:lang w:val="en-US"/>
        </w:rPr>
        <w:t>个公园基本呈现3类别：森林公园，综合公园，以及有特色的公园如儿童公园、音乐公园等。中国城市绿地分类标准侧重于详细分级，然而</w:t>
      </w:r>
      <w:r>
        <w:rPr>
          <w:rFonts w:hint="eastAsia" w:cs="方正兰亭纤黑_GBK"/>
          <w:sz w:val="17"/>
          <w:szCs w:val="17"/>
          <w:lang w:val="en-US" w:eastAsia="zh-CN"/>
        </w:rPr>
        <w:t>本文</w:t>
      </w:r>
      <w:r>
        <w:rPr>
          <w:rFonts w:hint="eastAsia" w:cs="方正兰亭纤黑_GBK"/>
          <w:sz w:val="17"/>
          <w:szCs w:val="17"/>
          <w:lang w:val="en-US"/>
        </w:rPr>
        <w:t>参考日本公园分类系统，侧重于对公园类型的划分，特此将研究对象划分为自然公园、基干公园、特色公园3种类别</w:t>
      </w:r>
      <w:r>
        <w:rPr>
          <w:rFonts w:hint="eastAsia" w:cs="方正兰亭纤黑_GBK"/>
          <w:sz w:val="17"/>
          <w:szCs w:val="17"/>
          <w:lang w:val="en-US"/>
        </w:rPr>
        <w:fldChar w:fldCharType="begin"/>
      </w:r>
      <w:r>
        <w:instrText xml:space="preserve"> REF _Ref28779 \n \h  \* MERGEFORMAT</w:instrText>
      </w:r>
      <w:r>
        <w:rPr>
          <w:rFonts w:hint="eastAsia" w:cs="方正兰亭纤黑_GBK"/>
          <w:sz w:val="17"/>
          <w:szCs w:val="17"/>
          <w:lang w:val="en-US"/>
        </w:rPr>
        <w:fldChar w:fldCharType="separate"/>
      </w:r>
      <w:r>
        <w:rPr>
          <w:rFonts w:hint="eastAsia" w:cs="方正兰亭纤黑_GBK"/>
          <w:sz w:val="17"/>
          <w:szCs w:val="17"/>
          <w:lang w:val="en-US"/>
        </w:rPr>
        <w:t>[10-</w:t>
      </w:r>
      <w:r>
        <w:rPr>
          <w:rFonts w:hint="eastAsia" w:cs="方正兰亭纤黑_GBK"/>
          <w:sz w:val="17"/>
          <w:szCs w:val="17"/>
          <w:lang w:val="en-US"/>
        </w:rPr>
        <w:fldChar w:fldCharType="end"/>
      </w:r>
      <w:r>
        <w:rPr>
          <w:rFonts w:cs="方正兰亭纤黑_GBK"/>
          <w:sz w:val="17"/>
          <w:szCs w:val="17"/>
          <w:lang w:val="en-US"/>
        </w:rPr>
        <w:fldChar w:fldCharType="begin"/>
      </w:r>
      <w:r>
        <w:instrText xml:space="preserve"> REF _Ref19473 \r \h  \* MERGEFORMAT</w:instrText>
      </w:r>
      <w:r>
        <w:rPr>
          <w:rFonts w:cs="方正兰亭纤黑_GBK"/>
          <w:sz w:val="17"/>
          <w:szCs w:val="17"/>
          <w:lang w:val="en-US"/>
        </w:rPr>
        <w:fldChar w:fldCharType="separate"/>
      </w:r>
      <w:r>
        <w:rPr>
          <w:rFonts w:cs="方正兰亭纤黑_GBK"/>
          <w:sz w:val="17"/>
          <w:szCs w:val="17"/>
          <w:lang w:val="en-US"/>
        </w:rPr>
        <w:t>11]</w:t>
      </w:r>
      <w:r>
        <w:rPr>
          <w:rFonts w:cs="方正兰亭纤黑_GBK"/>
          <w:sz w:val="17"/>
          <w:szCs w:val="17"/>
          <w:lang w:val="en-US"/>
        </w:rPr>
        <w:fldChar w:fldCharType="end"/>
      </w:r>
      <w:r>
        <w:rPr>
          <w:rFonts w:hint="eastAsia" w:cs="方正兰亭纤黑_GBK"/>
          <w:sz w:val="17"/>
          <w:szCs w:val="17"/>
          <w:lang w:val="en-US"/>
        </w:rPr>
        <w:t>，具体而言，将以生态保育和自然游憩为主的样本归为自然公园，将承担日常公共服务和基础休闲功能的样本归为基干公园，将以主题场景、特定活动或特定人群服务为主的样本归为特色公园（表1）。该归并方式主要服务于跨类型比较分析。</w:t>
      </w:r>
    </w:p>
    <w:p w14:paraId="3336BF00">
      <w:pPr>
        <w:pStyle w:val="4"/>
        <w:rPr>
          <w:rFonts w:hint="eastAsia" w:cs="方正兰亭纤黑_GBK"/>
          <w:sz w:val="17"/>
          <w:szCs w:val="17"/>
          <w:lang w:val="en-US"/>
        </w:rPr>
      </w:pPr>
      <w:commentRangeStart w:id="22"/>
      <w:r>
        <w:rPr>
          <w:highlight w:val="yellow"/>
        </w:rPr>
        <w:t>表1 深圳市52个公园类型划分</w:t>
      </w:r>
      <w:commentRangeEnd w:id="22"/>
      <w:r>
        <w:rPr>
          <w:rStyle w:val="CommentReference"/>
        </w:rPr>
        <w:commentReference w:id="22"/>
      </w:r>
    </w:p>
    <w:tbl>
      <w:tblPr>
        <w:tblStyle w:val="16"/>
        <w:tblW w:w="4559"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80" w:type="dxa"/>
          <w:left w:w="128" w:type="dxa"/>
          <w:bottom w:w="80" w:type="dxa"/>
          <w:right w:w="128" w:type="dxa"/>
        </w:tblCellMar>
      </w:tblPr>
      <w:tblGrid>
        <w:gridCol w:w="836"/>
        <w:gridCol w:w="1216"/>
        <w:gridCol w:w="2507"/>
      </w:tblGrid>
      <w:tr w14:paraId="5524DB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80" w:type="dxa"/>
            <w:left w:w="128" w:type="dxa"/>
            <w:bottom w:w="80" w:type="dxa"/>
            <w:right w:w="128" w:type="dxa"/>
          </w:tblCellMar>
        </w:tblPrEx>
        <w:trPr>
          <w:tblHeader/>
          <w:jc w:val="center"/>
        </w:trPr>
        <w:tc>
          <w:tcPr>
            <w:tcW w:w="836" w:type="dxa"/>
            <w:tcBorders>
              <w:bottom w:val="single" w:color="auto" w:sz="4" w:space="0"/>
            </w:tcBorders>
            <w:vAlign w:val="center"/>
          </w:tcPr>
          <w:p w14:paraId="7E91A289">
            <w:pPr>
              <w:snapToGrid w:val="0"/>
              <w:jc w:val="center"/>
              <w:textAlignment w:val="center"/>
              <w:rPr>
                <w:rFonts w:ascii="Times New Roman" w:hAnsi="Times New Roman" w:cs="Times New Roman"/>
                <w:b/>
                <w:bCs/>
                <w:color w:val="000000"/>
                <w:sz w:val="13"/>
                <w:szCs w:val="13"/>
              </w:rPr>
            </w:pPr>
            <w:r>
              <w:rPr>
                <w:rFonts w:hint="eastAsia" w:ascii="Times New Roman" w:hAnsi="Times New Roman" w:cs="Times New Roman"/>
                <w:b/>
                <w:bCs/>
                <w:color w:val="000000"/>
                <w:sz w:val="13"/>
                <w:szCs w:val="13"/>
                <w:lang w:bidi="ar"/>
              </w:rPr>
              <w:t>公园类型</w:t>
            </w:r>
          </w:p>
        </w:tc>
        <w:tc>
          <w:tcPr>
            <w:tcW w:w="1216" w:type="dxa"/>
            <w:tcBorders>
              <w:bottom w:val="single" w:color="auto" w:sz="4" w:space="0"/>
            </w:tcBorders>
            <w:vAlign w:val="center"/>
          </w:tcPr>
          <w:p w14:paraId="169EA933">
            <w:pPr>
              <w:snapToGrid w:val="0"/>
              <w:jc w:val="center"/>
              <w:textAlignment w:val="center"/>
              <w:rPr>
                <w:rFonts w:ascii="Times New Roman" w:hAnsi="Times New Roman" w:cs="Times New Roman"/>
                <w:b/>
                <w:bCs/>
                <w:color w:val="000000"/>
                <w:sz w:val="13"/>
                <w:szCs w:val="13"/>
              </w:rPr>
            </w:pPr>
            <w:r>
              <w:rPr>
                <w:rFonts w:hint="eastAsia" w:ascii="Times New Roman" w:hAnsi="Times New Roman" w:cs="Times New Roman"/>
                <w:b/>
                <w:bCs/>
                <w:color w:val="000000"/>
                <w:sz w:val="13"/>
                <w:szCs w:val="13"/>
                <w:lang w:bidi="ar"/>
              </w:rPr>
              <w:t>分类依据</w:t>
            </w:r>
          </w:p>
        </w:tc>
        <w:tc>
          <w:tcPr>
            <w:tcW w:w="2507" w:type="dxa"/>
            <w:tcBorders>
              <w:bottom w:val="single" w:color="auto" w:sz="4" w:space="0"/>
            </w:tcBorders>
            <w:vAlign w:val="center"/>
          </w:tcPr>
          <w:p w14:paraId="2190C6FE">
            <w:pPr>
              <w:snapToGrid w:val="0"/>
              <w:jc w:val="center"/>
              <w:textAlignment w:val="center"/>
              <w:rPr>
                <w:rFonts w:ascii="Times New Roman" w:hAnsi="Times New Roman" w:cs="Times New Roman"/>
                <w:b/>
                <w:bCs/>
                <w:color w:val="000000"/>
                <w:sz w:val="13"/>
                <w:szCs w:val="13"/>
              </w:rPr>
            </w:pPr>
            <w:r>
              <w:rPr>
                <w:rFonts w:hint="eastAsia" w:ascii="Times New Roman" w:hAnsi="Times New Roman" w:cs="Times New Roman"/>
                <w:b/>
                <w:bCs/>
                <w:color w:val="000000"/>
                <w:sz w:val="13"/>
                <w:szCs w:val="13"/>
                <w:lang w:bidi="ar"/>
              </w:rPr>
              <w:t>公园名称</w:t>
            </w:r>
          </w:p>
        </w:tc>
      </w:tr>
      <w:tr w14:paraId="68D055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80" w:type="dxa"/>
            <w:left w:w="128" w:type="dxa"/>
            <w:bottom w:w="80" w:type="dxa"/>
            <w:right w:w="128" w:type="dxa"/>
          </w:tblCellMar>
        </w:tblPrEx>
        <w:trPr>
          <w:jc w:val="center"/>
        </w:trPr>
        <w:tc>
          <w:tcPr>
            <w:tcW w:w="836" w:type="dxa"/>
            <w:tcBorders>
              <w:top w:val="single" w:color="auto" w:sz="4" w:space="0"/>
            </w:tcBorders>
            <w:vAlign w:val="center"/>
          </w:tcPr>
          <w:p w14:paraId="7E9D52DE">
            <w:pPr>
              <w:snapToGrid w:val="0"/>
              <w:jc w:val="center"/>
              <w:rPr>
                <w:rFonts w:ascii="Calibri" w:hAnsi="Times New Roman" w:cs="Times New Roman"/>
                <w:sz w:val="10"/>
                <w:szCs w:val="2"/>
              </w:rPr>
            </w:pPr>
            <w:bookmarkStart w:id="65" w:name="_GoBack" w:colFirst="0" w:colLast="0"/>
            <w:r>
              <w:rPr>
                <w:rFonts w:ascii="Calibri"/>
                <w:sz w:val="10"/>
                <w:szCs w:val="10"/>
              </w:rPr>
              <w:t>自然公园</w:t>
            </w:r>
          </w:p>
        </w:tc>
        <w:tc>
          <w:tcPr>
            <w:tcW w:w="1216" w:type="dxa"/>
            <w:tcBorders>
              <w:top w:val="single" w:color="auto" w:sz="4" w:space="0"/>
            </w:tcBorders>
            <w:vAlign w:val="center"/>
          </w:tcPr>
          <w:p w14:paraId="193C80C1">
            <w:pPr>
              <w:snapToGrid w:val="0"/>
              <w:jc w:val="center"/>
              <w:rPr>
                <w:rFonts w:ascii="Calibri" w:hAnsi="Times New Roman" w:cs="Times New Roman"/>
                <w:sz w:val="10"/>
                <w:szCs w:val="2"/>
                <w:lang w:eastAsia="zh-CN"/>
              </w:rPr>
            </w:pPr>
            <w:r>
              <w:rPr>
                <w:rFonts w:ascii="Calibri"/>
                <w:sz w:val="10"/>
                <w:szCs w:val="10"/>
                <w:lang w:eastAsia="zh-CN"/>
              </w:rPr>
              <w:t>以自然生态为核心（如森林公园、湿地公园）,强调生态保护和较大规模的自然活动。</w:t>
            </w:r>
          </w:p>
        </w:tc>
        <w:tc>
          <w:tcPr>
            <w:tcW w:w="2507" w:type="dxa"/>
            <w:tcBorders>
              <w:top w:val="single" w:color="auto" w:sz="4" w:space="0"/>
            </w:tcBorders>
            <w:vAlign w:val="center"/>
          </w:tcPr>
          <w:p w14:paraId="119615A1">
            <w:pPr>
              <w:snapToGrid w:val="0"/>
              <w:rPr>
                <w:rFonts w:ascii="Calibri" w:hAnsi="Times New Roman" w:cs="Times New Roman"/>
                <w:sz w:val="10"/>
                <w:szCs w:val="2"/>
                <w:lang w:eastAsia="zh-CN"/>
              </w:rPr>
            </w:pPr>
            <w:r>
              <w:rPr>
                <w:rFonts w:ascii="Calibri"/>
                <w:sz w:val="10"/>
                <w:szCs w:val="10"/>
                <w:lang w:eastAsia="zh-CN"/>
              </w:rPr>
              <w:t>马峦山郊野公园、燕晗山郊野公园、罗田森林公园、观澜河湿地公园、五指耙公园、深圳坝光银叶树湿地园、九祥岭湿地公园、恩上湿地公园、红树林海滨生态公园、福田红树林生态公园、东部华侨城茶溪谷、阳台山森林公园、宝安西湾红树林公园、铁仔山公园、梅林山公园、大岭鼓公园、平湖生态公园（总数17）</w:t>
            </w:r>
          </w:p>
        </w:tc>
      </w:tr>
      <w:bookmarkEnd w:id="65"/>
      <w:tr w14:paraId="765013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80" w:type="dxa"/>
            <w:left w:w="128" w:type="dxa"/>
            <w:bottom w:w="80" w:type="dxa"/>
            <w:right w:w="128" w:type="dxa"/>
          </w:tblCellMar>
        </w:tblPrEx>
        <w:trPr>
          <w:jc w:val="center"/>
        </w:trPr>
        <w:tc>
          <w:tcPr>
            <w:tcW w:w="836" w:type="dxa"/>
            <w:vAlign w:val="center"/>
          </w:tcPr>
          <w:p w14:paraId="7495E398">
            <w:pPr>
              <w:snapToGrid w:val="0"/>
              <w:jc w:val="center"/>
              <w:rPr>
                <w:rFonts w:ascii="Calibri" w:hAnsi="Times New Roman" w:cs="Times New Roman"/>
                <w:sz w:val="10"/>
                <w:szCs w:val="2"/>
              </w:rPr>
            </w:pPr>
            <w:r>
              <w:rPr>
                <w:rFonts w:ascii="Calibri"/>
                <w:sz w:val="10"/>
                <w:szCs w:val="10"/>
              </w:rPr>
              <w:t>基干公园</w:t>
            </w:r>
          </w:p>
        </w:tc>
        <w:tc>
          <w:tcPr>
            <w:tcW w:w="1216" w:type="dxa"/>
            <w:vAlign w:val="center"/>
          </w:tcPr>
          <w:p w14:paraId="44E344E9">
            <w:pPr>
              <w:snapToGrid w:val="0"/>
              <w:jc w:val="center"/>
              <w:rPr>
                <w:rFonts w:ascii="Calibri" w:hAnsi="Times New Roman" w:cs="Times New Roman"/>
                <w:sz w:val="10"/>
                <w:szCs w:val="2"/>
                <w:lang w:eastAsia="zh-CN"/>
              </w:rPr>
            </w:pPr>
            <w:r>
              <w:rPr>
                <w:rFonts w:ascii="Calibri"/>
                <w:sz w:val="10"/>
                <w:szCs w:val="10"/>
                <w:lang w:eastAsia="zh-CN"/>
              </w:rPr>
              <w:t>作为城市基础绿地，提供日常服务，满足</w:t>
            </w:r>
            <w:r>
              <w:rPr>
                <w:rFonts w:hint="eastAsia" w:ascii="Calibri"/>
                <w:sz w:val="10"/>
                <w:szCs w:val="10"/>
                <w:lang w:eastAsia="zh-CN"/>
              </w:rPr>
              <w:t>公众</w:t>
            </w:r>
            <w:r>
              <w:rPr>
                <w:rFonts w:ascii="Calibri"/>
                <w:sz w:val="10"/>
                <w:szCs w:val="10"/>
                <w:lang w:eastAsia="zh-CN"/>
              </w:rPr>
              <w:t>日常休闲需求，注重可达性和基本设施。</w:t>
            </w:r>
          </w:p>
        </w:tc>
        <w:tc>
          <w:tcPr>
            <w:tcW w:w="2507" w:type="dxa"/>
            <w:vAlign w:val="center"/>
          </w:tcPr>
          <w:p w14:paraId="44118AFE">
            <w:pPr>
              <w:snapToGrid w:val="0"/>
              <w:rPr>
                <w:rFonts w:ascii="Calibri" w:hAnsi="Times New Roman" w:cs="Times New Roman"/>
                <w:sz w:val="10"/>
                <w:szCs w:val="2"/>
                <w:lang w:eastAsia="zh-CN" w:bidi="ar"/>
              </w:rPr>
            </w:pPr>
            <w:r>
              <w:rPr>
                <w:rFonts w:ascii="Calibri"/>
                <w:sz w:val="10"/>
                <w:szCs w:val="10"/>
                <w:lang w:eastAsia="zh-CN"/>
              </w:rPr>
              <w:t>莲花山公园、东湖公园、洪湖公园、笔架山公园、深圳中心公园、中山公园、荔香公园、海山公园、盐田中央公园、龙城公园、龙潭公园、翠竹公园、求水山公园、立新湖公园、桂湾公园、深圳湾公园（总数16）</w:t>
            </w:r>
          </w:p>
        </w:tc>
      </w:tr>
      <w:tr w14:paraId="2DFAB5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80" w:type="dxa"/>
            <w:left w:w="128" w:type="dxa"/>
            <w:bottom w:w="80" w:type="dxa"/>
            <w:right w:w="128" w:type="dxa"/>
          </w:tblCellMar>
        </w:tblPrEx>
        <w:trPr>
          <w:jc w:val="center"/>
        </w:trPr>
        <w:tc>
          <w:tcPr>
            <w:tcW w:w="836" w:type="dxa"/>
            <w:vAlign w:val="center"/>
          </w:tcPr>
          <w:p w14:paraId="6C894279">
            <w:pPr>
              <w:snapToGrid w:val="0"/>
              <w:jc w:val="center"/>
              <w:rPr>
                <w:rFonts w:ascii="Calibri" w:hAnsi="Times New Roman" w:cs="Times New Roman"/>
                <w:sz w:val="10"/>
                <w:szCs w:val="2"/>
              </w:rPr>
            </w:pPr>
            <w:r>
              <w:rPr>
                <w:rFonts w:ascii="Calibri"/>
                <w:sz w:val="10"/>
                <w:szCs w:val="10"/>
              </w:rPr>
              <w:t>特色公园</w:t>
            </w:r>
          </w:p>
        </w:tc>
        <w:tc>
          <w:tcPr>
            <w:tcW w:w="1216" w:type="dxa"/>
            <w:vAlign w:val="center"/>
          </w:tcPr>
          <w:p w14:paraId="4FF6C04E">
            <w:pPr>
              <w:snapToGrid w:val="0"/>
              <w:jc w:val="center"/>
              <w:rPr>
                <w:rFonts w:ascii="Calibri" w:hAnsi="Times New Roman" w:cs="Times New Roman"/>
                <w:sz w:val="10"/>
                <w:szCs w:val="2"/>
                <w:lang w:eastAsia="zh-CN"/>
              </w:rPr>
            </w:pPr>
            <w:r>
              <w:rPr>
                <w:rFonts w:ascii="Calibri"/>
                <w:sz w:val="10"/>
                <w:szCs w:val="10"/>
                <w:lang w:eastAsia="zh-CN"/>
              </w:rPr>
              <w:t>针对特定人群或主题设计（如儿童公园、文化主题公园），通过独特主题或设施吸引特定人群（如亲子、文化体验）。</w:t>
            </w:r>
          </w:p>
        </w:tc>
        <w:tc>
          <w:tcPr>
            <w:tcW w:w="2507" w:type="dxa"/>
            <w:vAlign w:val="center"/>
          </w:tcPr>
          <w:p w14:paraId="23FB0384">
            <w:pPr>
              <w:snapToGrid w:val="0"/>
              <w:rPr>
                <w:rFonts w:ascii="Calibri" w:hAnsi="Times New Roman" w:cs="Times New Roman"/>
                <w:sz w:val="10"/>
                <w:szCs w:val="2"/>
                <w:lang w:eastAsia="zh-CN" w:bidi="ar"/>
              </w:rPr>
            </w:pPr>
            <w:r>
              <w:rPr>
                <w:rFonts w:ascii="Calibri"/>
                <w:sz w:val="10"/>
                <w:szCs w:val="10"/>
                <w:lang w:eastAsia="zh-CN"/>
              </w:rPr>
              <w:t>龙岗儿童公园、鹏飞公园、深圳人才公园、白石龙音乐主题公园、灯塔纪念台地、红花岭公园、大沙河生态长廊、龙岗区大运公园、虹桥公园、香蜜公园、荔枝公园、女娲滨海公园、云海公园、玉龙公园、大顶岭绿道、南山公园、月亮湾公园、观音山公园、科学公园（总数19）</w:t>
            </w:r>
          </w:p>
        </w:tc>
      </w:tr>
    </w:tbl>
    <w:p w14:paraId="0ADDAD20">
      <w:pPr>
        <w:pStyle w:val="75"/>
        <w:ind w:firstLine="341"/>
        <w:rPr>
          <w:rFonts w:cs="方正兰亭准黑_GBK"/>
          <w:b/>
          <w:bCs/>
        </w:rPr>
      </w:pPr>
    </w:p>
    <w:p w14:paraId="48764EE4">
      <w:pPr>
        <w:widowControl w:val="0"/>
        <w:autoSpaceDE w:val="0"/>
        <w:autoSpaceDN w:val="0"/>
        <w:adjustRightInd w:val="0"/>
        <w:spacing w:line="324" w:lineRule="auto"/>
        <w:jc w:val="both"/>
        <w:textAlignment w:val="center"/>
        <w:rPr>
          <w:rFonts w:hint="eastAsia" w:ascii="黑体" w:hAnsi="黑体" w:eastAsia="黑体" w:cs="方正兰亭准黑_GBK"/>
          <w:color w:val="000000"/>
          <w:sz w:val="17"/>
          <w:szCs w:val="17"/>
          <w:lang w:eastAsia="zh-CN"/>
        </w:rPr>
      </w:pPr>
      <w:r>
        <w:rPr>
          <w:rFonts w:hint="eastAsia" w:ascii="黑体" w:hAnsi="黑体" w:eastAsia="黑体" w:cs="方正兰亭准黑_GBK"/>
          <w:color w:val="000000"/>
          <w:sz w:val="17"/>
          <w:szCs w:val="17"/>
          <w:lang w:val="zh-CN" w:eastAsia="zh-CN"/>
        </w:rPr>
        <w:t>1</w:t>
      </w:r>
      <w:r>
        <w:rPr>
          <w:rFonts w:ascii="黑体" w:hAnsi="黑体" w:eastAsia="黑体" w:cs="方正兰亭准黑_GBK"/>
          <w:color w:val="000000"/>
          <w:sz w:val="17"/>
          <w:szCs w:val="17"/>
          <w:lang w:val="zh-CN" w:eastAsia="zh-CN"/>
        </w:rPr>
        <w:t>.2</w:t>
      </w:r>
      <w:bookmarkStart w:id="6" w:name="_Hlk111109013"/>
      <w:r>
        <w:rPr>
          <w:rFonts w:ascii="黑体" w:hAnsi="黑体" w:eastAsia="黑体" w:cs="方正兰亭准黑_GBK"/>
          <w:color w:val="000000"/>
          <w:sz w:val="17"/>
          <w:szCs w:val="17"/>
          <w:lang w:val="zh-CN" w:eastAsia="zh-CN"/>
        </w:rPr>
        <w:t xml:space="preserve">  </w:t>
      </w:r>
      <w:bookmarkEnd w:id="6"/>
      <w:r>
        <w:rPr>
          <w:rFonts w:hint="eastAsia" w:ascii="黑体" w:hAnsi="黑体" w:eastAsia="黑体" w:cs="方正兰亭准黑_GBK"/>
          <w:color w:val="000000"/>
          <w:sz w:val="17"/>
          <w:szCs w:val="17"/>
          <w:lang w:eastAsia="zh-CN"/>
        </w:rPr>
        <w:t>研究方案</w:t>
      </w:r>
    </w:p>
    <w:p w14:paraId="0B7FD031">
      <w:pPr>
        <w:widowControl w:val="0"/>
        <w:autoSpaceDE w:val="0"/>
        <w:autoSpaceDN w:val="0"/>
        <w:adjustRightInd w:val="0"/>
        <w:spacing w:line="324" w:lineRule="auto"/>
        <w:jc w:val="both"/>
        <w:textAlignment w:val="center"/>
        <w:rPr>
          <w:rFonts w:hint="eastAsia" w:ascii="黑体" w:hAnsi="黑体" w:eastAsia="黑体" w:cs="方正兰亭准黑_GBK"/>
          <w:color w:val="000000"/>
          <w:sz w:val="17"/>
          <w:szCs w:val="17"/>
          <w:lang w:eastAsia="zh-CN"/>
        </w:rPr>
      </w:pPr>
      <w:r>
        <w:rPr>
          <w:rFonts w:hint="eastAsia" w:ascii="黑体" w:hAnsi="黑体" w:eastAsia="黑体" w:cs="方正兰亭纤黑_GBK"/>
          <w:color w:val="000000"/>
          <w:sz w:val="17"/>
          <w:szCs w:val="17"/>
          <w:lang w:eastAsia="zh-CN"/>
        </w:rPr>
        <w:t>1</w:t>
      </w:r>
      <w:r>
        <w:rPr>
          <w:rFonts w:ascii="黑体" w:hAnsi="黑体" w:eastAsia="黑体" w:cs="方正兰亭纤黑_GBK"/>
          <w:color w:val="000000"/>
          <w:sz w:val="17"/>
          <w:szCs w:val="17"/>
          <w:lang w:val="zh-CN" w:eastAsia="zh-CN"/>
        </w:rPr>
        <w:t>.</w:t>
      </w:r>
      <w:r>
        <w:rPr>
          <w:rFonts w:hint="eastAsia" w:ascii="黑体" w:hAnsi="黑体" w:eastAsia="黑体" w:cs="方正兰亭纤黑_GBK"/>
          <w:color w:val="000000"/>
          <w:sz w:val="17"/>
          <w:szCs w:val="17"/>
          <w:lang w:eastAsia="zh-CN"/>
        </w:rPr>
        <w:t>2</w:t>
      </w:r>
      <w:r>
        <w:rPr>
          <w:rFonts w:ascii="黑体" w:hAnsi="黑体" w:eastAsia="黑体" w:cs="方正兰亭纤黑_GBK"/>
          <w:color w:val="000000"/>
          <w:sz w:val="17"/>
          <w:szCs w:val="17"/>
          <w:lang w:val="zh-CN" w:eastAsia="zh-CN"/>
        </w:rPr>
        <w:t>.1</w:t>
      </w:r>
      <w:r>
        <w:rPr>
          <w:rFonts w:hint="eastAsia" w:ascii="黑体" w:hAnsi="黑体" w:eastAsia="黑体" w:cs="方正兰亭纤黑_GBK"/>
          <w:color w:val="000000"/>
          <w:sz w:val="17"/>
          <w:szCs w:val="17"/>
          <w:lang w:eastAsia="zh-CN"/>
        </w:rPr>
        <w:t xml:space="preserve"> 研究框架</w:t>
      </w:r>
    </w:p>
    <w:p w14:paraId="5C46379D">
      <w:pPr>
        <w:pStyle w:val="75"/>
        <w:rPr>
          <w:lang w:val="zh-TW"/>
        </w:rPr>
      </w:pPr>
      <w:r>
        <w:rPr>
          <w:rFonts w:hint="default"/>
          <w:lang w:val="zh-TW"/>
        </w:rPr>
        <w:t>研究框架包括4个步骤：</w:t>
      </w:r>
      <w:r>
        <w:t>1)</w:t>
      </w:r>
      <w:r>
        <w:rPr>
          <w:rFonts w:hint="default"/>
          <w:lang w:val="zh-TW"/>
        </w:rPr>
        <w:t>，采集并清洗大众点评与携程评论，形成双平台网络文本数据库；</w:t>
      </w:r>
      <w:r>
        <w:t>2)</w:t>
      </w:r>
      <w:r>
        <w:rPr>
          <w:rFonts w:hint="default"/>
          <w:lang w:val="zh-TW"/>
        </w:rPr>
        <w:t>，基于本地化词典和少样本提示框架，对评论进行CES要素识别并计算感知频率；第</w:t>
      </w:r>
      <w:r>
        <w:t>3)</w:t>
      </w:r>
      <w:r>
        <w:rPr>
          <w:rFonts w:hint="default"/>
          <w:lang w:val="zh-TW"/>
        </w:rPr>
        <w:t>，调用百度智能云API量化评论情感倾向，形成供给侧绩效代理指标；</w:t>
      </w:r>
      <w:r>
        <w:t>4)</w:t>
      </w:r>
      <w:r>
        <w:rPr>
          <w:rFonts w:hint="default"/>
          <w:lang w:val="zh-TW"/>
        </w:rPr>
        <w:t>，结合相关分析、岭回归与IPA模型，识别关键驱动要素，比较不同类型公园感知层面的供需匹配特征，并据此提出优化策略</w:t>
      </w:r>
      <w:r>
        <w:fldChar w:fldCharType="begin"/>
      </w:r>
      <w:r>
        <w:instrText xml:space="preserve"> REF _Ref8262 \r \h </w:instrText>
      </w:r>
      <w:r>
        <w:fldChar w:fldCharType="separate"/>
      </w:r>
      <w:r>
        <w:t>[12-</w:t>
      </w:r>
      <w:r>
        <w:fldChar w:fldCharType="end"/>
      </w:r>
      <w:r>
        <w:fldChar w:fldCharType="begin"/>
      </w:r>
      <w:r>
        <w:instrText xml:space="preserve"> REF _Ref8268 \r \h </w:instrText>
      </w:r>
      <w:r>
        <w:fldChar w:fldCharType="separate"/>
      </w:r>
      <w:r>
        <w:t>14]</w:t>
      </w:r>
      <w:r>
        <w:fldChar w:fldCharType="end"/>
      </w:r>
      <w:r>
        <w:rPr>
          <w:rFonts w:hint="default"/>
          <w:lang w:val="zh-TW"/>
        </w:rPr>
        <w:t>。本文使用网络评论数据，旨在识别公众感知层面的CES供需匹配关系，而不直接测度物质</w:t>
      </w:r>
      <w:r>
        <w:rPr>
          <w:rFonts w:hint="eastAsia"/>
          <w:lang w:val="en-US" w:eastAsia="zh-CN"/>
        </w:rPr>
        <w:t>空间</w:t>
      </w:r>
      <w:r>
        <w:rPr>
          <w:rFonts w:hint="default"/>
          <w:lang w:val="zh-TW"/>
        </w:rPr>
        <w:t>意义上的客观供需总量。</w:t>
      </w:r>
    </w:p>
    <w:p w14:paraId="4465820A">
      <w:pPr>
        <w:widowControl w:val="0"/>
        <w:autoSpaceDE w:val="0"/>
        <w:autoSpaceDN w:val="0"/>
        <w:adjustRightInd w:val="0"/>
        <w:spacing w:line="324" w:lineRule="auto"/>
        <w:jc w:val="both"/>
        <w:textAlignment w:val="center"/>
        <w:rPr>
          <w:rFonts w:hint="eastAsia" w:ascii="黑体" w:hAnsi="黑体" w:eastAsia="黑体" w:cs="方正兰亭准黑_GBK"/>
          <w:color w:val="000000"/>
          <w:sz w:val="17"/>
          <w:szCs w:val="17"/>
          <w:lang w:eastAsia="zh-CN"/>
        </w:rPr>
      </w:pPr>
      <w:r>
        <w:rPr>
          <w:rFonts w:hint="eastAsia" w:ascii="黑体" w:hAnsi="黑体" w:eastAsia="黑体" w:cs="方正兰亭纤黑_GBK"/>
          <w:color w:val="000000"/>
          <w:sz w:val="17"/>
          <w:szCs w:val="17"/>
          <w:lang w:eastAsia="zh-CN"/>
        </w:rPr>
        <w:t>1</w:t>
      </w:r>
      <w:r>
        <w:rPr>
          <w:rFonts w:ascii="黑体" w:hAnsi="黑体" w:eastAsia="黑体" w:cs="方正兰亭纤黑_GBK"/>
          <w:color w:val="000000"/>
          <w:sz w:val="17"/>
          <w:szCs w:val="17"/>
          <w:lang w:val="zh-CN" w:eastAsia="zh-CN"/>
        </w:rPr>
        <w:t>.</w:t>
      </w:r>
      <w:r>
        <w:rPr>
          <w:rFonts w:hint="eastAsia" w:ascii="黑体" w:hAnsi="黑体" w:eastAsia="黑体" w:cs="方正兰亭纤黑_GBK"/>
          <w:color w:val="000000"/>
          <w:sz w:val="17"/>
          <w:szCs w:val="17"/>
          <w:lang w:eastAsia="zh-CN"/>
        </w:rPr>
        <w:t>2</w:t>
      </w:r>
      <w:r>
        <w:rPr>
          <w:rFonts w:ascii="黑体" w:hAnsi="黑体" w:eastAsia="黑体" w:cs="方正兰亭纤黑_GBK"/>
          <w:color w:val="000000"/>
          <w:sz w:val="17"/>
          <w:szCs w:val="17"/>
          <w:lang w:val="zh-CN" w:eastAsia="zh-CN"/>
        </w:rPr>
        <w:t>.</w:t>
      </w:r>
      <w:r>
        <w:rPr>
          <w:rFonts w:hint="eastAsia" w:ascii="黑体" w:hAnsi="黑体" w:eastAsia="黑体" w:cs="方正兰亭纤黑_GBK"/>
          <w:color w:val="000000"/>
          <w:sz w:val="17"/>
          <w:szCs w:val="17"/>
          <w:lang w:eastAsia="zh-CN"/>
        </w:rPr>
        <w:t>2</w:t>
      </w:r>
      <w:r>
        <w:rPr>
          <w:rFonts w:ascii="黑体" w:hAnsi="黑体" w:eastAsia="黑体" w:cs="方正兰亭准黑_GBK"/>
          <w:color w:val="000000"/>
          <w:sz w:val="17"/>
          <w:szCs w:val="17"/>
          <w:lang w:val="zh-CN" w:eastAsia="zh-CN"/>
        </w:rPr>
        <w:t xml:space="preserve">  </w:t>
      </w:r>
      <w:r>
        <w:rPr>
          <w:rFonts w:hint="eastAsia" w:ascii="黑体" w:hAnsi="黑体" w:eastAsia="黑体" w:cs="方正兰亭准黑_GBK"/>
          <w:color w:val="000000"/>
          <w:sz w:val="17"/>
          <w:szCs w:val="17"/>
          <w:lang w:eastAsia="zh-CN"/>
        </w:rPr>
        <w:t>CES指标的定义</w:t>
      </w:r>
    </w:p>
    <w:p w14:paraId="3677EE9C">
      <w:pPr>
        <w:pStyle w:val="75"/>
      </w:pPr>
      <w:r>
        <w:t>通过系统梳理国内外CES研究进展，在类别设定上参考主流生态系统服务分类框架与CES测度实践，如</w:t>
      </w:r>
      <w:commentRangeStart w:id="13"/>
      <w:r>
        <w:rPr>
          <w:highlight w:val="yellow"/>
        </w:rPr>
        <w:t>Costanza 等[15]、Hernández-Morcillo 等[16]</w:t>
      </w:r>
      <w:commentRangeEnd w:id="13"/>
      <w:r>
        <w:rPr>
          <w:rStyle w:val="CommentReference"/>
        </w:rPr>
        <w:commentReference w:id="13"/>
      </w:r>
      <w:r>
        <w:t>研究，以公众感知与景观要素可识别性为导向形成候选类别，涵盖游憩、旅游、美学、文化遗产、教育、精神宗教与场所感等。考虑城市公园服务对象广、情境复杂且在高密度城市品质提升阶段更易受空间组织、设施保障与环境舒适等综合影响，本文在保留国际通行CES核心内涵的基础上，结合深圳公园供给特征、居民使用行为与地方文化语境，对类别进行合并与本地化表述以提升边界清晰度与测度一致性：将高度耦合且难以在评论中区分的游憩与旅游整合为“游憩与健康体验”；将美学相关内容归并为“美学与文化服务”；将文化遗产与场所感以“文化遗产、地方认同”等要素纳入同一维度；将教育相关内容表述为“游憩与教育服务”；而宗教精神类在语料中稳定表达较弱且与常规治理目标关联有限，故不单列为独立维度。基于此，本文最终构建“4大维度—10项要素”的CES评价体系：以“美学与文化服务”、“游憩与教育服务”、“环境感知与恢复性服务”、“空间承载服务”代表情感收益、游憩认知收益、过程性体验质量与承载与探索活动。</w:t>
      </w:r>
    </w:p>
    <w:p w14:paraId="14FF1DDB">
      <w:pPr>
        <w:pStyle w:val="4"/>
        <w:rPr>
          <w:rFonts w:hint="eastAsia"/>
        </w:rPr>
      </w:pPr>
      <w:r>
        <w:rPr>
          <w:rFonts w:hint="eastAsia"/>
        </w:rPr>
        <w:t>表2 CES感知维度与要素类型划分</w:t>
      </w:r>
    </w:p>
    <w:tbl>
      <w:tblPr>
        <w:tblStyle w:val="16"/>
        <w:tblW w:w="4623" w:type="dxa"/>
        <w:jc w:val="center"/>
        <w:tblLayout w:type="fixed"/>
        <w:tblCellMar>
          <w:top w:w="45" w:type="dxa"/>
          <w:left w:w="96" w:type="dxa"/>
          <w:bottom w:w="45" w:type="dxa"/>
          <w:right w:w="96" w:type="dxa"/>
        </w:tblCellMar>
      </w:tblPr>
      <w:tblGrid>
        <w:gridCol w:w="823"/>
        <w:gridCol w:w="1128"/>
        <w:gridCol w:w="2672"/>
      </w:tblGrid>
      <w:tr w14:paraId="2C6ACB04">
        <w:tblPrEx>
          <w:tblCellMar>
            <w:top w:w="45" w:type="dxa"/>
            <w:left w:w="96" w:type="dxa"/>
            <w:bottom w:w="45" w:type="dxa"/>
            <w:right w:w="96" w:type="dxa"/>
          </w:tblCellMar>
        </w:tblPrEx>
        <w:trPr>
          <w:tblHeader/>
          <w:jc w:val="center"/>
        </w:trPr>
        <w:tc>
          <w:tcPr>
            <w:tcW w:w="823" w:type="dxa"/>
            <w:tcBorders>
              <w:top w:val="single" w:color="auto" w:sz="4" w:space="0"/>
              <w:left w:val="nil"/>
              <w:bottom w:val="single" w:color="auto" w:sz="4" w:space="0"/>
              <w:right w:val="nil"/>
            </w:tcBorders>
            <w:vAlign w:val="center"/>
          </w:tcPr>
          <w:p w14:paraId="04866DF7">
            <w:pPr>
              <w:rPr>
                <w:sz w:val="10"/>
                <w:szCs w:val="10"/>
              </w:rPr>
            </w:pPr>
            <w:r>
              <w:rPr>
                <w:sz w:val="10"/>
                <w:szCs w:val="10"/>
              </w:rPr>
              <w:t>CES评价维度</w:t>
            </w:r>
          </w:p>
        </w:tc>
        <w:tc>
          <w:tcPr>
            <w:tcW w:w="1128" w:type="dxa"/>
            <w:tcBorders>
              <w:top w:val="single" w:color="auto" w:sz="4" w:space="0"/>
              <w:left w:val="nil"/>
              <w:bottom w:val="single" w:color="auto" w:sz="4" w:space="0"/>
              <w:right w:val="nil"/>
            </w:tcBorders>
            <w:vAlign w:val="center"/>
          </w:tcPr>
          <w:p w14:paraId="6DE7B794">
            <w:pPr>
              <w:rPr>
                <w:sz w:val="10"/>
                <w:szCs w:val="10"/>
                <w:lang w:eastAsia="zh-CN"/>
              </w:rPr>
            </w:pPr>
            <w:r>
              <w:rPr>
                <w:sz w:val="10"/>
                <w:szCs w:val="10"/>
                <w:lang w:eastAsia="zh-CN"/>
              </w:rPr>
              <w:t>CES评价要素</w:t>
            </w:r>
          </w:p>
        </w:tc>
        <w:tc>
          <w:tcPr>
            <w:tcW w:w="2672" w:type="dxa"/>
            <w:tcBorders>
              <w:top w:val="single" w:color="auto" w:sz="4" w:space="0"/>
              <w:left w:val="nil"/>
              <w:bottom w:val="single" w:color="auto" w:sz="4" w:space="0"/>
              <w:right w:val="nil"/>
            </w:tcBorders>
            <w:vAlign w:val="center"/>
          </w:tcPr>
          <w:p w14:paraId="58B3BD2A">
            <w:pPr>
              <w:rPr>
                <w:sz w:val="10"/>
                <w:szCs w:val="10"/>
              </w:rPr>
            </w:pPr>
            <w:r>
              <w:rPr>
                <w:sz w:val="10"/>
                <w:szCs w:val="10"/>
              </w:rPr>
              <w:t>细化内容</w:t>
            </w:r>
          </w:p>
        </w:tc>
      </w:tr>
      <w:tr w14:paraId="156D7B7A">
        <w:tblPrEx>
          <w:tblCellMar>
            <w:top w:w="45" w:type="dxa"/>
            <w:left w:w="96" w:type="dxa"/>
            <w:bottom w:w="45" w:type="dxa"/>
            <w:right w:w="96" w:type="dxa"/>
          </w:tblCellMar>
        </w:tblPrEx>
        <w:trPr>
          <w:trHeight w:val="90" w:hRule="atLeast"/>
          <w:jc w:val="center"/>
        </w:trPr>
        <w:tc>
          <w:tcPr>
            <w:tcW w:w="823" w:type="dxa"/>
            <w:vMerge w:val="restart"/>
            <w:tcBorders>
              <w:top w:val="single" w:color="auto" w:sz="4" w:space="0"/>
              <w:left w:val="nil"/>
              <w:right w:val="nil"/>
            </w:tcBorders>
            <w:vAlign w:val="center"/>
          </w:tcPr>
          <w:p w14:paraId="0FFEFE68">
            <w:pPr>
              <w:rPr>
                <w:sz w:val="10"/>
                <w:szCs w:val="10"/>
              </w:rPr>
            </w:pPr>
            <w:r>
              <w:rPr>
                <w:sz w:val="10"/>
                <w:szCs w:val="10"/>
              </w:rPr>
              <w:t>美学与文化服务</w:t>
            </w:r>
          </w:p>
          <w:p w14:paraId="300605B0">
            <w:pPr>
              <w:rPr>
                <w:sz w:val="10"/>
                <w:szCs w:val="10"/>
              </w:rPr>
            </w:pPr>
          </w:p>
        </w:tc>
        <w:tc>
          <w:tcPr>
            <w:tcW w:w="1128" w:type="dxa"/>
            <w:tcBorders>
              <w:top w:val="single" w:color="auto" w:sz="4" w:space="0"/>
              <w:left w:val="nil"/>
              <w:right w:val="nil"/>
            </w:tcBorders>
            <w:vAlign w:val="center"/>
          </w:tcPr>
          <w:p w14:paraId="7AF8C825">
            <w:pPr>
              <w:rPr>
                <w:sz w:val="10"/>
                <w:szCs w:val="10"/>
              </w:rPr>
            </w:pPr>
            <w:r>
              <w:rPr>
                <w:sz w:val="10"/>
                <w:szCs w:val="10"/>
              </w:rPr>
              <w:t>美学景观服务</w:t>
            </w:r>
          </w:p>
        </w:tc>
        <w:tc>
          <w:tcPr>
            <w:tcW w:w="2672" w:type="dxa"/>
            <w:tcBorders>
              <w:top w:val="single" w:color="auto" w:sz="4" w:space="0"/>
              <w:left w:val="nil"/>
              <w:right w:val="nil"/>
            </w:tcBorders>
            <w:vAlign w:val="center"/>
          </w:tcPr>
          <w:p w14:paraId="13604DFF">
            <w:pPr>
              <w:rPr>
                <w:sz w:val="10"/>
                <w:szCs w:val="10"/>
                <w:lang w:eastAsia="zh-CN"/>
              </w:rPr>
            </w:pPr>
            <w:r>
              <w:rPr>
                <w:sz w:val="10"/>
                <w:szCs w:val="10"/>
                <w:lang w:eastAsia="zh-CN"/>
              </w:rPr>
              <w:t>观赏花卉、原生乔木、地被草坪、生态水系的视觉优美程度</w:t>
            </w:r>
          </w:p>
        </w:tc>
      </w:tr>
      <w:tr w14:paraId="6A1E6BC0">
        <w:tblPrEx>
          <w:tblCellMar>
            <w:top w:w="45" w:type="dxa"/>
            <w:left w:w="96" w:type="dxa"/>
            <w:bottom w:w="45" w:type="dxa"/>
            <w:right w:w="96" w:type="dxa"/>
          </w:tblCellMar>
        </w:tblPrEx>
        <w:trPr>
          <w:trHeight w:val="135" w:hRule="atLeast"/>
          <w:jc w:val="center"/>
        </w:trPr>
        <w:tc>
          <w:tcPr>
            <w:tcW w:w="823" w:type="dxa"/>
            <w:vMerge w:val="continue"/>
            <w:tcBorders>
              <w:left w:val="nil"/>
              <w:right w:val="nil"/>
            </w:tcBorders>
            <w:vAlign w:val="center"/>
          </w:tcPr>
          <w:p w14:paraId="49DD4BC7">
            <w:pPr>
              <w:rPr>
                <w:sz w:val="10"/>
                <w:szCs w:val="10"/>
                <w:lang w:eastAsia="zh-CN"/>
              </w:rPr>
            </w:pPr>
          </w:p>
        </w:tc>
        <w:tc>
          <w:tcPr>
            <w:tcW w:w="1128" w:type="dxa"/>
            <w:tcBorders>
              <w:left w:val="nil"/>
              <w:right w:val="nil"/>
            </w:tcBorders>
            <w:vAlign w:val="center"/>
          </w:tcPr>
          <w:p w14:paraId="2816EAA6">
            <w:pPr>
              <w:rPr>
                <w:sz w:val="10"/>
                <w:szCs w:val="10"/>
              </w:rPr>
            </w:pPr>
            <w:r>
              <w:rPr>
                <w:sz w:val="10"/>
                <w:szCs w:val="10"/>
              </w:rPr>
              <w:t>文化遗产服务</w:t>
            </w:r>
          </w:p>
        </w:tc>
        <w:tc>
          <w:tcPr>
            <w:tcW w:w="2672" w:type="dxa"/>
            <w:tcBorders>
              <w:left w:val="nil"/>
              <w:right w:val="nil"/>
            </w:tcBorders>
            <w:vAlign w:val="center"/>
          </w:tcPr>
          <w:p w14:paraId="4237BF8F">
            <w:pPr>
              <w:rPr>
                <w:sz w:val="10"/>
                <w:szCs w:val="10"/>
                <w:lang w:eastAsia="zh-CN"/>
              </w:rPr>
            </w:pPr>
            <w:r>
              <w:rPr>
                <w:sz w:val="10"/>
                <w:szCs w:val="10"/>
                <w:lang w:eastAsia="zh-CN"/>
              </w:rPr>
              <w:t>标志建筑、古典亭台、景观连廊、主题雕塑群</w:t>
            </w:r>
          </w:p>
        </w:tc>
      </w:tr>
      <w:tr w14:paraId="74C93AAA">
        <w:tblPrEx>
          <w:tblCellMar>
            <w:top w:w="45" w:type="dxa"/>
            <w:left w:w="96" w:type="dxa"/>
            <w:bottom w:w="45" w:type="dxa"/>
            <w:right w:w="96" w:type="dxa"/>
          </w:tblCellMar>
        </w:tblPrEx>
        <w:trPr>
          <w:trHeight w:val="285" w:hRule="atLeast"/>
          <w:jc w:val="center"/>
        </w:trPr>
        <w:tc>
          <w:tcPr>
            <w:tcW w:w="823" w:type="dxa"/>
            <w:vMerge w:val="restart"/>
            <w:tcBorders>
              <w:top w:val="single" w:color="auto" w:sz="4" w:space="0"/>
              <w:left w:val="nil"/>
              <w:right w:val="nil"/>
            </w:tcBorders>
            <w:vAlign w:val="center"/>
          </w:tcPr>
          <w:p w14:paraId="171A66FD">
            <w:pPr>
              <w:rPr>
                <w:sz w:val="10"/>
                <w:szCs w:val="10"/>
              </w:rPr>
            </w:pPr>
            <w:r>
              <w:rPr>
                <w:sz w:val="10"/>
                <w:szCs w:val="10"/>
              </w:rPr>
              <w:t>游憩与教育服务</w:t>
            </w:r>
          </w:p>
          <w:p w14:paraId="286B73ED">
            <w:pPr>
              <w:rPr>
                <w:sz w:val="10"/>
                <w:szCs w:val="10"/>
              </w:rPr>
            </w:pPr>
          </w:p>
        </w:tc>
        <w:tc>
          <w:tcPr>
            <w:tcW w:w="1128" w:type="dxa"/>
            <w:tcBorders>
              <w:top w:val="single" w:color="auto" w:sz="4" w:space="0"/>
              <w:left w:val="nil"/>
              <w:right w:val="nil"/>
            </w:tcBorders>
            <w:vAlign w:val="center"/>
          </w:tcPr>
          <w:p w14:paraId="40AE9F75">
            <w:pPr>
              <w:rPr>
                <w:sz w:val="10"/>
                <w:szCs w:val="10"/>
              </w:rPr>
            </w:pPr>
            <w:r>
              <w:rPr>
                <w:sz w:val="10"/>
                <w:szCs w:val="10"/>
              </w:rPr>
              <w:t>精神福祉与社交服务</w:t>
            </w:r>
          </w:p>
        </w:tc>
        <w:tc>
          <w:tcPr>
            <w:tcW w:w="2672" w:type="dxa"/>
            <w:tcBorders>
              <w:top w:val="single" w:color="auto" w:sz="4" w:space="0"/>
              <w:left w:val="nil"/>
              <w:right w:val="nil"/>
            </w:tcBorders>
            <w:vAlign w:val="center"/>
          </w:tcPr>
          <w:p w14:paraId="6E49832A">
            <w:pPr>
              <w:rPr>
                <w:sz w:val="10"/>
                <w:szCs w:val="10"/>
                <w:lang w:eastAsia="zh-CN"/>
              </w:rPr>
            </w:pPr>
            <w:r>
              <w:rPr>
                <w:sz w:val="10"/>
                <w:szCs w:val="10"/>
                <w:lang w:eastAsia="zh-CN"/>
              </w:rPr>
              <w:t>放松与情绪疗愈感、安静与安全感、社交互动（亲子/同伴）、活动氛围与人群友好度、地方认同与归属感</w:t>
            </w:r>
          </w:p>
        </w:tc>
      </w:tr>
      <w:tr w14:paraId="33912230">
        <w:tblPrEx>
          <w:tblCellMar>
            <w:top w:w="45" w:type="dxa"/>
            <w:left w:w="96" w:type="dxa"/>
            <w:bottom w:w="45" w:type="dxa"/>
            <w:right w:w="96" w:type="dxa"/>
          </w:tblCellMar>
        </w:tblPrEx>
        <w:trPr>
          <w:trHeight w:val="265" w:hRule="atLeast"/>
          <w:jc w:val="center"/>
        </w:trPr>
        <w:tc>
          <w:tcPr>
            <w:tcW w:w="823" w:type="dxa"/>
            <w:vMerge w:val="continue"/>
            <w:tcBorders>
              <w:left w:val="nil"/>
              <w:bottom w:val="single" w:color="auto" w:sz="4" w:space="0"/>
              <w:right w:val="nil"/>
            </w:tcBorders>
            <w:vAlign w:val="center"/>
          </w:tcPr>
          <w:p w14:paraId="539EC060">
            <w:pPr>
              <w:rPr>
                <w:sz w:val="10"/>
                <w:szCs w:val="10"/>
                <w:lang w:eastAsia="zh-CN"/>
              </w:rPr>
            </w:pPr>
          </w:p>
        </w:tc>
        <w:tc>
          <w:tcPr>
            <w:tcW w:w="1128" w:type="dxa"/>
            <w:tcBorders>
              <w:left w:val="nil"/>
              <w:bottom w:val="single" w:color="auto" w:sz="4" w:space="0"/>
              <w:right w:val="nil"/>
            </w:tcBorders>
            <w:vAlign w:val="center"/>
          </w:tcPr>
          <w:p w14:paraId="2E606496">
            <w:pPr>
              <w:rPr>
                <w:sz w:val="10"/>
                <w:szCs w:val="10"/>
              </w:rPr>
            </w:pPr>
            <w:r>
              <w:rPr>
                <w:sz w:val="10"/>
                <w:szCs w:val="10"/>
              </w:rPr>
              <w:t>教育体验服务</w:t>
            </w:r>
          </w:p>
        </w:tc>
        <w:tc>
          <w:tcPr>
            <w:tcW w:w="2672" w:type="dxa"/>
            <w:tcBorders>
              <w:left w:val="nil"/>
              <w:bottom w:val="single" w:color="auto" w:sz="4" w:space="0"/>
              <w:right w:val="nil"/>
            </w:tcBorders>
            <w:vAlign w:val="center"/>
          </w:tcPr>
          <w:p w14:paraId="4D7AE804">
            <w:pPr>
              <w:rPr>
                <w:sz w:val="10"/>
                <w:szCs w:val="10"/>
                <w:lang w:eastAsia="zh-CN"/>
              </w:rPr>
            </w:pPr>
            <w:r>
              <w:rPr>
                <w:sz w:val="10"/>
                <w:szCs w:val="10"/>
                <w:lang w:eastAsia="zh-CN"/>
              </w:rPr>
              <w:t>健身与运动设施、儿童游乐设施、休憩座椅与活动场地、导览解说与科普展示、组织活动与互动体验</w:t>
            </w:r>
          </w:p>
        </w:tc>
      </w:tr>
      <w:tr w14:paraId="47B3EEF3">
        <w:tblPrEx>
          <w:tblCellMar>
            <w:top w:w="45" w:type="dxa"/>
            <w:left w:w="96" w:type="dxa"/>
            <w:bottom w:w="45" w:type="dxa"/>
            <w:right w:w="96" w:type="dxa"/>
          </w:tblCellMar>
        </w:tblPrEx>
        <w:trPr>
          <w:trHeight w:val="246" w:hRule="atLeast"/>
          <w:jc w:val="center"/>
        </w:trPr>
        <w:tc>
          <w:tcPr>
            <w:tcW w:w="823" w:type="dxa"/>
            <w:vMerge w:val="restart"/>
            <w:tcBorders>
              <w:top w:val="single" w:color="auto" w:sz="4" w:space="0"/>
              <w:left w:val="nil"/>
              <w:right w:val="nil"/>
            </w:tcBorders>
            <w:vAlign w:val="center"/>
          </w:tcPr>
          <w:p w14:paraId="0224D61E">
            <w:pPr>
              <w:rPr>
                <w:sz w:val="10"/>
                <w:szCs w:val="10"/>
                <w:lang w:eastAsia="zh-CN"/>
              </w:rPr>
            </w:pPr>
            <w:r>
              <w:rPr>
                <w:sz w:val="10"/>
                <w:szCs w:val="10"/>
                <w:lang w:eastAsia="zh-CN"/>
              </w:rPr>
              <w:t>环境感知与恢复性服务</w:t>
            </w:r>
          </w:p>
        </w:tc>
        <w:tc>
          <w:tcPr>
            <w:tcW w:w="1128" w:type="dxa"/>
            <w:tcBorders>
              <w:top w:val="single" w:color="auto" w:sz="4" w:space="0"/>
              <w:left w:val="nil"/>
              <w:right w:val="nil"/>
            </w:tcBorders>
            <w:vAlign w:val="center"/>
          </w:tcPr>
          <w:p w14:paraId="4C654B75">
            <w:pPr>
              <w:rPr>
                <w:sz w:val="10"/>
                <w:szCs w:val="10"/>
                <w:lang w:eastAsia="zh-CN"/>
              </w:rPr>
            </w:pPr>
            <w:r>
              <w:rPr>
                <w:sz w:val="10"/>
                <w:szCs w:val="10"/>
                <w:lang w:eastAsia="zh-CN"/>
              </w:rPr>
              <w:t>环境与游憩适宜度服务</w:t>
            </w:r>
          </w:p>
        </w:tc>
        <w:tc>
          <w:tcPr>
            <w:tcW w:w="2672" w:type="dxa"/>
            <w:tcBorders>
              <w:top w:val="single" w:color="auto" w:sz="4" w:space="0"/>
              <w:left w:val="nil"/>
              <w:right w:val="nil"/>
            </w:tcBorders>
            <w:vAlign w:val="center"/>
          </w:tcPr>
          <w:p w14:paraId="79340D90">
            <w:pPr>
              <w:rPr>
                <w:sz w:val="10"/>
                <w:szCs w:val="10"/>
                <w:lang w:eastAsia="zh-CN"/>
              </w:rPr>
            </w:pPr>
            <w:r>
              <w:rPr>
                <w:sz w:val="10"/>
                <w:szCs w:val="10"/>
                <w:lang w:eastAsia="zh-CN"/>
              </w:rPr>
              <w:t>温湿度与体感舒适、遮阴与通风、晴雨与季节变化、蚊虫与卫生干扰等游憩适宜性</w:t>
            </w:r>
          </w:p>
        </w:tc>
      </w:tr>
      <w:tr w14:paraId="2D38A9BA">
        <w:tblPrEx>
          <w:tblCellMar>
            <w:top w:w="45" w:type="dxa"/>
            <w:left w:w="96" w:type="dxa"/>
            <w:bottom w:w="45" w:type="dxa"/>
            <w:right w:w="96" w:type="dxa"/>
          </w:tblCellMar>
        </w:tblPrEx>
        <w:trPr>
          <w:trHeight w:val="90" w:hRule="atLeast"/>
          <w:jc w:val="center"/>
        </w:trPr>
        <w:tc>
          <w:tcPr>
            <w:tcW w:w="823" w:type="dxa"/>
            <w:vMerge w:val="continue"/>
            <w:tcBorders>
              <w:left w:val="nil"/>
              <w:right w:val="nil"/>
            </w:tcBorders>
            <w:vAlign w:val="center"/>
          </w:tcPr>
          <w:p w14:paraId="6A4BDB71">
            <w:pPr>
              <w:rPr>
                <w:sz w:val="10"/>
                <w:szCs w:val="10"/>
                <w:lang w:eastAsia="zh-CN"/>
              </w:rPr>
            </w:pPr>
          </w:p>
        </w:tc>
        <w:tc>
          <w:tcPr>
            <w:tcW w:w="1128" w:type="dxa"/>
            <w:tcBorders>
              <w:left w:val="nil"/>
              <w:right w:val="nil"/>
            </w:tcBorders>
            <w:vAlign w:val="center"/>
          </w:tcPr>
          <w:p w14:paraId="03A3E09C">
            <w:pPr>
              <w:rPr>
                <w:sz w:val="10"/>
                <w:szCs w:val="10"/>
              </w:rPr>
            </w:pPr>
            <w:r>
              <w:rPr>
                <w:sz w:val="10"/>
                <w:szCs w:val="10"/>
              </w:rPr>
              <w:t>沉浸体验服务</w:t>
            </w:r>
          </w:p>
        </w:tc>
        <w:tc>
          <w:tcPr>
            <w:tcW w:w="2672" w:type="dxa"/>
            <w:tcBorders>
              <w:left w:val="nil"/>
              <w:right w:val="nil"/>
            </w:tcBorders>
            <w:vAlign w:val="center"/>
          </w:tcPr>
          <w:p w14:paraId="5FE84B03">
            <w:pPr>
              <w:rPr>
                <w:sz w:val="10"/>
                <w:szCs w:val="10"/>
                <w:lang w:eastAsia="zh-CN"/>
              </w:rPr>
            </w:pPr>
            <w:r>
              <w:rPr>
                <w:sz w:val="10"/>
                <w:szCs w:val="10"/>
                <w:lang w:eastAsia="zh-CN"/>
              </w:rPr>
              <w:t>环境噪声与静谧感、自然音效（鸟鸣/水声）、植被气味与景观细节、沉浸性氛围与连贯体验</w:t>
            </w:r>
          </w:p>
        </w:tc>
      </w:tr>
      <w:tr w14:paraId="67946ADD">
        <w:tblPrEx>
          <w:tblCellMar>
            <w:top w:w="45" w:type="dxa"/>
            <w:left w:w="96" w:type="dxa"/>
            <w:bottom w:w="45" w:type="dxa"/>
            <w:right w:w="96" w:type="dxa"/>
          </w:tblCellMar>
        </w:tblPrEx>
        <w:trPr>
          <w:trHeight w:val="90" w:hRule="atLeast"/>
          <w:jc w:val="center"/>
        </w:trPr>
        <w:tc>
          <w:tcPr>
            <w:tcW w:w="823" w:type="dxa"/>
            <w:vMerge w:val="continue"/>
            <w:tcBorders>
              <w:left w:val="nil"/>
              <w:bottom w:val="single" w:color="auto" w:sz="4" w:space="0"/>
              <w:right w:val="nil"/>
            </w:tcBorders>
            <w:vAlign w:val="center"/>
          </w:tcPr>
          <w:p w14:paraId="287D0ADF">
            <w:pPr>
              <w:rPr>
                <w:sz w:val="10"/>
                <w:szCs w:val="10"/>
                <w:lang w:eastAsia="zh-CN"/>
              </w:rPr>
            </w:pPr>
          </w:p>
        </w:tc>
        <w:tc>
          <w:tcPr>
            <w:tcW w:w="1128" w:type="dxa"/>
            <w:tcBorders>
              <w:left w:val="nil"/>
              <w:bottom w:val="single" w:color="auto" w:sz="4" w:space="0"/>
              <w:right w:val="nil"/>
            </w:tcBorders>
            <w:vAlign w:val="center"/>
          </w:tcPr>
          <w:p w14:paraId="44BC182D">
            <w:pPr>
              <w:rPr>
                <w:sz w:val="10"/>
                <w:szCs w:val="10"/>
              </w:rPr>
            </w:pPr>
            <w:r>
              <w:rPr>
                <w:sz w:val="10"/>
                <w:szCs w:val="10"/>
              </w:rPr>
              <w:t>生态健康指标</w:t>
            </w:r>
          </w:p>
        </w:tc>
        <w:tc>
          <w:tcPr>
            <w:tcW w:w="2672" w:type="dxa"/>
            <w:tcBorders>
              <w:left w:val="nil"/>
              <w:bottom w:val="single" w:color="auto" w:sz="4" w:space="0"/>
              <w:right w:val="nil"/>
            </w:tcBorders>
            <w:vAlign w:val="center"/>
          </w:tcPr>
          <w:p w14:paraId="4C9BDD0F">
            <w:pPr>
              <w:rPr>
                <w:sz w:val="10"/>
                <w:szCs w:val="10"/>
                <w:lang w:eastAsia="zh-CN"/>
              </w:rPr>
            </w:pPr>
            <w:r>
              <w:rPr>
                <w:sz w:val="10"/>
                <w:szCs w:val="10"/>
                <w:lang w:eastAsia="zh-CN"/>
              </w:rPr>
              <w:t>水体清洁度与异味、空气清新度与通风、生态修复/海绵设施可感知性、垃圾与蚊虫等生态环境问题</w:t>
            </w:r>
          </w:p>
        </w:tc>
      </w:tr>
      <w:tr w14:paraId="0047B53C">
        <w:tblPrEx>
          <w:tblCellMar>
            <w:top w:w="45" w:type="dxa"/>
            <w:left w:w="96" w:type="dxa"/>
            <w:bottom w:w="45" w:type="dxa"/>
            <w:right w:w="96" w:type="dxa"/>
          </w:tblCellMar>
        </w:tblPrEx>
        <w:trPr>
          <w:jc w:val="center"/>
        </w:trPr>
        <w:tc>
          <w:tcPr>
            <w:tcW w:w="823" w:type="dxa"/>
            <w:vMerge w:val="restart"/>
            <w:tcBorders>
              <w:top w:val="single" w:color="auto" w:sz="4" w:space="0"/>
              <w:left w:val="nil"/>
              <w:right w:val="nil"/>
            </w:tcBorders>
            <w:vAlign w:val="center"/>
          </w:tcPr>
          <w:p w14:paraId="07A42FFD">
            <w:pPr>
              <w:rPr>
                <w:sz w:val="10"/>
                <w:szCs w:val="10"/>
              </w:rPr>
            </w:pPr>
            <w:r>
              <w:rPr>
                <w:sz w:val="10"/>
                <w:szCs w:val="10"/>
              </w:rPr>
              <w:t>空间承载服务</w:t>
            </w:r>
          </w:p>
        </w:tc>
        <w:tc>
          <w:tcPr>
            <w:tcW w:w="1128" w:type="dxa"/>
            <w:tcBorders>
              <w:top w:val="single" w:color="auto" w:sz="4" w:space="0"/>
              <w:left w:val="nil"/>
              <w:right w:val="nil"/>
            </w:tcBorders>
            <w:vAlign w:val="center"/>
          </w:tcPr>
          <w:p w14:paraId="7D09D4C4">
            <w:pPr>
              <w:rPr>
                <w:sz w:val="10"/>
                <w:szCs w:val="10"/>
              </w:rPr>
            </w:pPr>
            <w:r>
              <w:rPr>
                <w:sz w:val="10"/>
                <w:szCs w:val="10"/>
              </w:rPr>
              <w:t>空间开敞与通行服务</w:t>
            </w:r>
          </w:p>
        </w:tc>
        <w:tc>
          <w:tcPr>
            <w:tcW w:w="2672" w:type="dxa"/>
            <w:tcBorders>
              <w:top w:val="single" w:color="auto" w:sz="4" w:space="0"/>
              <w:left w:val="nil"/>
              <w:right w:val="nil"/>
            </w:tcBorders>
            <w:vAlign w:val="center"/>
          </w:tcPr>
          <w:p w14:paraId="76C84946">
            <w:pPr>
              <w:rPr>
                <w:sz w:val="10"/>
                <w:szCs w:val="10"/>
                <w:lang w:eastAsia="zh-CN"/>
              </w:rPr>
            </w:pPr>
            <w:r>
              <w:rPr>
                <w:sz w:val="10"/>
                <w:szCs w:val="10"/>
                <w:lang w:eastAsia="zh-CN"/>
              </w:rPr>
              <w:t>空间开敞度与通行顺畅性、人流拥挤感</w:t>
            </w:r>
          </w:p>
        </w:tc>
      </w:tr>
      <w:tr w14:paraId="1C684F25">
        <w:tblPrEx>
          <w:tblCellMar>
            <w:top w:w="45" w:type="dxa"/>
            <w:left w:w="96" w:type="dxa"/>
            <w:bottom w:w="45" w:type="dxa"/>
            <w:right w:w="96" w:type="dxa"/>
          </w:tblCellMar>
        </w:tblPrEx>
        <w:trPr>
          <w:trHeight w:val="368" w:hRule="atLeast"/>
          <w:jc w:val="center"/>
        </w:trPr>
        <w:tc>
          <w:tcPr>
            <w:tcW w:w="823" w:type="dxa"/>
            <w:vMerge w:val="continue"/>
            <w:tcBorders>
              <w:left w:val="nil"/>
              <w:right w:val="nil"/>
            </w:tcBorders>
            <w:vAlign w:val="center"/>
          </w:tcPr>
          <w:p w14:paraId="686ECC32">
            <w:pPr>
              <w:rPr>
                <w:sz w:val="10"/>
                <w:szCs w:val="10"/>
                <w:lang w:eastAsia="zh-CN"/>
              </w:rPr>
            </w:pPr>
          </w:p>
        </w:tc>
        <w:tc>
          <w:tcPr>
            <w:tcW w:w="1128" w:type="dxa"/>
            <w:tcBorders>
              <w:left w:val="nil"/>
              <w:right w:val="nil"/>
            </w:tcBorders>
            <w:vAlign w:val="center"/>
          </w:tcPr>
          <w:p w14:paraId="560312A4">
            <w:pPr>
              <w:rPr>
                <w:sz w:val="10"/>
                <w:szCs w:val="10"/>
              </w:rPr>
            </w:pPr>
            <w:r>
              <w:rPr>
                <w:sz w:val="10"/>
                <w:szCs w:val="10"/>
              </w:rPr>
              <w:t>体验地形服务</w:t>
            </w:r>
          </w:p>
        </w:tc>
        <w:tc>
          <w:tcPr>
            <w:tcW w:w="2672" w:type="dxa"/>
            <w:tcBorders>
              <w:left w:val="nil"/>
              <w:right w:val="nil"/>
            </w:tcBorders>
            <w:vAlign w:val="center"/>
          </w:tcPr>
          <w:p w14:paraId="7F27E68A">
            <w:pPr>
              <w:rPr>
                <w:sz w:val="10"/>
                <w:szCs w:val="10"/>
                <w:lang w:eastAsia="zh-CN"/>
              </w:rPr>
            </w:pPr>
            <w:r>
              <w:rPr>
                <w:sz w:val="10"/>
                <w:szCs w:val="10"/>
                <w:lang w:eastAsia="zh-CN"/>
              </w:rPr>
              <w:t>缓坡/陡坡、台地与平坦区域、阶梯/台阶与栈道、视线高差与探索路线带来的体验</w:t>
            </w:r>
          </w:p>
        </w:tc>
      </w:tr>
      <w:tr w14:paraId="07620C6C">
        <w:tblPrEx>
          <w:tblCellMar>
            <w:top w:w="45" w:type="dxa"/>
            <w:left w:w="96" w:type="dxa"/>
            <w:bottom w:w="45" w:type="dxa"/>
            <w:right w:w="96" w:type="dxa"/>
          </w:tblCellMar>
        </w:tblPrEx>
        <w:trPr>
          <w:trHeight w:val="368" w:hRule="atLeast"/>
          <w:jc w:val="center"/>
        </w:trPr>
        <w:tc>
          <w:tcPr>
            <w:tcW w:w="823" w:type="dxa"/>
            <w:vMerge w:val="continue"/>
            <w:tcBorders>
              <w:left w:val="nil"/>
              <w:bottom w:val="single" w:color="auto" w:sz="4" w:space="0"/>
              <w:right w:val="nil"/>
            </w:tcBorders>
            <w:vAlign w:val="center"/>
          </w:tcPr>
          <w:p w14:paraId="7E0B1726">
            <w:pPr>
              <w:rPr>
                <w:sz w:val="10"/>
                <w:szCs w:val="10"/>
                <w:lang w:eastAsia="zh-CN"/>
              </w:rPr>
            </w:pPr>
          </w:p>
        </w:tc>
        <w:tc>
          <w:tcPr>
            <w:tcW w:w="1128" w:type="dxa"/>
            <w:tcBorders>
              <w:left w:val="nil"/>
              <w:bottom w:val="single" w:color="auto" w:sz="4" w:space="0"/>
              <w:right w:val="nil"/>
            </w:tcBorders>
            <w:vAlign w:val="center"/>
          </w:tcPr>
          <w:p w14:paraId="5B4D4EBE">
            <w:pPr>
              <w:rPr>
                <w:sz w:val="10"/>
                <w:szCs w:val="10"/>
              </w:rPr>
            </w:pPr>
            <w:r>
              <w:rPr>
                <w:sz w:val="10"/>
                <w:szCs w:val="10"/>
              </w:rPr>
              <w:t>可达性与保障服务</w:t>
            </w:r>
          </w:p>
        </w:tc>
        <w:tc>
          <w:tcPr>
            <w:tcW w:w="2672" w:type="dxa"/>
            <w:tcBorders>
              <w:left w:val="nil"/>
              <w:bottom w:val="single" w:color="auto" w:sz="4" w:space="0"/>
              <w:right w:val="nil"/>
            </w:tcBorders>
            <w:vAlign w:val="center"/>
          </w:tcPr>
          <w:p w14:paraId="4C7C5D49">
            <w:pPr>
              <w:rPr>
                <w:sz w:val="10"/>
                <w:szCs w:val="10"/>
                <w:lang w:eastAsia="zh-CN"/>
              </w:rPr>
            </w:pPr>
            <w:r>
              <w:rPr>
                <w:sz w:val="10"/>
                <w:szCs w:val="10"/>
                <w:lang w:eastAsia="zh-CN"/>
              </w:rPr>
              <w:t>餐饮零售点、智能停车场与换乘接驳、生态卫生间与清洁维护、无障碍设施与照明安防、导向标识与管理提示</w:t>
            </w:r>
          </w:p>
        </w:tc>
      </w:tr>
    </w:tbl>
    <w:p w14:paraId="7D3EBDCE">
      <w:pPr>
        <w:pStyle w:val="75"/>
      </w:pPr>
      <w:r>
        <w:t>其中，评价维度指CES的宏观服务类型，用于组织解释与维度层面统计；评价要素指在网络评论中可被稳定识别的体验主题，是后续相关性、岭回归与IPA诊断的基本分析单元；通过评价维度和评价要素对公园CES感知进行研究，而感知频率与感知倾向则揭示CES供需是否满足</w:t>
      </w:r>
      <w:r>
        <w:rPr>
          <w:rFonts w:hint="eastAsia"/>
          <w:lang w:eastAsia="zh-CN"/>
        </w:rPr>
        <w:t>公众</w:t>
      </w:r>
      <w:r>
        <w:t>精神情感需求。</w:t>
      </w:r>
    </w:p>
    <w:tbl>
      <w:tblPr>
        <w:tblStyle w:val="17"/>
        <w:tblW w:w="48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26"/>
      </w:tblGrid>
      <w:tr w14:paraId="550D1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6" w:hRule="atLeast"/>
          <w:jc w:val="center"/>
        </w:trPr>
        <w:tc>
          <w:tcPr>
            <w:tcW w:w="4880" w:type="dxa"/>
          </w:tcPr>
          <w:p w14:paraId="4DB3B6F5">
            <w:pPr>
              <w:snapToGrid w:val="0"/>
              <w:spacing w:line="360" w:lineRule="auto"/>
              <w:jc w:val="both"/>
              <w:rPr>
                <w:rFonts w:cs="Times New Roman" w:eastAsiaTheme="minorEastAsia"/>
                <w:kern w:val="2"/>
              </w:rPr>
            </w:pPr>
            <w:r>
              <w:rPr>
                <w:rFonts w:cs="Times New Roman" w:eastAsiaTheme="minorEastAsia"/>
                <w:kern w:val="2"/>
                <w:lang w:eastAsia="zh-CN"/>
              </w:rPr>
              <w:drawing>
                <wp:inline distT="0" distB="0" distL="114300" distR="114300">
                  <wp:extent cx="2978150" cy="1676400"/>
                  <wp:effectExtent l="0" t="0" r="12700" b="0"/>
                  <wp:docPr id="2" name="图片 2" descr="ChatGPT Image 2026年5月31日 00_12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5月31日 00_12_29"/>
                          <pic:cNvPicPr>
                            <a:picLocks noChangeAspect="1"/>
                          </pic:cNvPicPr>
                        </pic:nvPicPr>
                        <pic:blipFill>
                          <a:blip r:embed="rId5"/>
                          <a:stretch>
                            <a:fillRect/>
                          </a:stretch>
                        </pic:blipFill>
                        <pic:spPr>
                          <a:xfrm>
                            <a:off x="0" y="0"/>
                            <a:ext cx="2978150" cy="1676400"/>
                          </a:xfrm>
                          <a:prstGeom prst="rect">
                            <a:avLst/>
                          </a:prstGeom>
                        </pic:spPr>
                      </pic:pic>
                    </a:graphicData>
                  </a:graphic>
                </wp:inline>
              </w:drawing>
            </w:r>
          </w:p>
        </w:tc>
      </w:tr>
    </w:tbl>
    <w:p w14:paraId="3E3B970A">
      <w:pPr>
        <w:widowControl w:val="0"/>
        <w:autoSpaceDE w:val="0"/>
        <w:autoSpaceDN w:val="0"/>
        <w:adjustRightInd w:val="0"/>
        <w:spacing w:line="324" w:lineRule="auto"/>
        <w:jc w:val="both"/>
        <w:textAlignment w:val="center"/>
        <w:rPr>
          <w:rFonts w:hint="eastAsia" w:ascii="黑体" w:hAnsi="黑体" w:eastAsia="黑体" w:cs="方正兰亭纤黑_GBK"/>
          <w:color w:val="000000"/>
          <w:sz w:val="13"/>
          <w:szCs w:val="13"/>
          <w:lang w:val="zh-CN" w:eastAsia="zh-CN"/>
        </w:rPr>
      </w:pPr>
      <w:r>
        <w:rPr>
          <w:rFonts w:hint="eastAsia" w:ascii="黑体" w:hAnsi="黑体" w:eastAsia="黑体" w:cs="方正兰亭纤黑_GBK"/>
          <w:color w:val="000000"/>
          <w:sz w:val="13"/>
          <w:szCs w:val="13"/>
          <w:lang w:val="zh-CN" w:eastAsia="zh-CN"/>
        </w:rPr>
        <w:t>图1 分析流程图</w:t>
      </w:r>
    </w:p>
    <w:p w14:paraId="427FBD4F">
      <w:pPr>
        <w:adjustRightInd w:val="0"/>
        <w:snapToGrid w:val="0"/>
        <w:spacing w:line="324" w:lineRule="auto"/>
        <w:jc w:val="both"/>
        <w:rPr>
          <w:rFonts w:hint="eastAsia" w:ascii="黑体" w:hAnsi="黑体" w:eastAsia="黑体" w:cs="方正兰亭准黑_GBK"/>
          <w:color w:val="000000"/>
          <w:sz w:val="17"/>
          <w:szCs w:val="17"/>
          <w:lang w:eastAsia="zh-CN"/>
        </w:rPr>
      </w:pPr>
      <w:r>
        <w:rPr>
          <w:rFonts w:hint="eastAsia" w:ascii="黑体" w:hAnsi="黑体" w:eastAsia="黑体" w:cs="方正兰亭准黑_GBK"/>
          <w:color w:val="000000"/>
          <w:sz w:val="17"/>
          <w:szCs w:val="17"/>
          <w:lang w:eastAsia="zh-CN"/>
        </w:rPr>
        <w:t>1.2.3  数据爬取和分句处理</w:t>
      </w:r>
    </w:p>
    <w:p w14:paraId="4D8A7425">
      <w:pPr>
        <w:pStyle w:val="75"/>
      </w:pPr>
      <w:r>
        <w:t>本文使用Python获取大众点评52座公园各100条最新评论（2024年1月至2025年3月），形成5200条主体语料；同时通过八爪鱼采集携程评论4500余条作为补充语料[17]。两平台数据在标准化清洗后统一进入分句、去重、去广告和无效文本剔除流程，并加载本地专业词库进行后续识别。通过</w:t>
      </w:r>
      <w:commentRangeStart w:id="19"/>
      <w:r>
        <w:rPr>
          <w:highlight w:val="yellow"/>
        </w:rPr>
        <w:t>人工抽查97条样本</w:t>
      </w:r>
      <w:commentRangeEnd w:id="19"/>
      <w:r>
        <w:rPr>
          <w:rStyle w:val="CommentReference"/>
        </w:rPr>
        <w:commentReference w:id="19"/>
      </w:r>
      <w:r>
        <w:t>，绝大多数评论能够直接对应公众的现场体验。经清洗后，最终保留9624条有效评论。多平台文本的并行引入有助于降低单一平台表达偏差，然而本文仍将结果限定为公众感知层面的诊断结论。</w:t>
      </w:r>
    </w:p>
    <w:p w14:paraId="777E6E21">
      <w:pPr>
        <w:widowControl w:val="0"/>
        <w:autoSpaceDE w:val="0"/>
        <w:autoSpaceDN w:val="0"/>
        <w:adjustRightInd w:val="0"/>
        <w:spacing w:line="324" w:lineRule="auto"/>
        <w:jc w:val="both"/>
        <w:textAlignment w:val="center"/>
        <w:rPr>
          <w:rFonts w:hint="eastAsia" w:ascii="黑体" w:hAnsi="黑体" w:eastAsia="黑体" w:cs="方正兰亭准黑_GBK"/>
          <w:color w:val="000000"/>
          <w:sz w:val="17"/>
          <w:szCs w:val="17"/>
          <w:lang w:eastAsia="zh-CN"/>
        </w:rPr>
      </w:pPr>
      <w:r>
        <w:rPr>
          <w:rFonts w:hint="eastAsia" w:ascii="黑体" w:hAnsi="黑体" w:eastAsia="黑体" w:cs="方正兰亭准黑_GBK"/>
          <w:color w:val="000000"/>
          <w:sz w:val="17"/>
          <w:szCs w:val="17"/>
          <w:lang w:eastAsia="zh-CN"/>
        </w:rPr>
        <w:t>1</w:t>
      </w:r>
      <w:r>
        <w:rPr>
          <w:rFonts w:hint="eastAsia" w:ascii="黑体" w:hAnsi="黑体" w:eastAsia="黑体" w:cs="方正兰亭准黑_GBK"/>
          <w:color w:val="000000"/>
          <w:sz w:val="17"/>
          <w:szCs w:val="17"/>
          <w:lang w:val="zh-CN" w:eastAsia="zh-CN"/>
        </w:rPr>
        <w:t>.</w:t>
      </w:r>
      <w:r>
        <w:rPr>
          <w:rFonts w:hint="eastAsia" w:ascii="黑体" w:hAnsi="黑体" w:eastAsia="黑体" w:cs="方正兰亭准黑_GBK"/>
          <w:color w:val="000000"/>
          <w:sz w:val="17"/>
          <w:szCs w:val="17"/>
          <w:lang w:eastAsia="zh-CN"/>
        </w:rPr>
        <w:t>3</w:t>
      </w:r>
      <w:r>
        <w:rPr>
          <w:rFonts w:ascii="黑体" w:hAnsi="黑体" w:eastAsia="黑体" w:cs="方正兰亭准黑_GBK"/>
          <w:color w:val="000000"/>
          <w:sz w:val="17"/>
          <w:szCs w:val="17"/>
          <w:lang w:val="zh-CN" w:eastAsia="zh-CN"/>
        </w:rPr>
        <w:t xml:space="preserve">  </w:t>
      </w:r>
      <w:r>
        <w:rPr>
          <w:rFonts w:hint="eastAsia" w:ascii="黑体" w:hAnsi="黑体" w:eastAsia="黑体" w:cs="方正兰亭准黑_GBK"/>
          <w:color w:val="000000"/>
          <w:sz w:val="17"/>
          <w:szCs w:val="17"/>
          <w:lang w:eastAsia="zh-CN"/>
        </w:rPr>
        <w:t>感知要素识别</w:t>
      </w:r>
    </w:p>
    <w:p w14:paraId="13B714F2">
      <w:pPr>
        <w:pStyle w:val="75"/>
      </w:pPr>
      <w:r>
        <w:t>本文将在线评论视为公众现场体验的直接表达，提出“感知频率—感知倾向”双指标框架：其中，“感知频率”是要素在评论中的提及频次，用于表征需求侧的关注度（即公众对该要素的议题重要性与敏感性），被高频提及的要素往往更能触发体验判断，因而更容易成为</w:t>
      </w:r>
      <w:r>
        <w:rPr>
          <w:rFonts w:hint="eastAsia"/>
          <w:lang w:eastAsia="zh-CN"/>
        </w:rPr>
        <w:t>公众</w:t>
      </w:r>
      <w:r>
        <w:t>表达与评价的焦点</w:t>
      </w:r>
      <w:r>
        <w:fldChar w:fldCharType="begin"/>
      </w:r>
      <w:r>
        <w:instrText xml:space="preserve"> REF _Ref8774 \r \h </w:instrText>
      </w:r>
      <w:r>
        <w:fldChar w:fldCharType="separate"/>
      </w:r>
      <w:r>
        <w:t>[18-</w:t>
      </w:r>
      <w:r>
        <w:fldChar w:fldCharType="end"/>
      </w:r>
      <w:r>
        <w:fldChar w:fldCharType="begin"/>
      </w:r>
      <w:r>
        <w:instrText xml:space="preserve"> REF _Ref8787 \r \h </w:instrText>
      </w:r>
      <w:r>
        <w:fldChar w:fldCharType="separate"/>
      </w:r>
      <w:r>
        <w:t>20]</w:t>
      </w:r>
      <w:r>
        <w:fldChar w:fldCharType="end"/>
      </w:r>
      <w:r>
        <w:t>；然而需承认城市绿地在线评价的结构性偏差，即高频提及既可能来源于供给丰富或体验较好，也可能为问题集中或抱怨聚集，同时需要注意，社交媒体评论并非对所有</w:t>
      </w:r>
      <w:r>
        <w:rPr>
          <w:rFonts w:hint="eastAsia"/>
          <w:lang w:eastAsia="zh-CN"/>
        </w:rPr>
        <w:t>公众</w:t>
      </w:r>
      <w:r>
        <w:t>的随机抽样：发声者往往集中于特定年轻人群，从而带来样本代表性偏差</w:t>
      </w:r>
      <w:r>
        <w:fldChar w:fldCharType="begin"/>
      </w:r>
      <w:r>
        <w:instrText xml:space="preserve"> REF _Ref8791 \r \h </w:instrText>
      </w:r>
      <w:r>
        <w:fldChar w:fldCharType="separate"/>
      </w:r>
      <w:r>
        <w:t>[21-</w:t>
      </w:r>
      <w:r>
        <w:fldChar w:fldCharType="end"/>
      </w:r>
      <w:r>
        <w:fldChar w:fldCharType="begin"/>
      </w:r>
      <w:r>
        <w:instrText xml:space="preserve"> REF _Ref8794 \r \h </w:instrText>
      </w:r>
      <w:r>
        <w:fldChar w:fldCharType="separate"/>
      </w:r>
      <w:r>
        <w:t>22]</w:t>
      </w:r>
      <w:r>
        <w:fldChar w:fldCharType="end"/>
      </w:r>
      <w:r>
        <w:t>。为降低上述偏差对诊断的干扰，本文引入“感知倾向”情感极性与强度作为供给侧的结果性表征，通过情感分析量化公众对要素的满意度正负反馈强度，从而与感知频率联合判读“供给侧—需求侧”的匹配状态</w:t>
      </w:r>
      <w:r>
        <w:rPr>
          <w:rStyle w:val="82"/>
          <w:rFonts w:hint="default"/>
        </w:rPr>
        <w:fldChar w:fldCharType="begin"/>
      </w:r>
      <w:r>
        <w:rPr>
          <w:rStyle w:val="82"/>
          <w:rFonts w:hint="default"/>
        </w:rPr>
        <w:instrText xml:space="preserve"> REF _Ref4360 \r \h </w:instrText>
      </w:r>
      <w:r>
        <w:rPr>
          <w:rStyle w:val="82"/>
          <w:rFonts w:hint="default"/>
        </w:rPr>
        <w:fldChar w:fldCharType="separate"/>
      </w:r>
      <w:r>
        <w:rPr>
          <w:rStyle w:val="82"/>
          <w:rFonts w:hint="default"/>
        </w:rPr>
        <w:t>[7</w:t>
      </w:r>
      <w:r>
        <w:rPr>
          <w:rStyle w:val="82"/>
          <w:rFonts w:hint="default"/>
        </w:rPr>
        <w:fldChar w:fldCharType="end"/>
      </w:r>
      <w:r>
        <w:rPr>
          <w:rStyle w:val="82"/>
          <w:rFonts w:hint="default"/>
        </w:rPr>
        <w:fldChar w:fldCharType="begin"/>
      </w:r>
      <w:r>
        <w:rPr>
          <w:rStyle w:val="82"/>
          <w:rFonts w:hint="default"/>
        </w:rPr>
        <w:instrText xml:space="preserve"> REF _Ref4360 \n \h </w:instrText>
      </w:r>
      <w:r>
        <w:rPr>
          <w:rStyle w:val="82"/>
          <w:rFonts w:hint="default"/>
        </w:rPr>
        <w:fldChar w:fldCharType="separate"/>
      </w:r>
      <w:r>
        <w:rPr>
          <w:rStyle w:val="82"/>
        </w:rPr>
        <w:t>-</w:t>
      </w:r>
      <w:r>
        <w:rPr>
          <w:rStyle w:val="82"/>
          <w:rFonts w:hint="default"/>
        </w:rPr>
        <w:t>8]</w:t>
      </w:r>
      <w:r>
        <w:rPr>
          <w:rStyle w:val="82"/>
          <w:rFonts w:hint="default"/>
        </w:rPr>
        <w:fldChar w:fldCharType="end"/>
      </w:r>
      <w:r>
        <w:t>，通过将“感知频率”与“感知倾向”结合使用，能够识别并校正供需结构性偏差，从而更准确地刻画CES感知层面的供需匹配状态与优化优先级。</w:t>
      </w:r>
      <w:commentRangeStart w:id="18"/>
      <w:r>
        <w:rPr>
          <w:highlight w:val="yellow"/>
        </w:rPr>
        <w:t>[45-46]</w:t>
      </w:r>
      <w:commentRangeEnd w:id="18"/>
      <w:r>
        <w:rPr>
          <w:rStyle w:val="CommentReference"/>
        </w:rPr>
        <w:commentReference w:id="18"/>
      </w:r>
    </w:p>
    <w:p w14:paraId="454E88E4">
      <w:pPr>
        <w:widowControl w:val="0"/>
        <w:autoSpaceDE w:val="0"/>
        <w:autoSpaceDN w:val="0"/>
        <w:adjustRightInd w:val="0"/>
        <w:spacing w:line="324" w:lineRule="auto"/>
        <w:jc w:val="both"/>
        <w:textAlignment w:val="center"/>
        <w:rPr>
          <w:rFonts w:hint="eastAsia" w:ascii="黑体" w:hAnsi="黑体" w:eastAsia="黑体" w:cs="方正兰亭准黑_GBK"/>
          <w:color w:val="000000"/>
          <w:sz w:val="17"/>
          <w:szCs w:val="17"/>
          <w:lang w:eastAsia="zh-CN"/>
        </w:rPr>
      </w:pPr>
      <w:r>
        <w:rPr>
          <w:rFonts w:hint="eastAsia" w:ascii="黑体" w:hAnsi="黑体" w:eastAsia="黑体" w:cs="方正兰亭准黑_GBK"/>
          <w:color w:val="000000"/>
          <w:sz w:val="17"/>
          <w:szCs w:val="17"/>
          <w:lang w:eastAsia="zh-CN"/>
        </w:rPr>
        <w:t>1.3.1  基于情感分析的感知倾向识别</w:t>
      </w:r>
    </w:p>
    <w:p w14:paraId="58A2BF02">
      <w:pPr>
        <w:pStyle w:val="75"/>
      </w:pPr>
      <w:r>
        <w:t>本研究通过情感分析评估公众对不同CES类别的情绪反应。文本情感分析涉及对公众生成文本中主观表达（包括观点、偏好、情绪及相关构念）的计算检测、分析与提取。</w:t>
      </w:r>
      <w:commentRangeStart w:id="16"/>
      <w:r>
        <w:rPr>
          <w:highlight w:val="yellow"/>
        </w:rPr>
        <w:t>每条评论的倾向通过百度智能云API计算得出。该接口可返回情感极性（sentiment）、置信度（confidence）、积极概率（positive_prob）与消极概率（negative_prob）等参数，适合用于对中文网络评论进行可重复的情感量化；但其在本文公园评论语料中的准确性仍需以人工复核或验证集结果说明[47-48]。</w:t>
      </w:r>
      <w:commentRangeEnd w:id="16"/>
      <w:r>
        <w:rPr>
          <w:rStyle w:val="CommentReference"/>
        </w:rPr>
        <w:commentReference w:id="16"/>
      </w:r>
    </w:p>
    <w:p w14:paraId="2E0A606E">
      <w:pPr>
        <w:pStyle w:val="75"/>
        <w:wordWrap w:val="0"/>
      </w:pPr>
      <w:r>
        <w:t>该模型接口对网络评论文本进行情感量化评估，获取情感极性（sentiment）、置信度（confidence）、积极概率（positive_prob）与消极概率（negative_prob）等参数（表3），并以积极概率作为“感知倾向”的连续度量（0–1），用于表征公众对公园要素的满意度取向。鉴于positive_prob与negative_prob互补（和为1），本文统一以positive_prob定义“感知倾向”，并采用阈值判别其方向（positive_prob&gt;0.55为积极），同时筛选confidence&gt;0.5的样本以降低低可信输出对测度稳定性的干扰（表4）。在此基础上，将要素层面的感知频率与感知倾向相结合，为后续相关性检验、关键要素识别与供需匹配诊断提供数据基础</w:t>
      </w:r>
      <w:r>
        <w:fldChar w:fldCharType="begin"/>
      </w:r>
      <w:r>
        <w:instrText xml:space="preserve"> REF _Ref8797 \r \h </w:instrText>
      </w:r>
      <w:r>
        <w:fldChar w:fldCharType="separate"/>
      </w:r>
      <w:r>
        <w:t>[22-23]</w:t>
      </w:r>
      <w:r>
        <w:fldChar w:fldCharType="end"/>
      </w:r>
      <w:r>
        <w:t>。</w:t>
      </w:r>
    </w:p>
    <w:p w14:paraId="51E3B9E7">
      <w:pPr>
        <w:widowControl w:val="0"/>
        <w:autoSpaceDE w:val="0"/>
        <w:autoSpaceDN w:val="0"/>
        <w:adjustRightInd w:val="0"/>
        <w:spacing w:line="324" w:lineRule="auto"/>
        <w:jc w:val="both"/>
        <w:textAlignment w:val="center"/>
        <w:rPr>
          <w:rFonts w:hint="eastAsia" w:ascii="黑体" w:hAnsi="黑体" w:eastAsia="黑体" w:cs="方正兰亭纤黑_GBK"/>
          <w:color w:val="000000"/>
          <w:sz w:val="13"/>
          <w:szCs w:val="13"/>
          <w:lang w:val="zh-CN" w:eastAsia="zh-CN"/>
        </w:rPr>
      </w:pPr>
      <w:commentRangeStart w:id="11"/>
      <w:r>
        <w:rPr>
          <w:highlight w:val="yellow"/>
        </w:rPr>
        <w:t>表3 百度智能云API平台情感感知倾向分析参数</w:t>
      </w:r>
      <w:commentRangeEnd w:id="11"/>
      <w:r>
        <w:rPr>
          <w:rStyle w:val="CommentReference"/>
        </w:rPr>
        <w:commentReference w:id="11"/>
      </w:r>
    </w:p>
    <w:tbl>
      <w:tblPr>
        <w:tblStyle w:val="16"/>
        <w:tblW w:w="4795" w:type="dxa"/>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56" w:type="dxa"/>
          <w:left w:w="96" w:type="dxa"/>
          <w:bottom w:w="56" w:type="dxa"/>
          <w:right w:w="96" w:type="dxa"/>
        </w:tblCellMar>
      </w:tblPr>
      <w:tblGrid>
        <w:gridCol w:w="604"/>
        <w:gridCol w:w="605"/>
        <w:gridCol w:w="1161"/>
        <w:gridCol w:w="632"/>
        <w:gridCol w:w="1161"/>
        <w:gridCol w:w="632"/>
      </w:tblGrid>
      <w:tr w14:paraId="0999C16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56" w:type="dxa"/>
            <w:left w:w="96" w:type="dxa"/>
            <w:bottom w:w="56" w:type="dxa"/>
            <w:right w:w="96" w:type="dxa"/>
          </w:tblCellMar>
        </w:tblPrEx>
        <w:trPr>
          <w:tblHeader/>
          <w:jc w:val="center"/>
        </w:trPr>
        <w:tc>
          <w:tcPr>
            <w:tcW w:w="0" w:type="auto"/>
            <w:tcBorders>
              <w:top w:val="single" w:color="auto" w:sz="4" w:space="0"/>
              <w:left w:val="nil"/>
              <w:bottom w:val="single" w:color="auto" w:sz="4" w:space="0"/>
              <w:right w:val="nil"/>
            </w:tcBorders>
            <w:vAlign w:val="center"/>
          </w:tcPr>
          <w:p w14:paraId="2B1805EF">
            <w:pPr>
              <w:snapToGrid w:val="0"/>
              <w:jc w:val="both"/>
              <w:rPr>
                <w:sz w:val="11"/>
                <w:szCs w:val="11"/>
              </w:rPr>
            </w:pPr>
            <w:r>
              <w:rPr>
                <w:sz w:val="11"/>
                <w:szCs w:val="11"/>
              </w:rPr>
              <w:t>结果分类</w:t>
            </w:r>
          </w:p>
        </w:tc>
        <w:tc>
          <w:tcPr>
            <w:tcW w:w="0" w:type="auto"/>
            <w:tcBorders>
              <w:top w:val="single" w:color="auto" w:sz="4" w:space="0"/>
              <w:left w:val="nil"/>
              <w:bottom w:val="single" w:color="auto" w:sz="4" w:space="0"/>
              <w:right w:val="nil"/>
            </w:tcBorders>
            <w:vAlign w:val="center"/>
          </w:tcPr>
          <w:p w14:paraId="1637A823">
            <w:pPr>
              <w:snapToGrid w:val="0"/>
              <w:jc w:val="both"/>
              <w:rPr>
                <w:sz w:val="11"/>
                <w:szCs w:val="11"/>
              </w:rPr>
            </w:pPr>
            <w:r>
              <w:rPr>
                <w:sz w:val="11"/>
                <w:szCs w:val="11"/>
              </w:rPr>
              <w:t>置信度域</w:t>
            </w:r>
          </w:p>
        </w:tc>
        <w:tc>
          <w:tcPr>
            <w:tcW w:w="0" w:type="auto"/>
            <w:tcBorders>
              <w:top w:val="single" w:color="auto" w:sz="4" w:space="0"/>
              <w:left w:val="nil"/>
              <w:bottom w:val="single" w:color="auto" w:sz="4" w:space="0"/>
              <w:right w:val="nil"/>
            </w:tcBorders>
            <w:vAlign w:val="center"/>
          </w:tcPr>
          <w:p w14:paraId="0EC5005C">
            <w:pPr>
              <w:snapToGrid w:val="0"/>
              <w:jc w:val="both"/>
              <w:rPr>
                <w:sz w:val="11"/>
                <w:szCs w:val="11"/>
              </w:rPr>
            </w:pPr>
            <w:r>
              <w:rPr>
                <w:sz w:val="11"/>
                <w:szCs w:val="11"/>
              </w:rPr>
              <w:t>消极概率区间</w:t>
            </w:r>
          </w:p>
        </w:tc>
        <w:tc>
          <w:tcPr>
            <w:tcW w:w="0" w:type="auto"/>
            <w:tcBorders>
              <w:top w:val="single" w:color="auto" w:sz="4" w:space="0"/>
              <w:left w:val="nil"/>
              <w:bottom w:val="single" w:color="auto" w:sz="4" w:space="0"/>
              <w:right w:val="nil"/>
            </w:tcBorders>
            <w:vAlign w:val="center"/>
          </w:tcPr>
          <w:p w14:paraId="1AAEDC92">
            <w:pPr>
              <w:snapToGrid w:val="0"/>
              <w:jc w:val="both"/>
              <w:rPr>
                <w:sz w:val="11"/>
                <w:szCs w:val="11"/>
                <w:lang w:eastAsia="zh-CN"/>
              </w:rPr>
            </w:pPr>
            <w:r>
              <w:rPr>
                <w:sz w:val="11"/>
                <w:szCs w:val="11"/>
                <w:lang w:eastAsia="zh-CN"/>
              </w:rPr>
              <w:t>情感映射关系（消极）</w:t>
            </w:r>
          </w:p>
        </w:tc>
        <w:tc>
          <w:tcPr>
            <w:tcW w:w="0" w:type="auto"/>
            <w:tcBorders>
              <w:top w:val="single" w:color="auto" w:sz="4" w:space="0"/>
              <w:left w:val="nil"/>
              <w:bottom w:val="single" w:color="auto" w:sz="4" w:space="0"/>
              <w:right w:val="nil"/>
            </w:tcBorders>
            <w:vAlign w:val="center"/>
          </w:tcPr>
          <w:p w14:paraId="6AC6335F">
            <w:pPr>
              <w:snapToGrid w:val="0"/>
              <w:jc w:val="both"/>
              <w:rPr>
                <w:sz w:val="11"/>
                <w:szCs w:val="11"/>
              </w:rPr>
            </w:pPr>
            <w:r>
              <w:rPr>
                <w:sz w:val="11"/>
                <w:szCs w:val="11"/>
              </w:rPr>
              <w:t>积极概率区间</w:t>
            </w:r>
          </w:p>
        </w:tc>
        <w:tc>
          <w:tcPr>
            <w:tcW w:w="632" w:type="dxa"/>
            <w:tcBorders>
              <w:top w:val="single" w:color="auto" w:sz="4" w:space="0"/>
              <w:left w:val="nil"/>
              <w:bottom w:val="single" w:color="auto" w:sz="4" w:space="0"/>
              <w:right w:val="nil"/>
            </w:tcBorders>
            <w:vAlign w:val="center"/>
          </w:tcPr>
          <w:p w14:paraId="6A863196">
            <w:pPr>
              <w:snapToGrid w:val="0"/>
              <w:jc w:val="both"/>
              <w:rPr>
                <w:sz w:val="11"/>
                <w:szCs w:val="11"/>
                <w:lang w:eastAsia="zh-CN"/>
              </w:rPr>
            </w:pPr>
            <w:r>
              <w:rPr>
                <w:sz w:val="11"/>
                <w:szCs w:val="11"/>
                <w:lang w:eastAsia="zh-CN"/>
              </w:rPr>
              <w:t>情感映射关系（积极）</w:t>
            </w:r>
          </w:p>
        </w:tc>
      </w:tr>
      <w:tr w14:paraId="10E00D5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0" w:type="auto"/>
            <w:tcBorders>
              <w:top w:val="single" w:color="auto" w:sz="4" w:space="0"/>
              <w:left w:val="nil"/>
              <w:bottom w:val="nil"/>
              <w:right w:val="nil"/>
            </w:tcBorders>
            <w:vAlign w:val="center"/>
          </w:tcPr>
          <w:p w14:paraId="6F8E01E1">
            <w:pPr>
              <w:snapToGrid w:val="0"/>
              <w:jc w:val="both"/>
              <w:rPr>
                <w:sz w:val="11"/>
                <w:szCs w:val="11"/>
              </w:rPr>
            </w:pPr>
            <w:r>
              <w:rPr>
                <w:sz w:val="11"/>
                <w:szCs w:val="11"/>
              </w:rPr>
              <w:t>[0,2]</w:t>
            </w:r>
          </w:p>
        </w:tc>
        <w:tc>
          <w:tcPr>
            <w:tcW w:w="0" w:type="auto"/>
            <w:tcBorders>
              <w:top w:val="single" w:color="auto" w:sz="4" w:space="0"/>
              <w:left w:val="nil"/>
              <w:bottom w:val="nil"/>
              <w:right w:val="nil"/>
            </w:tcBorders>
            <w:vAlign w:val="center"/>
          </w:tcPr>
          <w:p w14:paraId="4E9F0CC1">
            <w:pPr>
              <w:snapToGrid w:val="0"/>
              <w:jc w:val="both"/>
              <w:rPr>
                <w:sz w:val="11"/>
                <w:szCs w:val="11"/>
              </w:rPr>
            </w:pPr>
            <w:r>
              <w:rPr>
                <w:sz w:val="11"/>
                <w:szCs w:val="11"/>
              </w:rPr>
              <w:t>[0,1]</w:t>
            </w:r>
          </w:p>
        </w:tc>
        <w:tc>
          <w:tcPr>
            <w:tcW w:w="0" w:type="auto"/>
            <w:tcBorders>
              <w:top w:val="single" w:color="auto" w:sz="4" w:space="0"/>
              <w:left w:val="nil"/>
              <w:bottom w:val="nil"/>
              <w:right w:val="nil"/>
            </w:tcBorders>
            <w:vAlign w:val="center"/>
          </w:tcPr>
          <w:p w14:paraId="0DFC1BFD">
            <w:pPr>
              <w:snapToGrid w:val="0"/>
              <w:jc w:val="both"/>
              <w:rPr>
                <w:sz w:val="11"/>
                <w:szCs w:val="11"/>
              </w:rPr>
            </w:pPr>
            <w:r>
              <w:rPr>
                <w:sz w:val="11"/>
                <w:szCs w:val="11"/>
              </w:rPr>
              <w:t>[0,1]</w:t>
            </w:r>
          </w:p>
        </w:tc>
        <w:tc>
          <w:tcPr>
            <w:tcW w:w="0" w:type="auto"/>
            <w:tcBorders>
              <w:top w:val="single" w:color="auto" w:sz="4" w:space="0"/>
              <w:left w:val="nil"/>
              <w:bottom w:val="nil"/>
              <w:right w:val="nil"/>
            </w:tcBorders>
            <w:vAlign w:val="center"/>
          </w:tcPr>
          <w:p w14:paraId="04C183D7">
            <w:pPr>
              <w:snapToGrid w:val="0"/>
              <w:jc w:val="both"/>
              <w:rPr>
                <w:sz w:val="11"/>
                <w:szCs w:val="11"/>
              </w:rPr>
            </w:pPr>
            <w:r>
              <w:rPr>
                <w:sz w:val="11"/>
                <w:szCs w:val="11"/>
              </w:rPr>
              <w:t>无</w:t>
            </w:r>
          </w:p>
        </w:tc>
        <w:tc>
          <w:tcPr>
            <w:tcW w:w="0" w:type="auto"/>
            <w:tcBorders>
              <w:top w:val="single" w:color="auto" w:sz="4" w:space="0"/>
              <w:left w:val="nil"/>
              <w:bottom w:val="nil"/>
              <w:right w:val="nil"/>
            </w:tcBorders>
            <w:vAlign w:val="center"/>
          </w:tcPr>
          <w:p w14:paraId="2C1A4F7F">
            <w:pPr>
              <w:snapToGrid w:val="0"/>
              <w:jc w:val="both"/>
              <w:rPr>
                <w:sz w:val="11"/>
                <w:szCs w:val="11"/>
              </w:rPr>
            </w:pPr>
            <w:r>
              <w:rPr>
                <w:sz w:val="11"/>
                <w:szCs w:val="11"/>
              </w:rPr>
              <w:t>[0,1]</w:t>
            </w:r>
          </w:p>
        </w:tc>
        <w:tc>
          <w:tcPr>
            <w:tcW w:w="632" w:type="dxa"/>
            <w:tcBorders>
              <w:top w:val="single" w:color="auto" w:sz="4" w:space="0"/>
              <w:left w:val="nil"/>
              <w:bottom w:val="nil"/>
              <w:right w:val="nil"/>
            </w:tcBorders>
            <w:noWrap/>
            <w:vAlign w:val="center"/>
          </w:tcPr>
          <w:p w14:paraId="02EC180A">
            <w:pPr>
              <w:snapToGrid w:val="0"/>
              <w:jc w:val="both"/>
              <w:rPr>
                <w:sz w:val="11"/>
                <w:szCs w:val="11"/>
              </w:rPr>
            </w:pPr>
            <w:r>
              <w:rPr>
                <w:sz w:val="11"/>
                <w:szCs w:val="11"/>
              </w:rPr>
              <w:t>无</w:t>
            </w:r>
          </w:p>
        </w:tc>
      </w:tr>
      <w:tr w14:paraId="26CC514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0" w:type="auto"/>
            <w:tcBorders>
              <w:top w:val="nil"/>
              <w:left w:val="nil"/>
              <w:bottom w:val="nil"/>
              <w:right w:val="nil"/>
            </w:tcBorders>
            <w:vAlign w:val="center"/>
          </w:tcPr>
          <w:p w14:paraId="4170AFCC">
            <w:pPr>
              <w:snapToGrid w:val="0"/>
              <w:jc w:val="both"/>
              <w:rPr>
                <w:sz w:val="11"/>
                <w:szCs w:val="11"/>
              </w:rPr>
            </w:pPr>
            <w:r>
              <w:rPr>
                <w:sz w:val="11"/>
                <w:szCs w:val="11"/>
              </w:rPr>
              <w:t>0:消极</w:t>
            </w:r>
          </w:p>
        </w:tc>
        <w:tc>
          <w:tcPr>
            <w:tcW w:w="0" w:type="auto"/>
            <w:tcBorders>
              <w:top w:val="nil"/>
              <w:left w:val="nil"/>
              <w:bottom w:val="nil"/>
              <w:right w:val="nil"/>
            </w:tcBorders>
            <w:vAlign w:val="center"/>
          </w:tcPr>
          <w:p w14:paraId="4FACFA9A">
            <w:pPr>
              <w:snapToGrid w:val="0"/>
              <w:jc w:val="both"/>
              <w:rPr>
                <w:sz w:val="11"/>
                <w:szCs w:val="11"/>
                <w:lang w:eastAsia="zh-CN"/>
              </w:rPr>
            </w:pPr>
            <w:r>
              <w:rPr>
                <w:sz w:val="11"/>
                <w:szCs w:val="11"/>
                <w:lang w:eastAsia="zh-CN"/>
              </w:rPr>
              <w:t>数字越接近1，可信度越高</w:t>
            </w:r>
          </w:p>
        </w:tc>
        <w:tc>
          <w:tcPr>
            <w:tcW w:w="0" w:type="auto"/>
            <w:tcBorders>
              <w:top w:val="nil"/>
              <w:left w:val="nil"/>
              <w:bottom w:val="nil"/>
              <w:right w:val="nil"/>
            </w:tcBorders>
            <w:vAlign w:val="center"/>
          </w:tcPr>
          <w:p w14:paraId="234AB28D">
            <w:pPr>
              <w:snapToGrid w:val="0"/>
              <w:jc w:val="both"/>
              <w:rPr>
                <w:sz w:val="11"/>
                <w:szCs w:val="11"/>
              </w:rPr>
            </w:pPr>
            <w:r>
              <w:rPr>
                <w:sz w:val="11"/>
                <w:szCs w:val="11"/>
              </w:rPr>
              <w:t>[0.55,1]</w:t>
            </w:r>
          </w:p>
        </w:tc>
        <w:tc>
          <w:tcPr>
            <w:tcW w:w="0" w:type="auto"/>
            <w:tcBorders>
              <w:top w:val="nil"/>
              <w:left w:val="nil"/>
              <w:bottom w:val="nil"/>
              <w:right w:val="nil"/>
            </w:tcBorders>
            <w:vAlign w:val="center"/>
          </w:tcPr>
          <w:p w14:paraId="2F94DE98">
            <w:pPr>
              <w:snapToGrid w:val="0"/>
              <w:jc w:val="both"/>
              <w:rPr>
                <w:sz w:val="11"/>
                <w:szCs w:val="11"/>
              </w:rPr>
            </w:pPr>
            <w:r>
              <w:rPr>
                <w:sz w:val="11"/>
                <w:szCs w:val="11"/>
              </w:rPr>
              <w:t>消极悖离</w:t>
            </w:r>
          </w:p>
        </w:tc>
        <w:tc>
          <w:tcPr>
            <w:tcW w:w="0" w:type="auto"/>
            <w:tcBorders>
              <w:top w:val="nil"/>
              <w:left w:val="nil"/>
              <w:bottom w:val="nil"/>
              <w:right w:val="nil"/>
            </w:tcBorders>
            <w:vAlign w:val="center"/>
          </w:tcPr>
          <w:p w14:paraId="5D5AFE3A">
            <w:pPr>
              <w:snapToGrid w:val="0"/>
              <w:jc w:val="both"/>
              <w:rPr>
                <w:sz w:val="11"/>
                <w:szCs w:val="11"/>
              </w:rPr>
            </w:pPr>
            <w:r>
              <w:rPr>
                <w:sz w:val="11"/>
                <w:szCs w:val="11"/>
              </w:rPr>
              <w:t>[0,0.45]</w:t>
            </w:r>
          </w:p>
        </w:tc>
        <w:tc>
          <w:tcPr>
            <w:tcW w:w="632" w:type="dxa"/>
            <w:tcBorders>
              <w:top w:val="nil"/>
              <w:left w:val="nil"/>
              <w:bottom w:val="nil"/>
              <w:right w:val="nil"/>
            </w:tcBorders>
            <w:vAlign w:val="center"/>
          </w:tcPr>
          <w:p w14:paraId="444FD991">
            <w:pPr>
              <w:snapToGrid w:val="0"/>
              <w:jc w:val="both"/>
              <w:rPr>
                <w:sz w:val="11"/>
                <w:szCs w:val="11"/>
              </w:rPr>
            </w:pPr>
            <w:r>
              <w:rPr>
                <w:sz w:val="11"/>
                <w:szCs w:val="11"/>
              </w:rPr>
              <w:t>消极悖离</w:t>
            </w:r>
          </w:p>
        </w:tc>
      </w:tr>
      <w:tr w14:paraId="1819147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0" w:type="auto"/>
            <w:tcBorders>
              <w:top w:val="nil"/>
              <w:left w:val="nil"/>
              <w:bottom w:val="nil"/>
              <w:right w:val="nil"/>
            </w:tcBorders>
            <w:vAlign w:val="center"/>
          </w:tcPr>
          <w:p w14:paraId="00F2EAD6">
            <w:pPr>
              <w:snapToGrid w:val="0"/>
              <w:jc w:val="both"/>
              <w:rPr>
                <w:sz w:val="11"/>
                <w:szCs w:val="11"/>
              </w:rPr>
            </w:pPr>
            <w:r>
              <w:rPr>
                <w:sz w:val="11"/>
                <w:szCs w:val="11"/>
              </w:rPr>
              <w:t>1:中性</w:t>
            </w:r>
          </w:p>
        </w:tc>
        <w:tc>
          <w:tcPr>
            <w:tcW w:w="0" w:type="auto"/>
            <w:tcBorders>
              <w:top w:val="nil"/>
              <w:left w:val="nil"/>
              <w:bottom w:val="nil"/>
              <w:right w:val="nil"/>
            </w:tcBorders>
            <w:vAlign w:val="center"/>
          </w:tcPr>
          <w:p w14:paraId="7ADEAE50">
            <w:pPr>
              <w:snapToGrid w:val="0"/>
              <w:jc w:val="both"/>
              <w:rPr>
                <w:sz w:val="11"/>
                <w:szCs w:val="11"/>
              </w:rPr>
            </w:pPr>
          </w:p>
        </w:tc>
        <w:tc>
          <w:tcPr>
            <w:tcW w:w="0" w:type="auto"/>
            <w:tcBorders>
              <w:top w:val="nil"/>
              <w:left w:val="nil"/>
              <w:bottom w:val="nil"/>
              <w:right w:val="nil"/>
            </w:tcBorders>
            <w:vAlign w:val="center"/>
          </w:tcPr>
          <w:p w14:paraId="38EF24D4">
            <w:pPr>
              <w:snapToGrid w:val="0"/>
              <w:jc w:val="both"/>
              <w:rPr>
                <w:sz w:val="11"/>
                <w:szCs w:val="11"/>
              </w:rPr>
            </w:pPr>
            <w:r>
              <w:rPr>
                <w:sz w:val="11"/>
                <w:szCs w:val="11"/>
              </w:rPr>
              <w:t>[0.45,0.55)</w:t>
            </w:r>
          </w:p>
        </w:tc>
        <w:tc>
          <w:tcPr>
            <w:tcW w:w="0" w:type="auto"/>
            <w:tcBorders>
              <w:top w:val="nil"/>
              <w:left w:val="nil"/>
              <w:bottom w:val="nil"/>
              <w:right w:val="nil"/>
            </w:tcBorders>
            <w:vAlign w:val="center"/>
          </w:tcPr>
          <w:p w14:paraId="690FF4AD">
            <w:pPr>
              <w:snapToGrid w:val="0"/>
              <w:jc w:val="both"/>
              <w:rPr>
                <w:sz w:val="11"/>
                <w:szCs w:val="11"/>
              </w:rPr>
            </w:pPr>
            <w:r>
              <w:rPr>
                <w:sz w:val="11"/>
                <w:szCs w:val="11"/>
              </w:rPr>
              <w:t>平衡状态</w:t>
            </w:r>
          </w:p>
        </w:tc>
        <w:tc>
          <w:tcPr>
            <w:tcW w:w="0" w:type="auto"/>
            <w:tcBorders>
              <w:top w:val="nil"/>
              <w:left w:val="nil"/>
              <w:bottom w:val="nil"/>
              <w:right w:val="nil"/>
            </w:tcBorders>
            <w:vAlign w:val="center"/>
          </w:tcPr>
          <w:p w14:paraId="3CDDD038">
            <w:pPr>
              <w:snapToGrid w:val="0"/>
              <w:jc w:val="both"/>
              <w:rPr>
                <w:sz w:val="11"/>
                <w:szCs w:val="11"/>
              </w:rPr>
            </w:pPr>
            <w:r>
              <w:rPr>
                <w:sz w:val="11"/>
                <w:szCs w:val="11"/>
              </w:rPr>
              <w:t>[0.45,0.55)</w:t>
            </w:r>
          </w:p>
        </w:tc>
        <w:tc>
          <w:tcPr>
            <w:tcW w:w="632" w:type="dxa"/>
            <w:tcBorders>
              <w:top w:val="nil"/>
              <w:left w:val="nil"/>
              <w:bottom w:val="nil"/>
              <w:right w:val="nil"/>
            </w:tcBorders>
            <w:vAlign w:val="center"/>
          </w:tcPr>
          <w:p w14:paraId="17616593">
            <w:pPr>
              <w:snapToGrid w:val="0"/>
              <w:jc w:val="both"/>
              <w:rPr>
                <w:sz w:val="11"/>
                <w:szCs w:val="11"/>
              </w:rPr>
            </w:pPr>
            <w:r>
              <w:rPr>
                <w:sz w:val="11"/>
                <w:szCs w:val="11"/>
              </w:rPr>
              <w:t>平衡状态</w:t>
            </w:r>
          </w:p>
        </w:tc>
      </w:tr>
      <w:tr w14:paraId="0D14CA7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604" w:type="dxa"/>
            <w:tcBorders>
              <w:top w:val="nil"/>
              <w:left w:val="nil"/>
              <w:bottom w:val="single" w:color="auto" w:sz="4" w:space="0"/>
              <w:right w:val="nil"/>
            </w:tcBorders>
            <w:vAlign w:val="center"/>
          </w:tcPr>
          <w:p w14:paraId="07673961">
            <w:pPr>
              <w:snapToGrid w:val="0"/>
              <w:jc w:val="both"/>
              <w:rPr>
                <w:sz w:val="11"/>
                <w:szCs w:val="11"/>
              </w:rPr>
            </w:pPr>
            <w:r>
              <w:rPr>
                <w:sz w:val="11"/>
                <w:szCs w:val="11"/>
              </w:rPr>
              <w:t>2:积极</w:t>
            </w:r>
          </w:p>
        </w:tc>
        <w:tc>
          <w:tcPr>
            <w:tcW w:w="605" w:type="dxa"/>
            <w:tcBorders>
              <w:top w:val="nil"/>
              <w:left w:val="nil"/>
              <w:bottom w:val="single" w:color="auto" w:sz="4" w:space="0"/>
              <w:right w:val="nil"/>
            </w:tcBorders>
            <w:vAlign w:val="center"/>
          </w:tcPr>
          <w:p w14:paraId="51C3C08C">
            <w:pPr>
              <w:snapToGrid w:val="0"/>
              <w:jc w:val="both"/>
              <w:rPr>
                <w:sz w:val="11"/>
                <w:szCs w:val="11"/>
              </w:rPr>
            </w:pPr>
          </w:p>
        </w:tc>
        <w:tc>
          <w:tcPr>
            <w:tcW w:w="1161" w:type="dxa"/>
            <w:tcBorders>
              <w:top w:val="nil"/>
              <w:left w:val="nil"/>
              <w:bottom w:val="single" w:color="auto" w:sz="4" w:space="0"/>
              <w:right w:val="nil"/>
            </w:tcBorders>
            <w:vAlign w:val="center"/>
          </w:tcPr>
          <w:p w14:paraId="63B7D29B">
            <w:pPr>
              <w:snapToGrid w:val="0"/>
              <w:jc w:val="both"/>
              <w:rPr>
                <w:sz w:val="11"/>
                <w:szCs w:val="11"/>
              </w:rPr>
            </w:pPr>
            <w:r>
              <w:rPr>
                <w:sz w:val="11"/>
                <w:szCs w:val="11"/>
              </w:rPr>
              <w:t>[0,0.45]</w:t>
            </w:r>
          </w:p>
        </w:tc>
        <w:tc>
          <w:tcPr>
            <w:tcW w:w="632" w:type="dxa"/>
            <w:tcBorders>
              <w:top w:val="nil"/>
              <w:left w:val="nil"/>
              <w:bottom w:val="single" w:color="auto" w:sz="4" w:space="0"/>
              <w:right w:val="nil"/>
            </w:tcBorders>
            <w:vAlign w:val="center"/>
          </w:tcPr>
          <w:p w14:paraId="49565FB8">
            <w:pPr>
              <w:snapToGrid w:val="0"/>
              <w:jc w:val="both"/>
              <w:rPr>
                <w:sz w:val="11"/>
                <w:szCs w:val="11"/>
              </w:rPr>
            </w:pPr>
            <w:r>
              <w:rPr>
                <w:sz w:val="11"/>
                <w:szCs w:val="11"/>
              </w:rPr>
              <w:t>积极主导</w:t>
            </w:r>
          </w:p>
        </w:tc>
        <w:tc>
          <w:tcPr>
            <w:tcW w:w="1161" w:type="dxa"/>
            <w:tcBorders>
              <w:top w:val="nil"/>
              <w:left w:val="nil"/>
              <w:bottom w:val="single" w:color="auto" w:sz="4" w:space="0"/>
              <w:right w:val="nil"/>
            </w:tcBorders>
            <w:vAlign w:val="center"/>
          </w:tcPr>
          <w:p w14:paraId="1A7E7AF7">
            <w:pPr>
              <w:snapToGrid w:val="0"/>
              <w:jc w:val="both"/>
              <w:rPr>
                <w:sz w:val="11"/>
                <w:szCs w:val="11"/>
              </w:rPr>
            </w:pPr>
            <w:r>
              <w:rPr>
                <w:sz w:val="11"/>
                <w:szCs w:val="11"/>
              </w:rPr>
              <w:t>[0.55,1]</w:t>
            </w:r>
          </w:p>
        </w:tc>
        <w:tc>
          <w:tcPr>
            <w:tcW w:w="632" w:type="dxa"/>
            <w:tcBorders>
              <w:top w:val="nil"/>
              <w:left w:val="nil"/>
              <w:bottom w:val="single" w:color="auto" w:sz="4" w:space="0"/>
              <w:right w:val="nil"/>
            </w:tcBorders>
            <w:vAlign w:val="center"/>
          </w:tcPr>
          <w:p w14:paraId="3DC92E7F">
            <w:pPr>
              <w:snapToGrid w:val="0"/>
              <w:jc w:val="both"/>
              <w:rPr>
                <w:sz w:val="11"/>
                <w:szCs w:val="11"/>
              </w:rPr>
            </w:pPr>
            <w:r>
              <w:rPr>
                <w:sz w:val="11"/>
                <w:szCs w:val="11"/>
              </w:rPr>
              <w:t>积极主导</w:t>
            </w:r>
          </w:p>
        </w:tc>
      </w:tr>
    </w:tbl>
    <w:p w14:paraId="7E9ECF84">
      <w:pPr>
        <w:pStyle w:val="77"/>
        <w:jc w:val="both"/>
        <w:rPr>
          <w:rFonts w:hint="eastAsia" w:ascii="黑体" w:hAnsi="黑体" w:eastAsia="黑体" w:cs="方正兰亭中黑_GBK"/>
          <w:color w:val="000000"/>
          <w:sz w:val="14"/>
          <w:szCs w:val="14"/>
          <w:lang w:val="zh-CN"/>
        </w:rPr>
      </w:pPr>
    </w:p>
    <w:p w14:paraId="78185912">
      <w:pPr>
        <w:widowControl w:val="0"/>
        <w:autoSpaceDE w:val="0"/>
        <w:autoSpaceDN w:val="0"/>
        <w:adjustRightInd w:val="0"/>
        <w:spacing w:line="324" w:lineRule="auto"/>
        <w:jc w:val="both"/>
        <w:textAlignment w:val="center"/>
        <w:rPr>
          <w:rFonts w:hint="eastAsia" w:ascii="黑体" w:hAnsi="黑体" w:eastAsia="黑体" w:cs="方正兰亭纤黑_GBK"/>
          <w:color w:val="000000"/>
          <w:sz w:val="13"/>
          <w:szCs w:val="13"/>
          <w:lang w:val="zh-CN" w:eastAsia="zh-CN"/>
        </w:rPr>
      </w:pPr>
      <w:r>
        <w:rPr>
          <w:rFonts w:hint="eastAsia" w:ascii="黑体" w:hAnsi="黑体" w:eastAsia="黑体" w:cs="方正兰亭纤黑_GBK"/>
          <w:color w:val="000000"/>
          <w:sz w:val="13"/>
          <w:szCs w:val="13"/>
          <w:lang w:val="zh-CN" w:eastAsia="zh-CN"/>
        </w:rPr>
        <w:t>表4 CES感知种类和感知倾向数据集</w:t>
      </w:r>
    </w:p>
    <w:tbl>
      <w:tblPr>
        <w:tblStyle w:val="16"/>
        <w:tblW w:w="479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45" w:type="dxa"/>
          <w:left w:w="96" w:type="dxa"/>
          <w:bottom w:w="45" w:type="dxa"/>
          <w:right w:w="96" w:type="dxa"/>
        </w:tblCellMar>
      </w:tblPr>
      <w:tblGrid>
        <w:gridCol w:w="2347"/>
        <w:gridCol w:w="1686"/>
        <w:gridCol w:w="759"/>
      </w:tblGrid>
      <w:tr w14:paraId="66DC1F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5" w:type="dxa"/>
            <w:left w:w="96" w:type="dxa"/>
            <w:bottom w:w="45" w:type="dxa"/>
            <w:right w:w="96" w:type="dxa"/>
          </w:tblCellMar>
        </w:tblPrEx>
        <w:trPr>
          <w:tblHeader/>
          <w:jc w:val="center"/>
        </w:trPr>
        <w:tc>
          <w:tcPr>
            <w:tcW w:w="0" w:type="auto"/>
            <w:tcBorders>
              <w:bottom w:val="single" w:color="auto" w:sz="4" w:space="0"/>
            </w:tcBorders>
            <w:vAlign w:val="center"/>
          </w:tcPr>
          <w:p w14:paraId="42DEFB97">
            <w:pPr>
              <w:snapToGrid w:val="0"/>
              <w:jc w:val="both"/>
              <w:rPr>
                <w:b/>
                <w:sz w:val="11"/>
                <w:szCs w:val="11"/>
              </w:rPr>
            </w:pPr>
            <w:r>
              <w:rPr>
                <w:b/>
                <w:sz w:val="11"/>
                <w:szCs w:val="11"/>
              </w:rPr>
              <w:t>分句</w:t>
            </w:r>
          </w:p>
        </w:tc>
        <w:tc>
          <w:tcPr>
            <w:tcW w:w="0" w:type="auto"/>
            <w:tcBorders>
              <w:bottom w:val="single" w:color="auto" w:sz="4" w:space="0"/>
            </w:tcBorders>
            <w:vAlign w:val="center"/>
          </w:tcPr>
          <w:p w14:paraId="2E3B23F9">
            <w:pPr>
              <w:snapToGrid w:val="0"/>
              <w:jc w:val="both"/>
              <w:rPr>
                <w:b/>
                <w:sz w:val="11"/>
                <w:szCs w:val="11"/>
              </w:rPr>
            </w:pPr>
            <w:r>
              <w:rPr>
                <w:b/>
                <w:sz w:val="11"/>
                <w:szCs w:val="11"/>
              </w:rPr>
              <w:t>评价要素</w:t>
            </w:r>
          </w:p>
        </w:tc>
        <w:tc>
          <w:tcPr>
            <w:tcW w:w="759" w:type="dxa"/>
            <w:tcBorders>
              <w:bottom w:val="single" w:color="auto" w:sz="4" w:space="0"/>
            </w:tcBorders>
            <w:vAlign w:val="center"/>
          </w:tcPr>
          <w:p w14:paraId="269CADF2">
            <w:pPr>
              <w:snapToGrid w:val="0"/>
              <w:jc w:val="both"/>
              <w:rPr>
                <w:b/>
                <w:sz w:val="11"/>
                <w:szCs w:val="11"/>
              </w:rPr>
            </w:pPr>
            <w:r>
              <w:rPr>
                <w:b/>
                <w:sz w:val="11"/>
                <w:szCs w:val="11"/>
              </w:rPr>
              <w:t>感知倾向</w:t>
            </w:r>
          </w:p>
        </w:tc>
      </w:tr>
      <w:tr w14:paraId="09BA87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5" w:type="dxa"/>
            <w:left w:w="96" w:type="dxa"/>
            <w:bottom w:w="45" w:type="dxa"/>
            <w:right w:w="96" w:type="dxa"/>
          </w:tblCellMar>
        </w:tblPrEx>
        <w:trPr>
          <w:jc w:val="center"/>
        </w:trPr>
        <w:tc>
          <w:tcPr>
            <w:tcW w:w="0" w:type="auto"/>
            <w:tcBorders>
              <w:top w:val="single" w:color="auto" w:sz="4" w:space="0"/>
            </w:tcBorders>
            <w:vAlign w:val="center"/>
          </w:tcPr>
          <w:p w14:paraId="5F42FF2B">
            <w:pPr>
              <w:snapToGrid w:val="0"/>
              <w:jc w:val="both"/>
              <w:rPr>
                <w:sz w:val="11"/>
                <w:szCs w:val="11"/>
                <w:lang w:eastAsia="zh-CN"/>
              </w:rPr>
            </w:pPr>
            <w:r>
              <w:rPr>
                <w:sz w:val="11"/>
                <w:szCs w:val="11"/>
                <w:lang w:eastAsia="zh-CN"/>
              </w:rPr>
              <w:t>古建筑修缮精美，展现岭南园林特色</w:t>
            </w:r>
          </w:p>
        </w:tc>
        <w:tc>
          <w:tcPr>
            <w:tcW w:w="0" w:type="auto"/>
            <w:tcBorders>
              <w:top w:val="single" w:color="auto" w:sz="4" w:space="0"/>
            </w:tcBorders>
            <w:vAlign w:val="center"/>
          </w:tcPr>
          <w:p w14:paraId="081499DA">
            <w:pPr>
              <w:snapToGrid w:val="0"/>
              <w:jc w:val="both"/>
              <w:rPr>
                <w:sz w:val="11"/>
                <w:szCs w:val="11"/>
              </w:rPr>
            </w:pPr>
            <w:r>
              <w:rPr>
                <w:sz w:val="11"/>
                <w:szCs w:val="11"/>
              </w:rPr>
              <w:t>文化遗产服务</w:t>
            </w:r>
          </w:p>
        </w:tc>
        <w:tc>
          <w:tcPr>
            <w:tcW w:w="759" w:type="dxa"/>
            <w:tcBorders>
              <w:top w:val="single" w:color="auto" w:sz="4" w:space="0"/>
            </w:tcBorders>
            <w:vAlign w:val="center"/>
          </w:tcPr>
          <w:p w14:paraId="4AD68AC0">
            <w:pPr>
              <w:snapToGrid w:val="0"/>
              <w:jc w:val="both"/>
              <w:rPr>
                <w:sz w:val="11"/>
                <w:szCs w:val="11"/>
              </w:rPr>
            </w:pPr>
            <w:r>
              <w:rPr>
                <w:sz w:val="11"/>
                <w:szCs w:val="11"/>
              </w:rPr>
              <w:t>0.997</w:t>
            </w:r>
          </w:p>
        </w:tc>
      </w:tr>
      <w:tr w14:paraId="0F9D0A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5" w:type="dxa"/>
            <w:left w:w="96" w:type="dxa"/>
            <w:bottom w:w="45" w:type="dxa"/>
            <w:right w:w="96" w:type="dxa"/>
          </w:tblCellMar>
        </w:tblPrEx>
        <w:trPr>
          <w:jc w:val="center"/>
        </w:trPr>
        <w:tc>
          <w:tcPr>
            <w:tcW w:w="0" w:type="auto"/>
            <w:vAlign w:val="center"/>
          </w:tcPr>
          <w:p w14:paraId="2667FAB0">
            <w:pPr>
              <w:snapToGrid w:val="0"/>
              <w:jc w:val="both"/>
              <w:rPr>
                <w:sz w:val="11"/>
                <w:szCs w:val="11"/>
                <w:lang w:eastAsia="zh-CN"/>
              </w:rPr>
            </w:pPr>
            <w:r>
              <w:rPr>
                <w:sz w:val="11"/>
                <w:szCs w:val="11"/>
                <w:lang w:eastAsia="zh-CN"/>
              </w:rPr>
              <w:t>但解说标识模糊影响参观体验</w:t>
            </w:r>
          </w:p>
        </w:tc>
        <w:tc>
          <w:tcPr>
            <w:tcW w:w="0" w:type="auto"/>
            <w:vAlign w:val="center"/>
          </w:tcPr>
          <w:p w14:paraId="272EA49B">
            <w:pPr>
              <w:snapToGrid w:val="0"/>
              <w:jc w:val="both"/>
              <w:rPr>
                <w:sz w:val="11"/>
                <w:szCs w:val="11"/>
              </w:rPr>
            </w:pPr>
            <w:r>
              <w:rPr>
                <w:sz w:val="11"/>
                <w:szCs w:val="11"/>
              </w:rPr>
              <w:t>游憩与教育服务</w:t>
            </w:r>
          </w:p>
        </w:tc>
        <w:tc>
          <w:tcPr>
            <w:tcW w:w="759" w:type="dxa"/>
            <w:vAlign w:val="center"/>
          </w:tcPr>
          <w:p w14:paraId="7BE5120D">
            <w:pPr>
              <w:snapToGrid w:val="0"/>
              <w:jc w:val="both"/>
              <w:rPr>
                <w:sz w:val="11"/>
                <w:szCs w:val="11"/>
              </w:rPr>
            </w:pPr>
            <w:r>
              <w:rPr>
                <w:sz w:val="11"/>
                <w:szCs w:val="11"/>
              </w:rPr>
              <w:t>0.192</w:t>
            </w:r>
          </w:p>
        </w:tc>
      </w:tr>
      <w:tr w14:paraId="541102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5" w:type="dxa"/>
            <w:left w:w="96" w:type="dxa"/>
            <w:bottom w:w="45" w:type="dxa"/>
            <w:right w:w="96" w:type="dxa"/>
          </w:tblCellMar>
        </w:tblPrEx>
        <w:trPr>
          <w:jc w:val="center"/>
        </w:trPr>
        <w:tc>
          <w:tcPr>
            <w:tcW w:w="0" w:type="auto"/>
            <w:vAlign w:val="center"/>
          </w:tcPr>
          <w:p w14:paraId="38A94022">
            <w:pPr>
              <w:snapToGrid w:val="0"/>
              <w:jc w:val="both"/>
              <w:rPr>
                <w:sz w:val="11"/>
                <w:szCs w:val="11"/>
                <w:lang w:eastAsia="zh-CN"/>
              </w:rPr>
            </w:pPr>
            <w:r>
              <w:rPr>
                <w:sz w:val="11"/>
                <w:szCs w:val="11"/>
                <w:lang w:eastAsia="zh-CN"/>
              </w:rPr>
              <w:t>湖面面积超大，生态湿地令人陶醉</w:t>
            </w:r>
          </w:p>
        </w:tc>
        <w:tc>
          <w:tcPr>
            <w:tcW w:w="0" w:type="auto"/>
            <w:vAlign w:val="center"/>
          </w:tcPr>
          <w:p w14:paraId="38B8C0A3">
            <w:pPr>
              <w:snapToGrid w:val="0"/>
              <w:jc w:val="both"/>
              <w:rPr>
                <w:sz w:val="11"/>
                <w:szCs w:val="11"/>
                <w:lang w:eastAsia="zh-CN"/>
              </w:rPr>
            </w:pPr>
            <w:commentRangeStart w:id="4"/>
            <w:r>
              <w:rPr>
                <w:highlight w:val="yellow"/>
              </w:rPr>
              <w:t>环境与游憩适宜度服务</w:t>
            </w:r>
            <w:commentRangeEnd w:id="4"/>
            <w:r>
              <w:rPr>
                <w:rStyle w:val="CommentReference"/>
              </w:rPr>
              <w:commentReference w:id="4"/>
            </w:r>
          </w:p>
        </w:tc>
        <w:tc>
          <w:tcPr>
            <w:tcW w:w="759" w:type="dxa"/>
            <w:vAlign w:val="center"/>
          </w:tcPr>
          <w:p w14:paraId="01B47D65">
            <w:pPr>
              <w:snapToGrid w:val="0"/>
              <w:jc w:val="both"/>
              <w:rPr>
                <w:sz w:val="11"/>
                <w:szCs w:val="11"/>
              </w:rPr>
            </w:pPr>
            <w:r>
              <w:rPr>
                <w:sz w:val="11"/>
                <w:szCs w:val="11"/>
              </w:rPr>
              <w:t>0.991</w:t>
            </w:r>
          </w:p>
        </w:tc>
      </w:tr>
      <w:tr w14:paraId="235263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5" w:type="dxa"/>
            <w:left w:w="96" w:type="dxa"/>
            <w:bottom w:w="45" w:type="dxa"/>
            <w:right w:w="96" w:type="dxa"/>
          </w:tblCellMar>
        </w:tblPrEx>
        <w:trPr>
          <w:jc w:val="center"/>
        </w:trPr>
        <w:tc>
          <w:tcPr>
            <w:tcW w:w="0" w:type="auto"/>
            <w:vAlign w:val="center"/>
          </w:tcPr>
          <w:p w14:paraId="781E65A0">
            <w:pPr>
              <w:snapToGrid w:val="0"/>
              <w:jc w:val="both"/>
              <w:rPr>
                <w:sz w:val="11"/>
                <w:szCs w:val="11"/>
                <w:lang w:eastAsia="zh-CN"/>
              </w:rPr>
            </w:pPr>
            <w:r>
              <w:rPr>
                <w:sz w:val="11"/>
                <w:szCs w:val="11"/>
                <w:lang w:eastAsia="zh-CN"/>
              </w:rPr>
              <w:t>步行道维护欠佳存在安全隐患</w:t>
            </w:r>
          </w:p>
        </w:tc>
        <w:tc>
          <w:tcPr>
            <w:tcW w:w="0" w:type="auto"/>
            <w:vAlign w:val="center"/>
          </w:tcPr>
          <w:p w14:paraId="7882EC55">
            <w:pPr>
              <w:snapToGrid w:val="0"/>
              <w:jc w:val="both"/>
              <w:rPr>
                <w:sz w:val="11"/>
                <w:szCs w:val="11"/>
              </w:rPr>
            </w:pPr>
            <w:r>
              <w:rPr>
                <w:sz w:val="11"/>
                <w:szCs w:val="11"/>
              </w:rPr>
              <w:t>可达性与保障服务</w:t>
            </w:r>
          </w:p>
        </w:tc>
        <w:tc>
          <w:tcPr>
            <w:tcW w:w="759" w:type="dxa"/>
            <w:vAlign w:val="center"/>
          </w:tcPr>
          <w:p w14:paraId="42093251">
            <w:pPr>
              <w:snapToGrid w:val="0"/>
              <w:jc w:val="both"/>
              <w:rPr>
                <w:sz w:val="11"/>
                <w:szCs w:val="11"/>
              </w:rPr>
            </w:pPr>
            <w:r>
              <w:rPr>
                <w:sz w:val="11"/>
                <w:szCs w:val="11"/>
              </w:rPr>
              <w:t>0.085</w:t>
            </w:r>
          </w:p>
        </w:tc>
      </w:tr>
      <w:tr w14:paraId="4D99F4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5" w:type="dxa"/>
            <w:left w:w="96" w:type="dxa"/>
            <w:bottom w:w="45" w:type="dxa"/>
            <w:right w:w="96" w:type="dxa"/>
          </w:tblCellMar>
        </w:tblPrEx>
        <w:trPr>
          <w:jc w:val="center"/>
        </w:trPr>
        <w:tc>
          <w:tcPr>
            <w:tcW w:w="0" w:type="auto"/>
            <w:vAlign w:val="center"/>
          </w:tcPr>
          <w:p w14:paraId="1DF8D617">
            <w:pPr>
              <w:snapToGrid w:val="0"/>
              <w:jc w:val="both"/>
              <w:rPr>
                <w:sz w:val="11"/>
                <w:szCs w:val="11"/>
                <w:lang w:eastAsia="zh-CN"/>
              </w:rPr>
            </w:pPr>
            <w:r>
              <w:rPr>
                <w:sz w:val="11"/>
                <w:szCs w:val="11"/>
                <w:lang w:eastAsia="zh-CN"/>
              </w:rPr>
              <w:t>儿童游乐区设备新颖，亲子互动性强</w:t>
            </w:r>
          </w:p>
        </w:tc>
        <w:tc>
          <w:tcPr>
            <w:tcW w:w="0" w:type="auto"/>
            <w:vAlign w:val="center"/>
          </w:tcPr>
          <w:p w14:paraId="5CD30C35">
            <w:pPr>
              <w:snapToGrid w:val="0"/>
              <w:jc w:val="both"/>
              <w:rPr>
                <w:sz w:val="11"/>
                <w:szCs w:val="11"/>
              </w:rPr>
            </w:pPr>
            <w:r>
              <w:rPr>
                <w:sz w:val="11"/>
                <w:szCs w:val="11"/>
              </w:rPr>
              <w:t>游憩与教育服务</w:t>
            </w:r>
          </w:p>
        </w:tc>
        <w:tc>
          <w:tcPr>
            <w:tcW w:w="759" w:type="dxa"/>
            <w:vAlign w:val="center"/>
          </w:tcPr>
          <w:p w14:paraId="543CF8DD">
            <w:pPr>
              <w:snapToGrid w:val="0"/>
              <w:jc w:val="both"/>
              <w:rPr>
                <w:sz w:val="11"/>
                <w:szCs w:val="11"/>
              </w:rPr>
            </w:pPr>
            <w:r>
              <w:rPr>
                <w:sz w:val="11"/>
                <w:szCs w:val="11"/>
              </w:rPr>
              <w:t>0.978</w:t>
            </w:r>
          </w:p>
        </w:tc>
      </w:tr>
      <w:tr w14:paraId="7C0CD4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5" w:type="dxa"/>
            <w:left w:w="96" w:type="dxa"/>
            <w:bottom w:w="45" w:type="dxa"/>
            <w:right w:w="96" w:type="dxa"/>
          </w:tblCellMar>
        </w:tblPrEx>
        <w:trPr>
          <w:jc w:val="center"/>
        </w:trPr>
        <w:tc>
          <w:tcPr>
            <w:tcW w:w="0" w:type="auto"/>
            <w:vAlign w:val="center"/>
          </w:tcPr>
          <w:p w14:paraId="39B66F18">
            <w:pPr>
              <w:snapToGrid w:val="0"/>
              <w:jc w:val="both"/>
              <w:rPr>
                <w:sz w:val="11"/>
                <w:szCs w:val="11"/>
                <w:lang w:eastAsia="zh-CN"/>
              </w:rPr>
            </w:pPr>
            <w:r>
              <w:rPr>
                <w:sz w:val="11"/>
                <w:szCs w:val="11"/>
                <w:lang w:eastAsia="zh-CN"/>
              </w:rPr>
              <w:t>高峰时段卫生间排队超过15分钟</w:t>
            </w:r>
          </w:p>
        </w:tc>
        <w:tc>
          <w:tcPr>
            <w:tcW w:w="0" w:type="auto"/>
            <w:vAlign w:val="center"/>
          </w:tcPr>
          <w:p w14:paraId="48469C2B">
            <w:pPr>
              <w:snapToGrid w:val="0"/>
              <w:jc w:val="both"/>
              <w:rPr>
                <w:sz w:val="11"/>
                <w:szCs w:val="11"/>
              </w:rPr>
            </w:pPr>
            <w:r>
              <w:rPr>
                <w:sz w:val="11"/>
                <w:szCs w:val="11"/>
              </w:rPr>
              <w:t>可达性与保障服务</w:t>
            </w:r>
          </w:p>
        </w:tc>
        <w:tc>
          <w:tcPr>
            <w:tcW w:w="759" w:type="dxa"/>
            <w:vAlign w:val="center"/>
          </w:tcPr>
          <w:p w14:paraId="5E9AE4AD">
            <w:pPr>
              <w:snapToGrid w:val="0"/>
              <w:jc w:val="both"/>
              <w:rPr>
                <w:sz w:val="11"/>
                <w:szCs w:val="11"/>
              </w:rPr>
            </w:pPr>
            <w:r>
              <w:rPr>
                <w:sz w:val="11"/>
                <w:szCs w:val="11"/>
              </w:rPr>
              <w:t>0.102</w:t>
            </w:r>
          </w:p>
        </w:tc>
      </w:tr>
      <w:tr w14:paraId="36EBCB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5" w:type="dxa"/>
            <w:left w:w="96" w:type="dxa"/>
            <w:bottom w:w="45" w:type="dxa"/>
            <w:right w:w="96" w:type="dxa"/>
          </w:tblCellMar>
        </w:tblPrEx>
        <w:trPr>
          <w:jc w:val="center"/>
        </w:trPr>
        <w:tc>
          <w:tcPr>
            <w:tcW w:w="0" w:type="auto"/>
            <w:vAlign w:val="center"/>
          </w:tcPr>
          <w:p w14:paraId="52CCB353">
            <w:pPr>
              <w:snapToGrid w:val="0"/>
              <w:jc w:val="both"/>
              <w:rPr>
                <w:sz w:val="11"/>
                <w:szCs w:val="11"/>
                <w:lang w:eastAsia="zh-CN"/>
              </w:rPr>
            </w:pPr>
            <w:r>
              <w:rPr>
                <w:sz w:val="11"/>
                <w:szCs w:val="11"/>
                <w:lang w:eastAsia="zh-CN"/>
              </w:rPr>
              <w:t>紫花风铃木林，视觉效果震撼</w:t>
            </w:r>
          </w:p>
        </w:tc>
        <w:tc>
          <w:tcPr>
            <w:tcW w:w="0" w:type="auto"/>
            <w:vAlign w:val="center"/>
          </w:tcPr>
          <w:p w14:paraId="4FB8A1AE">
            <w:pPr>
              <w:snapToGrid w:val="0"/>
              <w:jc w:val="both"/>
              <w:rPr>
                <w:sz w:val="11"/>
                <w:szCs w:val="11"/>
              </w:rPr>
            </w:pPr>
            <w:r>
              <w:rPr>
                <w:sz w:val="11"/>
                <w:szCs w:val="11"/>
              </w:rPr>
              <w:t>美学景观服务</w:t>
            </w:r>
          </w:p>
        </w:tc>
        <w:tc>
          <w:tcPr>
            <w:tcW w:w="759" w:type="dxa"/>
            <w:vAlign w:val="center"/>
          </w:tcPr>
          <w:p w14:paraId="6505893B">
            <w:pPr>
              <w:snapToGrid w:val="0"/>
              <w:jc w:val="both"/>
              <w:rPr>
                <w:sz w:val="11"/>
                <w:szCs w:val="11"/>
              </w:rPr>
            </w:pPr>
            <w:r>
              <w:rPr>
                <w:sz w:val="11"/>
                <w:szCs w:val="11"/>
              </w:rPr>
              <w:t>0.994</w:t>
            </w:r>
          </w:p>
        </w:tc>
      </w:tr>
      <w:tr w14:paraId="0A52F3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5" w:type="dxa"/>
            <w:left w:w="96" w:type="dxa"/>
            <w:bottom w:w="45" w:type="dxa"/>
            <w:right w:w="96" w:type="dxa"/>
          </w:tblCellMar>
        </w:tblPrEx>
        <w:trPr>
          <w:jc w:val="center"/>
        </w:trPr>
        <w:tc>
          <w:tcPr>
            <w:tcW w:w="2347" w:type="dxa"/>
            <w:tcBorders>
              <w:bottom w:val="single" w:color="auto" w:sz="4" w:space="0"/>
            </w:tcBorders>
            <w:vAlign w:val="center"/>
          </w:tcPr>
          <w:p w14:paraId="09E711C9">
            <w:pPr>
              <w:snapToGrid w:val="0"/>
              <w:jc w:val="both"/>
              <w:rPr>
                <w:sz w:val="11"/>
                <w:szCs w:val="11"/>
                <w:lang w:eastAsia="zh-CN"/>
              </w:rPr>
            </w:pPr>
            <w:r>
              <w:rPr>
                <w:sz w:val="11"/>
                <w:szCs w:val="11"/>
                <w:lang w:eastAsia="zh-CN"/>
              </w:rPr>
              <w:t>停车场距离入口超过800m不便</w:t>
            </w:r>
          </w:p>
        </w:tc>
        <w:tc>
          <w:tcPr>
            <w:tcW w:w="1686" w:type="dxa"/>
            <w:tcBorders>
              <w:bottom w:val="single" w:color="auto" w:sz="4" w:space="0"/>
            </w:tcBorders>
            <w:vAlign w:val="center"/>
          </w:tcPr>
          <w:p w14:paraId="71254BF8">
            <w:pPr>
              <w:snapToGrid w:val="0"/>
              <w:jc w:val="both"/>
              <w:rPr>
                <w:sz w:val="11"/>
                <w:szCs w:val="11"/>
              </w:rPr>
            </w:pPr>
            <w:r>
              <w:rPr>
                <w:sz w:val="11"/>
                <w:szCs w:val="11"/>
              </w:rPr>
              <w:t>可达性与保障服务</w:t>
            </w:r>
          </w:p>
        </w:tc>
        <w:tc>
          <w:tcPr>
            <w:tcW w:w="759" w:type="dxa"/>
            <w:tcBorders>
              <w:bottom w:val="single" w:color="auto" w:sz="4" w:space="0"/>
            </w:tcBorders>
            <w:vAlign w:val="center"/>
          </w:tcPr>
          <w:p w14:paraId="67FE49C4">
            <w:pPr>
              <w:snapToGrid w:val="0"/>
              <w:jc w:val="both"/>
              <w:rPr>
                <w:sz w:val="11"/>
                <w:szCs w:val="11"/>
              </w:rPr>
            </w:pPr>
            <w:r>
              <w:rPr>
                <w:sz w:val="11"/>
                <w:szCs w:val="11"/>
              </w:rPr>
              <w:t>0.203</w:t>
            </w:r>
          </w:p>
        </w:tc>
      </w:tr>
    </w:tbl>
    <w:p w14:paraId="60218833">
      <w:pPr>
        <w:pStyle w:val="77"/>
        <w:jc w:val="both"/>
        <w:rPr>
          <w:rFonts w:hint="eastAsia" w:ascii="黑体" w:hAnsi="黑体" w:eastAsia="黑体" w:cs="方正兰亭中黑_GBK"/>
          <w:color w:val="000000"/>
          <w:sz w:val="14"/>
          <w:szCs w:val="14"/>
          <w:lang w:val="zh-CN"/>
        </w:rPr>
      </w:pPr>
    </w:p>
    <w:p w14:paraId="779E4EFA">
      <w:pPr>
        <w:widowControl w:val="0"/>
        <w:autoSpaceDE w:val="0"/>
        <w:autoSpaceDN w:val="0"/>
        <w:adjustRightInd w:val="0"/>
        <w:spacing w:line="324" w:lineRule="auto"/>
        <w:jc w:val="both"/>
        <w:textAlignment w:val="center"/>
        <w:rPr>
          <w:rFonts w:hint="eastAsia" w:ascii="黑体" w:hAnsi="黑体" w:eastAsia="黑体" w:cs="方正兰亭准黑_GBK"/>
          <w:color w:val="000000"/>
          <w:sz w:val="17"/>
          <w:szCs w:val="17"/>
          <w:lang w:eastAsia="zh-CN"/>
        </w:rPr>
      </w:pPr>
      <w:r>
        <w:rPr>
          <w:rFonts w:hint="eastAsia" w:ascii="黑体" w:hAnsi="黑体" w:eastAsia="黑体" w:cs="方正兰亭准黑_GBK"/>
          <w:color w:val="000000"/>
          <w:sz w:val="17"/>
          <w:szCs w:val="17"/>
          <w:lang w:eastAsia="zh-CN"/>
        </w:rPr>
        <w:t>1.3.2  基于大模型辅助识别的感知频率提取</w:t>
      </w:r>
    </w:p>
    <w:p w14:paraId="0390CC45">
      <w:pPr>
        <w:pStyle w:val="75"/>
      </w:pPr>
      <w:r>
        <w:t>既有研究表明，大语言模型可用于旅游评论挖掘、主题识别与语义归因</w:t>
      </w:r>
      <w:r>
        <w:fldChar w:fldCharType="begin"/>
      </w:r>
      <w:r>
        <w:instrText xml:space="preserve"> REF _Ref13464 \r \h  \* MERGEFORMAT</w:instrText>
      </w:r>
      <w:r>
        <w:fldChar w:fldCharType="separate"/>
      </w:r>
      <w:r>
        <w:t>[2</w:t>
      </w:r>
      <w:r>
        <w:rPr>
          <w:rFonts w:hint="eastAsia"/>
          <w:lang w:val="en-US" w:eastAsia="zh-CN"/>
        </w:rPr>
        <w:t>5</w:t>
      </w:r>
      <w:r>
        <w:t>-</w:t>
      </w:r>
      <w:r>
        <w:fldChar w:fldCharType="end"/>
      </w:r>
      <w:r>
        <w:fldChar w:fldCharType="begin"/>
      </w:r>
      <w:r>
        <w:instrText xml:space="preserve"> REF _Ref390 \r \h  \* MERGEFORMAT</w:instrText>
      </w:r>
      <w:r>
        <w:fldChar w:fldCharType="separate"/>
      </w:r>
      <w:r>
        <w:t>26]</w:t>
      </w:r>
      <w:r>
        <w:fldChar w:fldCharType="end"/>
      </w:r>
      <w:r>
        <w:t>。考虑到网络评论具有口语化、碎片化及隐喻反讽等特征，本文采用GPT-4.5与DeepSeek-R1辅助识别CES要素。正式识别前，随机抽取500条评论构建人工标注样本，并依据10项CES要素定义形成统一提示词模板。对于两个模型判断一致的结果，直接纳入统计；对于判断不一致或涉及多重语义的评论，由研究者依据CES要素定义进行人工复核和校正，以降低单一模型识别偏差。</w:t>
      </w:r>
    </w:p>
    <w:p w14:paraId="297132BA">
      <w:pPr>
        <w:pStyle w:val="75"/>
      </w:pPr>
      <w:r>
        <w:t>在提示设计上，遵循少样本学习原则</w:t>
      </w:r>
      <w:r>
        <w:fldChar w:fldCharType="begin"/>
      </w:r>
      <w:r>
        <w:instrText xml:space="preserve"> REF _Ref10446 \r \h </w:instrText>
      </w:r>
      <w:r>
        <w:fldChar w:fldCharType="separate"/>
      </w:r>
      <w:r>
        <w:t>[27]</w:t>
      </w:r>
      <w:r>
        <w:fldChar w:fldCharType="end"/>
      </w:r>
      <w:r>
        <w:t>，在任务说明中明确CES分类目标、10项要素定义、代表性示例和输出格式，并对结果进行解析与统计。本文不对模型进行额外训练，分类结果来源于上下文学习与规则约束下的语义判别。</w:t>
      </w:r>
    </w:p>
    <w:p w14:paraId="0B2A9E44">
      <w:pPr>
        <w:widowControl w:val="0"/>
        <w:autoSpaceDE w:val="0"/>
        <w:autoSpaceDN w:val="0"/>
        <w:adjustRightInd w:val="0"/>
        <w:spacing w:line="324" w:lineRule="auto"/>
        <w:jc w:val="both"/>
        <w:textAlignment w:val="center"/>
        <w:rPr>
          <w:rFonts w:hint="eastAsia" w:ascii="黑体" w:hAnsi="黑体" w:eastAsia="黑体" w:cs="方正兰亭纤黑_GBK"/>
          <w:color w:val="000000"/>
          <w:sz w:val="13"/>
          <w:szCs w:val="13"/>
          <w:lang w:eastAsia="zh-CN"/>
        </w:rPr>
      </w:pPr>
      <w:commentRangeStart w:id="14"/>
      <w:r>
        <w:rPr>
          <w:highlight w:val="yellow"/>
        </w:rPr>
        <w:t>表5 指导GPT-4.5与DeepSeek-R1的文化生态系统服务（CES）多标签分类的代表性少样本示例</w:t>
      </w:r>
      <w:commentRangeEnd w:id="14"/>
      <w:r>
        <w:rPr>
          <w:rStyle w:val="CommentReference"/>
        </w:rPr>
        <w:commentReference w:id="14"/>
      </w:r>
    </w:p>
    <w:tbl>
      <w:tblPr>
        <w:tblStyle w:val="17"/>
        <w:tblW w:w="46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5"/>
        <w:gridCol w:w="355"/>
        <w:gridCol w:w="355"/>
        <w:gridCol w:w="402"/>
        <w:gridCol w:w="386"/>
        <w:gridCol w:w="355"/>
        <w:gridCol w:w="417"/>
        <w:gridCol w:w="355"/>
        <w:gridCol w:w="355"/>
        <w:gridCol w:w="355"/>
        <w:gridCol w:w="355"/>
      </w:tblGrid>
      <w:tr w14:paraId="7CAD8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45" w:type="dxa"/>
            <w:tcBorders>
              <w:left w:val="nil"/>
              <w:bottom w:val="single" w:color="auto" w:sz="4" w:space="0"/>
              <w:right w:val="nil"/>
            </w:tcBorders>
            <w:vAlign w:val="center"/>
          </w:tcPr>
          <w:p w14:paraId="5837406F">
            <w:pPr>
              <w:snapToGrid w:val="0"/>
              <w:jc w:val="both"/>
              <w:rPr>
                <w:rFonts w:eastAsiaTheme="minorEastAsia"/>
                <w:kern w:val="2"/>
                <w:sz w:val="11"/>
                <w:szCs w:val="11"/>
              </w:rPr>
            </w:pPr>
            <w:r>
              <w:rPr>
                <w:rFonts w:eastAsiaTheme="minorEastAsia"/>
                <w:kern w:val="2"/>
                <w:sz w:val="11"/>
                <w:szCs w:val="11"/>
              </w:rPr>
              <w:t>评论（节选）</w:t>
            </w:r>
          </w:p>
        </w:tc>
        <w:tc>
          <w:tcPr>
            <w:tcW w:w="355" w:type="dxa"/>
            <w:tcBorders>
              <w:left w:val="nil"/>
              <w:bottom w:val="single" w:color="auto" w:sz="4" w:space="0"/>
              <w:right w:val="nil"/>
            </w:tcBorders>
            <w:vAlign w:val="center"/>
          </w:tcPr>
          <w:p w14:paraId="6D4FC5C7">
            <w:pPr>
              <w:snapToGrid w:val="0"/>
              <w:jc w:val="both"/>
              <w:rPr>
                <w:rFonts w:eastAsiaTheme="minorEastAsia"/>
                <w:kern w:val="2"/>
                <w:sz w:val="11"/>
                <w:szCs w:val="11"/>
              </w:rPr>
            </w:pPr>
            <w:r>
              <w:rPr>
                <w:rFonts w:eastAsiaTheme="minorEastAsia"/>
                <w:kern w:val="2"/>
                <w:sz w:val="11"/>
                <w:szCs w:val="11"/>
              </w:rPr>
              <w:t>美学景观服务</w:t>
            </w:r>
          </w:p>
        </w:tc>
        <w:tc>
          <w:tcPr>
            <w:tcW w:w="355" w:type="dxa"/>
            <w:tcBorders>
              <w:left w:val="nil"/>
              <w:bottom w:val="single" w:color="auto" w:sz="4" w:space="0"/>
              <w:right w:val="nil"/>
            </w:tcBorders>
            <w:vAlign w:val="center"/>
          </w:tcPr>
          <w:p w14:paraId="722BC431">
            <w:pPr>
              <w:snapToGrid w:val="0"/>
              <w:jc w:val="both"/>
              <w:rPr>
                <w:rFonts w:eastAsiaTheme="minorEastAsia"/>
                <w:kern w:val="2"/>
                <w:sz w:val="11"/>
                <w:szCs w:val="11"/>
              </w:rPr>
            </w:pPr>
            <w:r>
              <w:rPr>
                <w:rFonts w:eastAsiaTheme="minorEastAsia"/>
                <w:kern w:val="2"/>
                <w:sz w:val="11"/>
                <w:szCs w:val="11"/>
              </w:rPr>
              <w:t>文化遗产服务</w:t>
            </w:r>
          </w:p>
        </w:tc>
        <w:tc>
          <w:tcPr>
            <w:tcW w:w="402" w:type="dxa"/>
            <w:tcBorders>
              <w:left w:val="nil"/>
              <w:bottom w:val="single" w:color="auto" w:sz="4" w:space="0"/>
              <w:right w:val="nil"/>
            </w:tcBorders>
            <w:vAlign w:val="center"/>
          </w:tcPr>
          <w:p w14:paraId="089C6402">
            <w:pPr>
              <w:snapToGrid w:val="0"/>
              <w:jc w:val="both"/>
              <w:rPr>
                <w:rFonts w:eastAsiaTheme="minorEastAsia"/>
                <w:kern w:val="2"/>
                <w:sz w:val="11"/>
                <w:szCs w:val="11"/>
              </w:rPr>
            </w:pPr>
            <w:r>
              <w:rPr>
                <w:rFonts w:eastAsiaTheme="minorEastAsia"/>
                <w:kern w:val="2"/>
                <w:sz w:val="11"/>
                <w:szCs w:val="11"/>
              </w:rPr>
              <w:t>精神福祉与社交服务</w:t>
            </w:r>
          </w:p>
        </w:tc>
        <w:tc>
          <w:tcPr>
            <w:tcW w:w="386" w:type="dxa"/>
            <w:tcBorders>
              <w:left w:val="nil"/>
              <w:bottom w:val="single" w:color="auto" w:sz="4" w:space="0"/>
              <w:right w:val="nil"/>
            </w:tcBorders>
            <w:vAlign w:val="center"/>
          </w:tcPr>
          <w:p w14:paraId="5455DD94">
            <w:pPr>
              <w:snapToGrid w:val="0"/>
              <w:jc w:val="both"/>
              <w:rPr>
                <w:rFonts w:eastAsiaTheme="minorEastAsia"/>
                <w:kern w:val="2"/>
                <w:sz w:val="11"/>
                <w:szCs w:val="11"/>
              </w:rPr>
            </w:pPr>
            <w:r>
              <w:rPr>
                <w:rFonts w:eastAsiaTheme="minorEastAsia"/>
                <w:kern w:val="2"/>
                <w:sz w:val="11"/>
                <w:szCs w:val="11"/>
              </w:rPr>
              <w:t>可达性与保障服务</w:t>
            </w:r>
          </w:p>
        </w:tc>
        <w:tc>
          <w:tcPr>
            <w:tcW w:w="355" w:type="dxa"/>
            <w:tcBorders>
              <w:left w:val="nil"/>
              <w:bottom w:val="single" w:color="auto" w:sz="4" w:space="0"/>
              <w:right w:val="nil"/>
            </w:tcBorders>
            <w:vAlign w:val="center"/>
          </w:tcPr>
          <w:p w14:paraId="55868F33">
            <w:pPr>
              <w:snapToGrid w:val="0"/>
              <w:jc w:val="both"/>
              <w:rPr>
                <w:rFonts w:eastAsiaTheme="minorEastAsia"/>
                <w:kern w:val="2"/>
                <w:sz w:val="11"/>
                <w:szCs w:val="11"/>
              </w:rPr>
            </w:pPr>
            <w:r>
              <w:rPr>
                <w:rFonts w:eastAsiaTheme="minorEastAsia"/>
                <w:kern w:val="2"/>
                <w:sz w:val="11"/>
                <w:szCs w:val="11"/>
              </w:rPr>
              <w:t>教育体验服务</w:t>
            </w:r>
          </w:p>
        </w:tc>
        <w:tc>
          <w:tcPr>
            <w:tcW w:w="417" w:type="dxa"/>
            <w:tcBorders>
              <w:left w:val="nil"/>
              <w:bottom w:val="single" w:color="auto" w:sz="4" w:space="0"/>
              <w:right w:val="nil"/>
            </w:tcBorders>
            <w:vAlign w:val="center"/>
          </w:tcPr>
          <w:p w14:paraId="695925A7">
            <w:pPr>
              <w:snapToGrid w:val="0"/>
              <w:jc w:val="both"/>
              <w:rPr>
                <w:rFonts w:eastAsiaTheme="minorEastAsia"/>
                <w:kern w:val="2"/>
                <w:sz w:val="11"/>
                <w:szCs w:val="11"/>
                <w:lang w:eastAsia="zh-CN"/>
              </w:rPr>
            </w:pPr>
            <w:r>
              <w:rPr>
                <w:rFonts w:eastAsiaTheme="minorEastAsia"/>
                <w:kern w:val="2"/>
                <w:sz w:val="11"/>
                <w:szCs w:val="11"/>
                <w:lang w:eastAsia="zh-CN"/>
              </w:rPr>
              <w:t>环境与游憩适宜度服务</w:t>
            </w:r>
          </w:p>
        </w:tc>
        <w:tc>
          <w:tcPr>
            <w:tcW w:w="355" w:type="dxa"/>
            <w:tcBorders>
              <w:left w:val="nil"/>
              <w:bottom w:val="single" w:color="auto" w:sz="4" w:space="0"/>
              <w:right w:val="nil"/>
            </w:tcBorders>
            <w:vAlign w:val="center"/>
          </w:tcPr>
          <w:p w14:paraId="53F6A142">
            <w:pPr>
              <w:snapToGrid w:val="0"/>
              <w:jc w:val="both"/>
              <w:rPr>
                <w:rFonts w:eastAsiaTheme="minorEastAsia"/>
                <w:kern w:val="2"/>
                <w:sz w:val="11"/>
                <w:szCs w:val="11"/>
              </w:rPr>
            </w:pPr>
            <w:r>
              <w:rPr>
                <w:rFonts w:eastAsiaTheme="minorEastAsia"/>
                <w:kern w:val="2"/>
                <w:sz w:val="11"/>
                <w:szCs w:val="11"/>
              </w:rPr>
              <w:t>沉浸体验服务</w:t>
            </w:r>
          </w:p>
        </w:tc>
        <w:tc>
          <w:tcPr>
            <w:tcW w:w="355" w:type="dxa"/>
            <w:tcBorders>
              <w:left w:val="nil"/>
              <w:bottom w:val="single" w:color="auto" w:sz="4" w:space="0"/>
              <w:right w:val="nil"/>
            </w:tcBorders>
            <w:vAlign w:val="center"/>
          </w:tcPr>
          <w:p w14:paraId="49F83E24">
            <w:pPr>
              <w:snapToGrid w:val="0"/>
              <w:jc w:val="both"/>
              <w:rPr>
                <w:rFonts w:eastAsiaTheme="minorEastAsia"/>
                <w:kern w:val="2"/>
                <w:sz w:val="11"/>
                <w:szCs w:val="11"/>
              </w:rPr>
            </w:pPr>
            <w:r>
              <w:rPr>
                <w:rFonts w:eastAsiaTheme="minorEastAsia"/>
                <w:kern w:val="2"/>
                <w:sz w:val="11"/>
                <w:szCs w:val="11"/>
              </w:rPr>
              <w:t>生态健康指标</w:t>
            </w:r>
          </w:p>
        </w:tc>
        <w:tc>
          <w:tcPr>
            <w:tcW w:w="355" w:type="dxa"/>
            <w:tcBorders>
              <w:left w:val="nil"/>
              <w:bottom w:val="single" w:color="auto" w:sz="4" w:space="0"/>
              <w:right w:val="nil"/>
            </w:tcBorders>
            <w:vAlign w:val="center"/>
          </w:tcPr>
          <w:p w14:paraId="0A793A8E">
            <w:pPr>
              <w:snapToGrid w:val="0"/>
              <w:jc w:val="both"/>
              <w:rPr>
                <w:rFonts w:eastAsiaTheme="minorEastAsia"/>
                <w:kern w:val="2"/>
                <w:sz w:val="11"/>
                <w:szCs w:val="11"/>
                <w:lang w:eastAsia="zh-CN"/>
              </w:rPr>
            </w:pPr>
            <w:r>
              <w:rPr>
                <w:rFonts w:hint="eastAsia" w:eastAsiaTheme="minorEastAsia"/>
                <w:kern w:val="2"/>
                <w:sz w:val="11"/>
                <w:szCs w:val="11"/>
                <w:lang w:eastAsia="zh-CN"/>
              </w:rPr>
              <w:t>空间开敞与通行服务</w:t>
            </w:r>
          </w:p>
        </w:tc>
        <w:tc>
          <w:tcPr>
            <w:tcW w:w="355" w:type="dxa"/>
            <w:tcBorders>
              <w:left w:val="nil"/>
              <w:bottom w:val="single" w:color="auto" w:sz="4" w:space="0"/>
              <w:right w:val="nil"/>
            </w:tcBorders>
            <w:vAlign w:val="center"/>
          </w:tcPr>
          <w:p w14:paraId="6AE3A228">
            <w:pPr>
              <w:snapToGrid w:val="0"/>
              <w:jc w:val="both"/>
              <w:rPr>
                <w:rFonts w:eastAsiaTheme="minorEastAsia"/>
                <w:kern w:val="2"/>
                <w:sz w:val="11"/>
                <w:szCs w:val="11"/>
              </w:rPr>
            </w:pPr>
            <w:r>
              <w:rPr>
                <w:rFonts w:eastAsiaTheme="minorEastAsia"/>
                <w:kern w:val="2"/>
                <w:sz w:val="11"/>
                <w:szCs w:val="11"/>
              </w:rPr>
              <w:t>体验地形服务</w:t>
            </w:r>
          </w:p>
        </w:tc>
      </w:tr>
      <w:tr w14:paraId="4E1EB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 w:type="dxa"/>
            <w:tcBorders>
              <w:top w:val="single" w:color="auto" w:sz="4" w:space="0"/>
              <w:left w:val="nil"/>
              <w:bottom w:val="nil"/>
              <w:right w:val="nil"/>
            </w:tcBorders>
            <w:vAlign w:val="center"/>
          </w:tcPr>
          <w:p w14:paraId="0E9485B0">
            <w:pPr>
              <w:snapToGrid w:val="0"/>
              <w:jc w:val="both"/>
              <w:rPr>
                <w:rFonts w:eastAsiaTheme="minorEastAsia"/>
                <w:kern w:val="2"/>
                <w:sz w:val="11"/>
                <w:szCs w:val="11"/>
                <w:lang w:eastAsia="zh-CN"/>
              </w:rPr>
            </w:pPr>
            <w:r>
              <w:rPr>
                <w:rFonts w:eastAsiaTheme="minorEastAsia"/>
                <w:kern w:val="2"/>
                <w:sz w:val="11"/>
                <w:szCs w:val="11"/>
                <w:lang w:eastAsia="zh-CN"/>
              </w:rPr>
              <w:t>（1）非常好，很适合朋友周末露营野餐的一个地方</w:t>
            </w:r>
          </w:p>
        </w:tc>
        <w:tc>
          <w:tcPr>
            <w:tcW w:w="355" w:type="dxa"/>
            <w:tcBorders>
              <w:top w:val="single" w:color="auto" w:sz="4" w:space="0"/>
              <w:left w:val="nil"/>
              <w:bottom w:val="nil"/>
              <w:right w:val="nil"/>
            </w:tcBorders>
            <w:vAlign w:val="center"/>
          </w:tcPr>
          <w:p w14:paraId="2B44F510">
            <w:pPr>
              <w:snapToGrid w:val="0"/>
              <w:jc w:val="both"/>
              <w:rPr>
                <w:rFonts w:eastAsiaTheme="minorEastAsia"/>
                <w:kern w:val="2"/>
                <w:sz w:val="11"/>
                <w:szCs w:val="11"/>
              </w:rPr>
            </w:pPr>
            <w:r>
              <w:rPr>
                <w:rFonts w:eastAsiaTheme="minorEastAsia"/>
                <w:kern w:val="2"/>
                <w:sz w:val="11"/>
                <w:szCs w:val="11"/>
              </w:rPr>
              <w:t>0</w:t>
            </w:r>
          </w:p>
        </w:tc>
        <w:tc>
          <w:tcPr>
            <w:tcW w:w="355" w:type="dxa"/>
            <w:tcBorders>
              <w:top w:val="single" w:color="auto" w:sz="4" w:space="0"/>
              <w:left w:val="nil"/>
              <w:bottom w:val="nil"/>
              <w:right w:val="nil"/>
            </w:tcBorders>
            <w:vAlign w:val="center"/>
          </w:tcPr>
          <w:p w14:paraId="2FDCCD3C">
            <w:pPr>
              <w:snapToGrid w:val="0"/>
              <w:jc w:val="both"/>
              <w:rPr>
                <w:rFonts w:eastAsiaTheme="minorEastAsia"/>
                <w:kern w:val="2"/>
                <w:sz w:val="11"/>
                <w:szCs w:val="11"/>
              </w:rPr>
            </w:pPr>
            <w:r>
              <w:rPr>
                <w:rFonts w:eastAsiaTheme="minorEastAsia"/>
                <w:kern w:val="2"/>
                <w:sz w:val="11"/>
                <w:szCs w:val="11"/>
              </w:rPr>
              <w:t>0</w:t>
            </w:r>
          </w:p>
        </w:tc>
        <w:tc>
          <w:tcPr>
            <w:tcW w:w="402" w:type="dxa"/>
            <w:tcBorders>
              <w:top w:val="single" w:color="auto" w:sz="4" w:space="0"/>
              <w:left w:val="nil"/>
              <w:bottom w:val="nil"/>
              <w:right w:val="nil"/>
            </w:tcBorders>
            <w:vAlign w:val="center"/>
          </w:tcPr>
          <w:p w14:paraId="0C2EC516">
            <w:pPr>
              <w:snapToGrid w:val="0"/>
              <w:jc w:val="both"/>
              <w:rPr>
                <w:rFonts w:eastAsiaTheme="minorEastAsia"/>
                <w:kern w:val="2"/>
                <w:sz w:val="11"/>
                <w:szCs w:val="11"/>
              </w:rPr>
            </w:pPr>
            <w:r>
              <w:rPr>
                <w:rFonts w:eastAsiaTheme="minorEastAsia"/>
                <w:kern w:val="2"/>
                <w:sz w:val="11"/>
                <w:szCs w:val="11"/>
              </w:rPr>
              <w:t>1</w:t>
            </w:r>
          </w:p>
        </w:tc>
        <w:tc>
          <w:tcPr>
            <w:tcW w:w="386" w:type="dxa"/>
            <w:tcBorders>
              <w:top w:val="single" w:color="auto" w:sz="4" w:space="0"/>
              <w:left w:val="nil"/>
              <w:bottom w:val="nil"/>
              <w:right w:val="nil"/>
            </w:tcBorders>
            <w:vAlign w:val="center"/>
          </w:tcPr>
          <w:p w14:paraId="716DAE78">
            <w:pPr>
              <w:snapToGrid w:val="0"/>
              <w:jc w:val="both"/>
              <w:rPr>
                <w:rFonts w:eastAsiaTheme="minorEastAsia"/>
                <w:kern w:val="2"/>
                <w:sz w:val="11"/>
                <w:szCs w:val="11"/>
              </w:rPr>
            </w:pPr>
            <w:r>
              <w:rPr>
                <w:rFonts w:eastAsiaTheme="minorEastAsia"/>
                <w:kern w:val="2"/>
                <w:sz w:val="11"/>
                <w:szCs w:val="11"/>
              </w:rPr>
              <w:t>0</w:t>
            </w:r>
          </w:p>
        </w:tc>
        <w:tc>
          <w:tcPr>
            <w:tcW w:w="355" w:type="dxa"/>
            <w:tcBorders>
              <w:top w:val="single" w:color="auto" w:sz="4" w:space="0"/>
              <w:left w:val="nil"/>
              <w:bottom w:val="nil"/>
              <w:right w:val="nil"/>
            </w:tcBorders>
            <w:vAlign w:val="center"/>
          </w:tcPr>
          <w:p w14:paraId="06E7D767">
            <w:pPr>
              <w:snapToGrid w:val="0"/>
              <w:jc w:val="both"/>
              <w:rPr>
                <w:rFonts w:eastAsiaTheme="minorEastAsia"/>
                <w:kern w:val="2"/>
                <w:sz w:val="11"/>
                <w:szCs w:val="11"/>
              </w:rPr>
            </w:pPr>
            <w:r>
              <w:rPr>
                <w:rFonts w:eastAsiaTheme="minorEastAsia"/>
                <w:kern w:val="2"/>
                <w:sz w:val="11"/>
                <w:szCs w:val="11"/>
              </w:rPr>
              <w:t>0</w:t>
            </w:r>
          </w:p>
        </w:tc>
        <w:tc>
          <w:tcPr>
            <w:tcW w:w="417" w:type="dxa"/>
            <w:tcBorders>
              <w:top w:val="single" w:color="auto" w:sz="4" w:space="0"/>
              <w:left w:val="nil"/>
              <w:bottom w:val="nil"/>
              <w:right w:val="nil"/>
            </w:tcBorders>
            <w:vAlign w:val="center"/>
          </w:tcPr>
          <w:p w14:paraId="4B63FE7F">
            <w:pPr>
              <w:snapToGrid w:val="0"/>
              <w:jc w:val="both"/>
              <w:rPr>
                <w:rFonts w:eastAsiaTheme="minorEastAsia"/>
                <w:kern w:val="2"/>
                <w:sz w:val="11"/>
                <w:szCs w:val="11"/>
              </w:rPr>
            </w:pPr>
            <w:r>
              <w:rPr>
                <w:rFonts w:eastAsiaTheme="minorEastAsia"/>
                <w:kern w:val="2"/>
                <w:sz w:val="11"/>
                <w:szCs w:val="11"/>
              </w:rPr>
              <w:t>1</w:t>
            </w:r>
          </w:p>
        </w:tc>
        <w:tc>
          <w:tcPr>
            <w:tcW w:w="355" w:type="dxa"/>
            <w:tcBorders>
              <w:top w:val="single" w:color="auto" w:sz="4" w:space="0"/>
              <w:left w:val="nil"/>
              <w:bottom w:val="nil"/>
              <w:right w:val="nil"/>
            </w:tcBorders>
            <w:vAlign w:val="center"/>
          </w:tcPr>
          <w:p w14:paraId="527FABFB">
            <w:pPr>
              <w:snapToGrid w:val="0"/>
              <w:jc w:val="both"/>
              <w:rPr>
                <w:rFonts w:eastAsiaTheme="minorEastAsia"/>
                <w:kern w:val="2"/>
                <w:sz w:val="11"/>
                <w:szCs w:val="11"/>
              </w:rPr>
            </w:pPr>
            <w:r>
              <w:rPr>
                <w:rFonts w:eastAsiaTheme="minorEastAsia"/>
                <w:kern w:val="2"/>
                <w:sz w:val="11"/>
                <w:szCs w:val="11"/>
              </w:rPr>
              <w:t>0</w:t>
            </w:r>
          </w:p>
        </w:tc>
        <w:tc>
          <w:tcPr>
            <w:tcW w:w="355" w:type="dxa"/>
            <w:tcBorders>
              <w:top w:val="single" w:color="auto" w:sz="4" w:space="0"/>
              <w:left w:val="nil"/>
              <w:bottom w:val="nil"/>
              <w:right w:val="nil"/>
            </w:tcBorders>
            <w:vAlign w:val="center"/>
          </w:tcPr>
          <w:p w14:paraId="154E8A15">
            <w:pPr>
              <w:snapToGrid w:val="0"/>
              <w:jc w:val="both"/>
              <w:rPr>
                <w:rFonts w:eastAsiaTheme="minorEastAsia"/>
                <w:kern w:val="2"/>
                <w:sz w:val="11"/>
                <w:szCs w:val="11"/>
              </w:rPr>
            </w:pPr>
            <w:r>
              <w:rPr>
                <w:rFonts w:eastAsiaTheme="minorEastAsia"/>
                <w:kern w:val="2"/>
                <w:sz w:val="11"/>
                <w:szCs w:val="11"/>
              </w:rPr>
              <w:t>0</w:t>
            </w:r>
          </w:p>
        </w:tc>
        <w:tc>
          <w:tcPr>
            <w:tcW w:w="355" w:type="dxa"/>
            <w:tcBorders>
              <w:top w:val="single" w:color="auto" w:sz="4" w:space="0"/>
              <w:left w:val="nil"/>
              <w:bottom w:val="nil"/>
              <w:right w:val="nil"/>
            </w:tcBorders>
            <w:vAlign w:val="center"/>
          </w:tcPr>
          <w:p w14:paraId="236D2D0A">
            <w:pPr>
              <w:snapToGrid w:val="0"/>
              <w:jc w:val="both"/>
              <w:rPr>
                <w:rFonts w:eastAsiaTheme="minorEastAsia"/>
                <w:kern w:val="2"/>
                <w:sz w:val="11"/>
                <w:szCs w:val="11"/>
              </w:rPr>
            </w:pPr>
            <w:r>
              <w:rPr>
                <w:rFonts w:eastAsiaTheme="minorEastAsia"/>
                <w:kern w:val="2"/>
                <w:sz w:val="11"/>
                <w:szCs w:val="11"/>
              </w:rPr>
              <w:t>0</w:t>
            </w:r>
          </w:p>
        </w:tc>
        <w:tc>
          <w:tcPr>
            <w:tcW w:w="355" w:type="dxa"/>
            <w:tcBorders>
              <w:top w:val="single" w:color="auto" w:sz="4" w:space="0"/>
              <w:left w:val="nil"/>
              <w:bottom w:val="nil"/>
              <w:right w:val="nil"/>
            </w:tcBorders>
            <w:vAlign w:val="center"/>
          </w:tcPr>
          <w:p w14:paraId="13B1A427">
            <w:pPr>
              <w:snapToGrid w:val="0"/>
              <w:jc w:val="both"/>
              <w:rPr>
                <w:rFonts w:eastAsiaTheme="minorEastAsia"/>
                <w:kern w:val="2"/>
                <w:sz w:val="11"/>
                <w:szCs w:val="11"/>
              </w:rPr>
            </w:pPr>
            <w:r>
              <w:rPr>
                <w:rFonts w:eastAsiaTheme="minorEastAsia"/>
                <w:kern w:val="2"/>
                <w:sz w:val="11"/>
                <w:szCs w:val="11"/>
              </w:rPr>
              <w:t>0</w:t>
            </w:r>
          </w:p>
        </w:tc>
      </w:tr>
      <w:tr w14:paraId="00AE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 w:type="dxa"/>
            <w:tcBorders>
              <w:top w:val="nil"/>
              <w:left w:val="nil"/>
              <w:bottom w:val="nil"/>
              <w:right w:val="nil"/>
            </w:tcBorders>
            <w:vAlign w:val="center"/>
          </w:tcPr>
          <w:p w14:paraId="0476CF39">
            <w:pPr>
              <w:snapToGrid w:val="0"/>
              <w:jc w:val="both"/>
              <w:rPr>
                <w:rFonts w:eastAsiaTheme="minorEastAsia"/>
                <w:kern w:val="2"/>
                <w:sz w:val="11"/>
                <w:szCs w:val="11"/>
                <w:lang w:eastAsia="zh-CN"/>
              </w:rPr>
            </w:pPr>
            <w:r>
              <w:rPr>
                <w:rFonts w:eastAsiaTheme="minorEastAsia"/>
                <w:kern w:val="2"/>
                <w:sz w:val="11"/>
                <w:szCs w:val="11"/>
                <w:lang w:eastAsia="zh-CN"/>
              </w:rPr>
              <w:t>（2）一起相约一场美丽的落日…海边散步跑步…鸟儿…下午4:30–6:00…公园内方便停车…可搭帐篷野餐</w:t>
            </w:r>
          </w:p>
        </w:tc>
        <w:tc>
          <w:tcPr>
            <w:tcW w:w="355" w:type="dxa"/>
            <w:tcBorders>
              <w:top w:val="nil"/>
              <w:left w:val="nil"/>
              <w:bottom w:val="nil"/>
              <w:right w:val="nil"/>
            </w:tcBorders>
            <w:vAlign w:val="center"/>
          </w:tcPr>
          <w:p w14:paraId="11E77D08">
            <w:pPr>
              <w:snapToGrid w:val="0"/>
              <w:jc w:val="both"/>
              <w:rPr>
                <w:rFonts w:eastAsiaTheme="minorEastAsia"/>
                <w:kern w:val="2"/>
                <w:sz w:val="11"/>
                <w:szCs w:val="11"/>
              </w:rPr>
            </w:pPr>
            <w:r>
              <w:rPr>
                <w:rFonts w:eastAsiaTheme="minorEastAsia"/>
                <w:kern w:val="2"/>
                <w:sz w:val="11"/>
                <w:szCs w:val="11"/>
              </w:rPr>
              <w:t>1</w:t>
            </w:r>
          </w:p>
        </w:tc>
        <w:tc>
          <w:tcPr>
            <w:tcW w:w="355" w:type="dxa"/>
            <w:tcBorders>
              <w:top w:val="nil"/>
              <w:left w:val="nil"/>
              <w:bottom w:val="nil"/>
              <w:right w:val="nil"/>
            </w:tcBorders>
            <w:vAlign w:val="center"/>
          </w:tcPr>
          <w:p w14:paraId="0315A3E6">
            <w:pPr>
              <w:snapToGrid w:val="0"/>
              <w:jc w:val="both"/>
              <w:rPr>
                <w:rFonts w:eastAsiaTheme="minorEastAsia"/>
                <w:kern w:val="2"/>
                <w:sz w:val="11"/>
                <w:szCs w:val="11"/>
              </w:rPr>
            </w:pPr>
            <w:r>
              <w:rPr>
                <w:rFonts w:eastAsiaTheme="minorEastAsia"/>
                <w:kern w:val="2"/>
                <w:sz w:val="11"/>
                <w:szCs w:val="11"/>
              </w:rPr>
              <w:t>0</w:t>
            </w:r>
          </w:p>
        </w:tc>
        <w:tc>
          <w:tcPr>
            <w:tcW w:w="402" w:type="dxa"/>
            <w:tcBorders>
              <w:top w:val="nil"/>
              <w:left w:val="nil"/>
              <w:bottom w:val="nil"/>
              <w:right w:val="nil"/>
            </w:tcBorders>
            <w:vAlign w:val="center"/>
          </w:tcPr>
          <w:p w14:paraId="699DD6B2">
            <w:pPr>
              <w:snapToGrid w:val="0"/>
              <w:jc w:val="both"/>
              <w:rPr>
                <w:rFonts w:eastAsiaTheme="minorEastAsia"/>
                <w:kern w:val="2"/>
                <w:sz w:val="11"/>
                <w:szCs w:val="11"/>
              </w:rPr>
            </w:pPr>
            <w:r>
              <w:rPr>
                <w:rFonts w:eastAsiaTheme="minorEastAsia"/>
                <w:kern w:val="2"/>
                <w:sz w:val="11"/>
                <w:szCs w:val="11"/>
              </w:rPr>
              <w:t>0</w:t>
            </w:r>
          </w:p>
        </w:tc>
        <w:tc>
          <w:tcPr>
            <w:tcW w:w="386" w:type="dxa"/>
            <w:tcBorders>
              <w:top w:val="nil"/>
              <w:left w:val="nil"/>
              <w:bottom w:val="nil"/>
              <w:right w:val="nil"/>
            </w:tcBorders>
            <w:vAlign w:val="center"/>
          </w:tcPr>
          <w:p w14:paraId="44C0AAFA">
            <w:pPr>
              <w:snapToGrid w:val="0"/>
              <w:jc w:val="both"/>
              <w:rPr>
                <w:rFonts w:eastAsiaTheme="minorEastAsia"/>
                <w:kern w:val="2"/>
                <w:sz w:val="11"/>
                <w:szCs w:val="11"/>
              </w:rPr>
            </w:pPr>
            <w:r>
              <w:rPr>
                <w:rFonts w:eastAsiaTheme="minorEastAsia"/>
                <w:kern w:val="2"/>
                <w:sz w:val="11"/>
                <w:szCs w:val="11"/>
              </w:rPr>
              <w:t>1</w:t>
            </w:r>
          </w:p>
        </w:tc>
        <w:tc>
          <w:tcPr>
            <w:tcW w:w="355" w:type="dxa"/>
            <w:tcBorders>
              <w:top w:val="nil"/>
              <w:left w:val="nil"/>
              <w:bottom w:val="nil"/>
              <w:right w:val="nil"/>
            </w:tcBorders>
            <w:vAlign w:val="center"/>
          </w:tcPr>
          <w:p w14:paraId="6B32E325">
            <w:pPr>
              <w:snapToGrid w:val="0"/>
              <w:jc w:val="both"/>
              <w:rPr>
                <w:rFonts w:eastAsiaTheme="minorEastAsia"/>
                <w:kern w:val="2"/>
                <w:sz w:val="11"/>
                <w:szCs w:val="11"/>
              </w:rPr>
            </w:pPr>
            <w:r>
              <w:rPr>
                <w:rFonts w:eastAsiaTheme="minorEastAsia"/>
                <w:kern w:val="2"/>
                <w:sz w:val="11"/>
                <w:szCs w:val="11"/>
              </w:rPr>
              <w:t>0</w:t>
            </w:r>
          </w:p>
        </w:tc>
        <w:tc>
          <w:tcPr>
            <w:tcW w:w="417" w:type="dxa"/>
            <w:tcBorders>
              <w:top w:val="nil"/>
              <w:left w:val="nil"/>
              <w:bottom w:val="nil"/>
              <w:right w:val="nil"/>
            </w:tcBorders>
            <w:vAlign w:val="center"/>
          </w:tcPr>
          <w:p w14:paraId="2C60F3EC">
            <w:pPr>
              <w:snapToGrid w:val="0"/>
              <w:jc w:val="both"/>
              <w:rPr>
                <w:rFonts w:eastAsiaTheme="minorEastAsia"/>
                <w:kern w:val="2"/>
                <w:sz w:val="11"/>
                <w:szCs w:val="11"/>
              </w:rPr>
            </w:pPr>
            <w:r>
              <w:rPr>
                <w:rFonts w:eastAsiaTheme="minorEastAsia"/>
                <w:kern w:val="2"/>
                <w:sz w:val="11"/>
                <w:szCs w:val="11"/>
              </w:rPr>
              <w:t>1</w:t>
            </w:r>
          </w:p>
        </w:tc>
        <w:tc>
          <w:tcPr>
            <w:tcW w:w="355" w:type="dxa"/>
            <w:tcBorders>
              <w:top w:val="nil"/>
              <w:left w:val="nil"/>
              <w:bottom w:val="nil"/>
              <w:right w:val="nil"/>
            </w:tcBorders>
            <w:vAlign w:val="center"/>
          </w:tcPr>
          <w:p w14:paraId="2BF3A154">
            <w:pPr>
              <w:snapToGrid w:val="0"/>
              <w:jc w:val="both"/>
              <w:rPr>
                <w:rFonts w:eastAsiaTheme="minorEastAsia"/>
                <w:kern w:val="2"/>
                <w:sz w:val="11"/>
                <w:szCs w:val="11"/>
              </w:rPr>
            </w:pPr>
            <w:r>
              <w:rPr>
                <w:rFonts w:eastAsiaTheme="minorEastAsia"/>
                <w:kern w:val="2"/>
                <w:sz w:val="11"/>
                <w:szCs w:val="11"/>
              </w:rPr>
              <w:t>1</w:t>
            </w:r>
          </w:p>
        </w:tc>
        <w:tc>
          <w:tcPr>
            <w:tcW w:w="355" w:type="dxa"/>
            <w:tcBorders>
              <w:top w:val="nil"/>
              <w:left w:val="nil"/>
              <w:bottom w:val="nil"/>
              <w:right w:val="nil"/>
            </w:tcBorders>
            <w:vAlign w:val="center"/>
          </w:tcPr>
          <w:p w14:paraId="0ACCAA8C">
            <w:pPr>
              <w:snapToGrid w:val="0"/>
              <w:jc w:val="both"/>
              <w:rPr>
                <w:rFonts w:eastAsiaTheme="minorEastAsia"/>
                <w:kern w:val="2"/>
                <w:sz w:val="11"/>
                <w:szCs w:val="11"/>
              </w:rPr>
            </w:pPr>
            <w:r>
              <w:rPr>
                <w:rFonts w:eastAsiaTheme="minorEastAsia"/>
                <w:kern w:val="2"/>
                <w:sz w:val="11"/>
                <w:szCs w:val="11"/>
              </w:rPr>
              <w:t>1</w:t>
            </w:r>
          </w:p>
        </w:tc>
        <w:tc>
          <w:tcPr>
            <w:tcW w:w="355" w:type="dxa"/>
            <w:tcBorders>
              <w:top w:val="nil"/>
              <w:left w:val="nil"/>
              <w:bottom w:val="nil"/>
              <w:right w:val="nil"/>
            </w:tcBorders>
            <w:vAlign w:val="center"/>
          </w:tcPr>
          <w:p w14:paraId="356F4AF1">
            <w:pPr>
              <w:snapToGrid w:val="0"/>
              <w:jc w:val="both"/>
              <w:rPr>
                <w:rFonts w:eastAsiaTheme="minorEastAsia"/>
                <w:kern w:val="2"/>
                <w:sz w:val="11"/>
                <w:szCs w:val="11"/>
              </w:rPr>
            </w:pPr>
            <w:r>
              <w:rPr>
                <w:rFonts w:eastAsiaTheme="minorEastAsia"/>
                <w:kern w:val="2"/>
                <w:sz w:val="11"/>
                <w:szCs w:val="11"/>
              </w:rPr>
              <w:t>1</w:t>
            </w:r>
          </w:p>
        </w:tc>
        <w:tc>
          <w:tcPr>
            <w:tcW w:w="355" w:type="dxa"/>
            <w:tcBorders>
              <w:top w:val="nil"/>
              <w:left w:val="nil"/>
              <w:bottom w:val="nil"/>
              <w:right w:val="nil"/>
            </w:tcBorders>
            <w:vAlign w:val="center"/>
          </w:tcPr>
          <w:p w14:paraId="2AC6FEFB">
            <w:pPr>
              <w:snapToGrid w:val="0"/>
              <w:jc w:val="both"/>
              <w:rPr>
                <w:rFonts w:eastAsiaTheme="minorEastAsia"/>
                <w:kern w:val="2"/>
                <w:sz w:val="11"/>
                <w:szCs w:val="11"/>
              </w:rPr>
            </w:pPr>
            <w:r>
              <w:rPr>
                <w:rFonts w:eastAsiaTheme="minorEastAsia"/>
                <w:kern w:val="2"/>
                <w:sz w:val="11"/>
                <w:szCs w:val="11"/>
              </w:rPr>
              <w:t>0</w:t>
            </w:r>
          </w:p>
        </w:tc>
      </w:tr>
      <w:tr w14:paraId="2059D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 w:type="dxa"/>
            <w:tcBorders>
              <w:top w:val="nil"/>
              <w:left w:val="nil"/>
              <w:bottom w:val="nil"/>
              <w:right w:val="nil"/>
            </w:tcBorders>
            <w:vAlign w:val="center"/>
          </w:tcPr>
          <w:p w14:paraId="486CFE76">
            <w:pPr>
              <w:snapToGrid w:val="0"/>
              <w:jc w:val="both"/>
              <w:rPr>
                <w:rFonts w:eastAsiaTheme="minorEastAsia"/>
                <w:kern w:val="2"/>
                <w:sz w:val="11"/>
                <w:szCs w:val="11"/>
                <w:lang w:eastAsia="zh-CN"/>
              </w:rPr>
            </w:pPr>
            <w:r>
              <w:rPr>
                <w:rFonts w:eastAsiaTheme="minorEastAsia"/>
                <w:kern w:val="2"/>
                <w:sz w:val="11"/>
                <w:szCs w:val="11"/>
                <w:lang w:eastAsia="zh-CN"/>
              </w:rPr>
              <w:t>（3）提前住附近酒店步行过去…晚上看夕阳特别美…夕阳+大海+飞机同框…步道很长很宽…适合散步跑步</w:t>
            </w:r>
          </w:p>
        </w:tc>
        <w:tc>
          <w:tcPr>
            <w:tcW w:w="355" w:type="dxa"/>
            <w:tcBorders>
              <w:top w:val="nil"/>
              <w:left w:val="nil"/>
              <w:bottom w:val="nil"/>
              <w:right w:val="nil"/>
            </w:tcBorders>
            <w:vAlign w:val="center"/>
          </w:tcPr>
          <w:p w14:paraId="6BA651C1">
            <w:pPr>
              <w:snapToGrid w:val="0"/>
              <w:jc w:val="both"/>
              <w:rPr>
                <w:rFonts w:eastAsiaTheme="minorEastAsia"/>
                <w:kern w:val="2"/>
                <w:sz w:val="11"/>
                <w:szCs w:val="11"/>
              </w:rPr>
            </w:pPr>
            <w:r>
              <w:rPr>
                <w:rFonts w:eastAsiaTheme="minorEastAsia"/>
                <w:kern w:val="2"/>
                <w:sz w:val="11"/>
                <w:szCs w:val="11"/>
              </w:rPr>
              <w:t>1</w:t>
            </w:r>
          </w:p>
        </w:tc>
        <w:tc>
          <w:tcPr>
            <w:tcW w:w="355" w:type="dxa"/>
            <w:tcBorders>
              <w:top w:val="nil"/>
              <w:left w:val="nil"/>
              <w:bottom w:val="nil"/>
              <w:right w:val="nil"/>
            </w:tcBorders>
            <w:vAlign w:val="center"/>
          </w:tcPr>
          <w:p w14:paraId="003BB79D">
            <w:pPr>
              <w:snapToGrid w:val="0"/>
              <w:jc w:val="both"/>
              <w:rPr>
                <w:rFonts w:eastAsiaTheme="minorEastAsia"/>
                <w:kern w:val="2"/>
                <w:sz w:val="11"/>
                <w:szCs w:val="11"/>
              </w:rPr>
            </w:pPr>
            <w:r>
              <w:rPr>
                <w:rFonts w:eastAsiaTheme="minorEastAsia"/>
                <w:kern w:val="2"/>
                <w:sz w:val="11"/>
                <w:szCs w:val="11"/>
              </w:rPr>
              <w:t>0</w:t>
            </w:r>
          </w:p>
        </w:tc>
        <w:tc>
          <w:tcPr>
            <w:tcW w:w="402" w:type="dxa"/>
            <w:tcBorders>
              <w:top w:val="nil"/>
              <w:left w:val="nil"/>
              <w:bottom w:val="nil"/>
              <w:right w:val="nil"/>
            </w:tcBorders>
            <w:vAlign w:val="center"/>
          </w:tcPr>
          <w:p w14:paraId="15CACA2E">
            <w:pPr>
              <w:snapToGrid w:val="0"/>
              <w:jc w:val="both"/>
              <w:rPr>
                <w:rFonts w:eastAsiaTheme="minorEastAsia"/>
                <w:kern w:val="2"/>
                <w:sz w:val="11"/>
                <w:szCs w:val="11"/>
              </w:rPr>
            </w:pPr>
            <w:r>
              <w:rPr>
                <w:rFonts w:eastAsiaTheme="minorEastAsia"/>
                <w:kern w:val="2"/>
                <w:sz w:val="11"/>
                <w:szCs w:val="11"/>
              </w:rPr>
              <w:t>0</w:t>
            </w:r>
          </w:p>
        </w:tc>
        <w:tc>
          <w:tcPr>
            <w:tcW w:w="386" w:type="dxa"/>
            <w:tcBorders>
              <w:top w:val="nil"/>
              <w:left w:val="nil"/>
              <w:bottom w:val="nil"/>
              <w:right w:val="nil"/>
            </w:tcBorders>
            <w:vAlign w:val="center"/>
          </w:tcPr>
          <w:p w14:paraId="4B05D1B4">
            <w:pPr>
              <w:snapToGrid w:val="0"/>
              <w:jc w:val="both"/>
              <w:rPr>
                <w:rFonts w:eastAsiaTheme="minorEastAsia"/>
                <w:kern w:val="2"/>
                <w:sz w:val="11"/>
                <w:szCs w:val="11"/>
              </w:rPr>
            </w:pPr>
            <w:r>
              <w:rPr>
                <w:rFonts w:eastAsiaTheme="minorEastAsia"/>
                <w:kern w:val="2"/>
                <w:sz w:val="11"/>
                <w:szCs w:val="11"/>
              </w:rPr>
              <w:t>1</w:t>
            </w:r>
          </w:p>
        </w:tc>
        <w:tc>
          <w:tcPr>
            <w:tcW w:w="355" w:type="dxa"/>
            <w:tcBorders>
              <w:top w:val="nil"/>
              <w:left w:val="nil"/>
              <w:bottom w:val="nil"/>
              <w:right w:val="nil"/>
            </w:tcBorders>
            <w:vAlign w:val="center"/>
          </w:tcPr>
          <w:p w14:paraId="5F694D21">
            <w:pPr>
              <w:snapToGrid w:val="0"/>
              <w:jc w:val="both"/>
              <w:rPr>
                <w:rFonts w:eastAsiaTheme="minorEastAsia"/>
                <w:kern w:val="2"/>
                <w:sz w:val="11"/>
                <w:szCs w:val="11"/>
              </w:rPr>
            </w:pPr>
            <w:r>
              <w:rPr>
                <w:rFonts w:eastAsiaTheme="minorEastAsia"/>
                <w:kern w:val="2"/>
                <w:sz w:val="11"/>
                <w:szCs w:val="11"/>
              </w:rPr>
              <w:t>0</w:t>
            </w:r>
          </w:p>
        </w:tc>
        <w:tc>
          <w:tcPr>
            <w:tcW w:w="417" w:type="dxa"/>
            <w:tcBorders>
              <w:top w:val="nil"/>
              <w:left w:val="nil"/>
              <w:bottom w:val="nil"/>
              <w:right w:val="nil"/>
            </w:tcBorders>
            <w:vAlign w:val="center"/>
          </w:tcPr>
          <w:p w14:paraId="61C7BA85">
            <w:pPr>
              <w:snapToGrid w:val="0"/>
              <w:jc w:val="both"/>
              <w:rPr>
                <w:rFonts w:eastAsiaTheme="minorEastAsia"/>
                <w:kern w:val="2"/>
                <w:sz w:val="11"/>
                <w:szCs w:val="11"/>
              </w:rPr>
            </w:pPr>
            <w:r>
              <w:rPr>
                <w:rFonts w:eastAsiaTheme="minorEastAsia"/>
                <w:kern w:val="2"/>
                <w:sz w:val="11"/>
                <w:szCs w:val="11"/>
              </w:rPr>
              <w:t>1</w:t>
            </w:r>
          </w:p>
        </w:tc>
        <w:tc>
          <w:tcPr>
            <w:tcW w:w="355" w:type="dxa"/>
            <w:tcBorders>
              <w:top w:val="nil"/>
              <w:left w:val="nil"/>
              <w:bottom w:val="nil"/>
              <w:right w:val="nil"/>
            </w:tcBorders>
            <w:vAlign w:val="center"/>
          </w:tcPr>
          <w:p w14:paraId="6E7D1486">
            <w:pPr>
              <w:snapToGrid w:val="0"/>
              <w:jc w:val="both"/>
              <w:rPr>
                <w:rFonts w:eastAsiaTheme="minorEastAsia"/>
                <w:kern w:val="2"/>
                <w:sz w:val="11"/>
                <w:szCs w:val="11"/>
              </w:rPr>
            </w:pPr>
            <w:r>
              <w:rPr>
                <w:rFonts w:eastAsiaTheme="minorEastAsia"/>
                <w:kern w:val="2"/>
                <w:sz w:val="11"/>
                <w:szCs w:val="11"/>
              </w:rPr>
              <w:t>1</w:t>
            </w:r>
          </w:p>
        </w:tc>
        <w:tc>
          <w:tcPr>
            <w:tcW w:w="355" w:type="dxa"/>
            <w:tcBorders>
              <w:top w:val="nil"/>
              <w:left w:val="nil"/>
              <w:bottom w:val="nil"/>
              <w:right w:val="nil"/>
            </w:tcBorders>
            <w:vAlign w:val="center"/>
          </w:tcPr>
          <w:p w14:paraId="0E78EB81">
            <w:pPr>
              <w:snapToGrid w:val="0"/>
              <w:jc w:val="both"/>
              <w:rPr>
                <w:rFonts w:eastAsiaTheme="minorEastAsia"/>
                <w:kern w:val="2"/>
                <w:sz w:val="11"/>
                <w:szCs w:val="11"/>
              </w:rPr>
            </w:pPr>
            <w:r>
              <w:rPr>
                <w:rFonts w:eastAsiaTheme="minorEastAsia"/>
                <w:kern w:val="2"/>
                <w:sz w:val="11"/>
                <w:szCs w:val="11"/>
              </w:rPr>
              <w:t>0</w:t>
            </w:r>
          </w:p>
        </w:tc>
        <w:tc>
          <w:tcPr>
            <w:tcW w:w="355" w:type="dxa"/>
            <w:tcBorders>
              <w:top w:val="nil"/>
              <w:left w:val="nil"/>
              <w:bottom w:val="nil"/>
              <w:right w:val="nil"/>
            </w:tcBorders>
            <w:vAlign w:val="center"/>
          </w:tcPr>
          <w:p w14:paraId="7878EC74">
            <w:pPr>
              <w:snapToGrid w:val="0"/>
              <w:jc w:val="both"/>
              <w:rPr>
                <w:rFonts w:eastAsiaTheme="minorEastAsia"/>
                <w:kern w:val="2"/>
                <w:sz w:val="11"/>
                <w:szCs w:val="11"/>
              </w:rPr>
            </w:pPr>
            <w:r>
              <w:rPr>
                <w:rFonts w:eastAsiaTheme="minorEastAsia"/>
                <w:kern w:val="2"/>
                <w:sz w:val="11"/>
                <w:szCs w:val="11"/>
              </w:rPr>
              <w:t>1</w:t>
            </w:r>
          </w:p>
        </w:tc>
        <w:tc>
          <w:tcPr>
            <w:tcW w:w="355" w:type="dxa"/>
            <w:tcBorders>
              <w:top w:val="nil"/>
              <w:left w:val="nil"/>
              <w:bottom w:val="nil"/>
              <w:right w:val="nil"/>
            </w:tcBorders>
            <w:vAlign w:val="center"/>
          </w:tcPr>
          <w:p w14:paraId="435E3CA6">
            <w:pPr>
              <w:snapToGrid w:val="0"/>
              <w:jc w:val="both"/>
              <w:rPr>
                <w:rFonts w:eastAsiaTheme="minorEastAsia"/>
                <w:kern w:val="2"/>
                <w:sz w:val="11"/>
                <w:szCs w:val="11"/>
              </w:rPr>
            </w:pPr>
            <w:r>
              <w:rPr>
                <w:rFonts w:eastAsiaTheme="minorEastAsia"/>
                <w:kern w:val="2"/>
                <w:sz w:val="11"/>
                <w:szCs w:val="11"/>
              </w:rPr>
              <w:t>0</w:t>
            </w:r>
          </w:p>
        </w:tc>
      </w:tr>
      <w:tr w14:paraId="68F1D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 w:type="dxa"/>
            <w:tcBorders>
              <w:top w:val="nil"/>
              <w:left w:val="nil"/>
              <w:bottom w:val="nil"/>
              <w:right w:val="nil"/>
            </w:tcBorders>
            <w:vAlign w:val="center"/>
          </w:tcPr>
          <w:p w14:paraId="5B1F87FD">
            <w:pPr>
              <w:snapToGrid w:val="0"/>
              <w:jc w:val="both"/>
              <w:rPr>
                <w:rFonts w:eastAsiaTheme="minorEastAsia"/>
                <w:kern w:val="2"/>
                <w:sz w:val="11"/>
                <w:szCs w:val="11"/>
                <w:lang w:eastAsia="zh-CN"/>
              </w:rPr>
            </w:pPr>
            <w:r>
              <w:rPr>
                <w:rFonts w:eastAsiaTheme="minorEastAsia"/>
                <w:kern w:val="2"/>
                <w:sz w:val="11"/>
                <w:szCs w:val="11"/>
                <w:lang w:eastAsia="zh-CN"/>
              </w:rPr>
              <w:t>（4）宝安傍晚闲逛好去处，海边，红树，夕阳，小鸟</w:t>
            </w:r>
          </w:p>
        </w:tc>
        <w:tc>
          <w:tcPr>
            <w:tcW w:w="355" w:type="dxa"/>
            <w:tcBorders>
              <w:top w:val="nil"/>
              <w:left w:val="nil"/>
              <w:bottom w:val="nil"/>
              <w:right w:val="nil"/>
            </w:tcBorders>
            <w:vAlign w:val="center"/>
          </w:tcPr>
          <w:p w14:paraId="29BECF09">
            <w:pPr>
              <w:snapToGrid w:val="0"/>
              <w:jc w:val="both"/>
              <w:rPr>
                <w:rFonts w:eastAsiaTheme="minorEastAsia"/>
                <w:kern w:val="2"/>
                <w:sz w:val="11"/>
                <w:szCs w:val="11"/>
              </w:rPr>
            </w:pPr>
            <w:r>
              <w:rPr>
                <w:rFonts w:eastAsiaTheme="minorEastAsia"/>
                <w:kern w:val="2"/>
                <w:sz w:val="11"/>
                <w:szCs w:val="11"/>
              </w:rPr>
              <w:t>1</w:t>
            </w:r>
          </w:p>
        </w:tc>
        <w:tc>
          <w:tcPr>
            <w:tcW w:w="355" w:type="dxa"/>
            <w:tcBorders>
              <w:top w:val="nil"/>
              <w:left w:val="nil"/>
              <w:bottom w:val="nil"/>
              <w:right w:val="nil"/>
            </w:tcBorders>
            <w:vAlign w:val="center"/>
          </w:tcPr>
          <w:p w14:paraId="19BDDDCE">
            <w:pPr>
              <w:snapToGrid w:val="0"/>
              <w:jc w:val="both"/>
              <w:rPr>
                <w:rFonts w:eastAsiaTheme="minorEastAsia"/>
                <w:kern w:val="2"/>
                <w:sz w:val="11"/>
                <w:szCs w:val="11"/>
              </w:rPr>
            </w:pPr>
            <w:r>
              <w:rPr>
                <w:rFonts w:eastAsiaTheme="minorEastAsia"/>
                <w:kern w:val="2"/>
                <w:sz w:val="11"/>
                <w:szCs w:val="11"/>
              </w:rPr>
              <w:t>0</w:t>
            </w:r>
          </w:p>
        </w:tc>
        <w:tc>
          <w:tcPr>
            <w:tcW w:w="402" w:type="dxa"/>
            <w:tcBorders>
              <w:top w:val="nil"/>
              <w:left w:val="nil"/>
              <w:bottom w:val="nil"/>
              <w:right w:val="nil"/>
            </w:tcBorders>
            <w:vAlign w:val="center"/>
          </w:tcPr>
          <w:p w14:paraId="0231A8E9">
            <w:pPr>
              <w:snapToGrid w:val="0"/>
              <w:jc w:val="both"/>
              <w:rPr>
                <w:rFonts w:eastAsiaTheme="minorEastAsia"/>
                <w:kern w:val="2"/>
                <w:sz w:val="11"/>
                <w:szCs w:val="11"/>
              </w:rPr>
            </w:pPr>
            <w:r>
              <w:rPr>
                <w:rFonts w:eastAsiaTheme="minorEastAsia"/>
                <w:kern w:val="2"/>
                <w:sz w:val="11"/>
                <w:szCs w:val="11"/>
              </w:rPr>
              <w:t>1</w:t>
            </w:r>
          </w:p>
        </w:tc>
        <w:tc>
          <w:tcPr>
            <w:tcW w:w="386" w:type="dxa"/>
            <w:tcBorders>
              <w:top w:val="nil"/>
              <w:left w:val="nil"/>
              <w:bottom w:val="nil"/>
              <w:right w:val="nil"/>
            </w:tcBorders>
            <w:vAlign w:val="center"/>
          </w:tcPr>
          <w:p w14:paraId="69C5FB05">
            <w:pPr>
              <w:snapToGrid w:val="0"/>
              <w:jc w:val="both"/>
              <w:rPr>
                <w:rFonts w:eastAsiaTheme="minorEastAsia"/>
                <w:kern w:val="2"/>
                <w:sz w:val="11"/>
                <w:szCs w:val="11"/>
              </w:rPr>
            </w:pPr>
            <w:r>
              <w:rPr>
                <w:rFonts w:eastAsiaTheme="minorEastAsia"/>
                <w:kern w:val="2"/>
                <w:sz w:val="11"/>
                <w:szCs w:val="11"/>
              </w:rPr>
              <w:t>0</w:t>
            </w:r>
          </w:p>
        </w:tc>
        <w:tc>
          <w:tcPr>
            <w:tcW w:w="355" w:type="dxa"/>
            <w:tcBorders>
              <w:top w:val="nil"/>
              <w:left w:val="nil"/>
              <w:bottom w:val="nil"/>
              <w:right w:val="nil"/>
            </w:tcBorders>
            <w:vAlign w:val="center"/>
          </w:tcPr>
          <w:p w14:paraId="10DD577B">
            <w:pPr>
              <w:snapToGrid w:val="0"/>
              <w:jc w:val="both"/>
              <w:rPr>
                <w:rFonts w:eastAsiaTheme="minorEastAsia"/>
                <w:kern w:val="2"/>
                <w:sz w:val="11"/>
                <w:szCs w:val="11"/>
              </w:rPr>
            </w:pPr>
            <w:r>
              <w:rPr>
                <w:rFonts w:eastAsiaTheme="minorEastAsia"/>
                <w:kern w:val="2"/>
                <w:sz w:val="11"/>
                <w:szCs w:val="11"/>
              </w:rPr>
              <w:t>0</w:t>
            </w:r>
          </w:p>
        </w:tc>
        <w:tc>
          <w:tcPr>
            <w:tcW w:w="417" w:type="dxa"/>
            <w:tcBorders>
              <w:top w:val="nil"/>
              <w:left w:val="nil"/>
              <w:bottom w:val="nil"/>
              <w:right w:val="nil"/>
            </w:tcBorders>
            <w:vAlign w:val="center"/>
          </w:tcPr>
          <w:p w14:paraId="377881A7">
            <w:pPr>
              <w:snapToGrid w:val="0"/>
              <w:jc w:val="both"/>
              <w:rPr>
                <w:rFonts w:eastAsiaTheme="minorEastAsia"/>
                <w:kern w:val="2"/>
                <w:sz w:val="11"/>
                <w:szCs w:val="11"/>
              </w:rPr>
            </w:pPr>
            <w:r>
              <w:rPr>
                <w:rFonts w:eastAsiaTheme="minorEastAsia"/>
                <w:kern w:val="2"/>
                <w:sz w:val="11"/>
                <w:szCs w:val="11"/>
              </w:rPr>
              <w:t>1</w:t>
            </w:r>
          </w:p>
        </w:tc>
        <w:tc>
          <w:tcPr>
            <w:tcW w:w="355" w:type="dxa"/>
            <w:tcBorders>
              <w:top w:val="nil"/>
              <w:left w:val="nil"/>
              <w:bottom w:val="nil"/>
              <w:right w:val="nil"/>
            </w:tcBorders>
            <w:vAlign w:val="center"/>
          </w:tcPr>
          <w:p w14:paraId="7377D67F">
            <w:pPr>
              <w:snapToGrid w:val="0"/>
              <w:jc w:val="both"/>
              <w:rPr>
                <w:rFonts w:eastAsiaTheme="minorEastAsia"/>
                <w:kern w:val="2"/>
                <w:sz w:val="11"/>
                <w:szCs w:val="11"/>
              </w:rPr>
            </w:pPr>
            <w:r>
              <w:rPr>
                <w:rFonts w:eastAsiaTheme="minorEastAsia"/>
                <w:kern w:val="2"/>
                <w:sz w:val="11"/>
                <w:szCs w:val="11"/>
              </w:rPr>
              <w:t>0</w:t>
            </w:r>
          </w:p>
        </w:tc>
        <w:tc>
          <w:tcPr>
            <w:tcW w:w="355" w:type="dxa"/>
            <w:tcBorders>
              <w:top w:val="nil"/>
              <w:left w:val="nil"/>
              <w:bottom w:val="nil"/>
              <w:right w:val="nil"/>
            </w:tcBorders>
            <w:vAlign w:val="center"/>
          </w:tcPr>
          <w:p w14:paraId="6208962C">
            <w:pPr>
              <w:snapToGrid w:val="0"/>
              <w:jc w:val="both"/>
              <w:rPr>
                <w:rFonts w:eastAsiaTheme="minorEastAsia"/>
                <w:kern w:val="2"/>
                <w:sz w:val="11"/>
                <w:szCs w:val="11"/>
              </w:rPr>
            </w:pPr>
            <w:r>
              <w:rPr>
                <w:rFonts w:eastAsiaTheme="minorEastAsia"/>
                <w:kern w:val="2"/>
                <w:sz w:val="11"/>
                <w:szCs w:val="11"/>
              </w:rPr>
              <w:t>1</w:t>
            </w:r>
          </w:p>
        </w:tc>
        <w:tc>
          <w:tcPr>
            <w:tcW w:w="355" w:type="dxa"/>
            <w:tcBorders>
              <w:top w:val="nil"/>
              <w:left w:val="nil"/>
              <w:bottom w:val="nil"/>
              <w:right w:val="nil"/>
            </w:tcBorders>
            <w:vAlign w:val="center"/>
          </w:tcPr>
          <w:p w14:paraId="494584BE">
            <w:pPr>
              <w:snapToGrid w:val="0"/>
              <w:jc w:val="both"/>
              <w:rPr>
                <w:rFonts w:eastAsiaTheme="minorEastAsia"/>
                <w:kern w:val="2"/>
                <w:sz w:val="11"/>
                <w:szCs w:val="11"/>
              </w:rPr>
            </w:pPr>
            <w:r>
              <w:rPr>
                <w:rFonts w:eastAsiaTheme="minorEastAsia"/>
                <w:kern w:val="2"/>
                <w:sz w:val="11"/>
                <w:szCs w:val="11"/>
              </w:rPr>
              <w:t>0</w:t>
            </w:r>
          </w:p>
        </w:tc>
        <w:tc>
          <w:tcPr>
            <w:tcW w:w="355" w:type="dxa"/>
            <w:tcBorders>
              <w:top w:val="nil"/>
              <w:left w:val="nil"/>
              <w:bottom w:val="nil"/>
              <w:right w:val="nil"/>
            </w:tcBorders>
            <w:vAlign w:val="center"/>
          </w:tcPr>
          <w:p w14:paraId="77C0DE47">
            <w:pPr>
              <w:snapToGrid w:val="0"/>
              <w:jc w:val="both"/>
              <w:rPr>
                <w:rFonts w:eastAsiaTheme="minorEastAsia"/>
                <w:kern w:val="2"/>
                <w:sz w:val="11"/>
                <w:szCs w:val="11"/>
              </w:rPr>
            </w:pPr>
            <w:r>
              <w:rPr>
                <w:rFonts w:eastAsiaTheme="minorEastAsia"/>
                <w:kern w:val="2"/>
                <w:sz w:val="11"/>
                <w:szCs w:val="11"/>
              </w:rPr>
              <w:t>0</w:t>
            </w:r>
          </w:p>
        </w:tc>
      </w:tr>
      <w:tr w14:paraId="1C46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 w:type="dxa"/>
            <w:tcBorders>
              <w:top w:val="nil"/>
              <w:left w:val="nil"/>
              <w:right w:val="nil"/>
            </w:tcBorders>
            <w:vAlign w:val="center"/>
          </w:tcPr>
          <w:p w14:paraId="1532397A">
            <w:pPr>
              <w:snapToGrid w:val="0"/>
              <w:jc w:val="both"/>
              <w:rPr>
                <w:rFonts w:eastAsiaTheme="minorEastAsia"/>
                <w:kern w:val="2"/>
                <w:sz w:val="11"/>
                <w:szCs w:val="11"/>
                <w:lang w:eastAsia="zh-CN"/>
              </w:rPr>
            </w:pPr>
            <w:r>
              <w:rPr>
                <w:rFonts w:eastAsiaTheme="minorEastAsia"/>
                <w:kern w:val="2"/>
                <w:sz w:val="11"/>
                <w:szCs w:val="11"/>
                <w:lang w:eastAsia="zh-CN"/>
              </w:rPr>
              <w:t>（5）超大的海边公园…草坪适合露营…约上好友带孩子…够宽敞…退潮抓小螃蟹…挖沙池/滑梯</w:t>
            </w:r>
          </w:p>
        </w:tc>
        <w:tc>
          <w:tcPr>
            <w:tcW w:w="355" w:type="dxa"/>
            <w:tcBorders>
              <w:top w:val="nil"/>
              <w:left w:val="nil"/>
              <w:right w:val="nil"/>
            </w:tcBorders>
            <w:vAlign w:val="center"/>
          </w:tcPr>
          <w:p w14:paraId="39B019E1">
            <w:pPr>
              <w:snapToGrid w:val="0"/>
              <w:jc w:val="both"/>
              <w:rPr>
                <w:rFonts w:eastAsiaTheme="minorEastAsia"/>
                <w:kern w:val="2"/>
                <w:sz w:val="11"/>
                <w:szCs w:val="11"/>
              </w:rPr>
            </w:pPr>
            <w:r>
              <w:rPr>
                <w:rFonts w:eastAsiaTheme="minorEastAsia"/>
                <w:kern w:val="2"/>
                <w:sz w:val="11"/>
                <w:szCs w:val="11"/>
              </w:rPr>
              <w:t>0</w:t>
            </w:r>
          </w:p>
        </w:tc>
        <w:tc>
          <w:tcPr>
            <w:tcW w:w="355" w:type="dxa"/>
            <w:tcBorders>
              <w:top w:val="nil"/>
              <w:left w:val="nil"/>
              <w:right w:val="nil"/>
            </w:tcBorders>
            <w:vAlign w:val="center"/>
          </w:tcPr>
          <w:p w14:paraId="59E4E13D">
            <w:pPr>
              <w:snapToGrid w:val="0"/>
              <w:jc w:val="both"/>
              <w:rPr>
                <w:rFonts w:eastAsiaTheme="minorEastAsia"/>
                <w:kern w:val="2"/>
                <w:sz w:val="11"/>
                <w:szCs w:val="11"/>
              </w:rPr>
            </w:pPr>
            <w:r>
              <w:rPr>
                <w:rFonts w:eastAsiaTheme="minorEastAsia"/>
                <w:kern w:val="2"/>
                <w:sz w:val="11"/>
                <w:szCs w:val="11"/>
              </w:rPr>
              <w:t>0</w:t>
            </w:r>
          </w:p>
        </w:tc>
        <w:tc>
          <w:tcPr>
            <w:tcW w:w="402" w:type="dxa"/>
            <w:tcBorders>
              <w:top w:val="nil"/>
              <w:left w:val="nil"/>
              <w:right w:val="nil"/>
            </w:tcBorders>
            <w:vAlign w:val="center"/>
          </w:tcPr>
          <w:p w14:paraId="56D39F74">
            <w:pPr>
              <w:snapToGrid w:val="0"/>
              <w:jc w:val="both"/>
              <w:rPr>
                <w:rFonts w:eastAsiaTheme="minorEastAsia"/>
                <w:kern w:val="2"/>
                <w:sz w:val="11"/>
                <w:szCs w:val="11"/>
              </w:rPr>
            </w:pPr>
            <w:r>
              <w:rPr>
                <w:rFonts w:eastAsiaTheme="minorEastAsia"/>
                <w:kern w:val="2"/>
                <w:sz w:val="11"/>
                <w:szCs w:val="11"/>
              </w:rPr>
              <w:t>1</w:t>
            </w:r>
          </w:p>
        </w:tc>
        <w:tc>
          <w:tcPr>
            <w:tcW w:w="386" w:type="dxa"/>
            <w:tcBorders>
              <w:top w:val="nil"/>
              <w:left w:val="nil"/>
              <w:right w:val="nil"/>
            </w:tcBorders>
            <w:vAlign w:val="center"/>
          </w:tcPr>
          <w:p w14:paraId="77F1AC45">
            <w:pPr>
              <w:snapToGrid w:val="0"/>
              <w:jc w:val="both"/>
              <w:rPr>
                <w:rFonts w:eastAsiaTheme="minorEastAsia"/>
                <w:kern w:val="2"/>
                <w:sz w:val="11"/>
                <w:szCs w:val="11"/>
              </w:rPr>
            </w:pPr>
            <w:r>
              <w:rPr>
                <w:rFonts w:eastAsiaTheme="minorEastAsia"/>
                <w:kern w:val="2"/>
                <w:sz w:val="11"/>
                <w:szCs w:val="11"/>
              </w:rPr>
              <w:t>0</w:t>
            </w:r>
          </w:p>
        </w:tc>
        <w:tc>
          <w:tcPr>
            <w:tcW w:w="355" w:type="dxa"/>
            <w:tcBorders>
              <w:top w:val="nil"/>
              <w:left w:val="nil"/>
              <w:right w:val="nil"/>
            </w:tcBorders>
            <w:vAlign w:val="center"/>
          </w:tcPr>
          <w:p w14:paraId="22AA3F34">
            <w:pPr>
              <w:snapToGrid w:val="0"/>
              <w:jc w:val="both"/>
              <w:rPr>
                <w:rFonts w:eastAsiaTheme="minorEastAsia"/>
                <w:kern w:val="2"/>
                <w:sz w:val="11"/>
                <w:szCs w:val="11"/>
              </w:rPr>
            </w:pPr>
            <w:r>
              <w:rPr>
                <w:rFonts w:eastAsiaTheme="minorEastAsia"/>
                <w:kern w:val="2"/>
                <w:sz w:val="11"/>
                <w:szCs w:val="11"/>
              </w:rPr>
              <w:t>0</w:t>
            </w:r>
          </w:p>
        </w:tc>
        <w:tc>
          <w:tcPr>
            <w:tcW w:w="417" w:type="dxa"/>
            <w:tcBorders>
              <w:top w:val="nil"/>
              <w:left w:val="nil"/>
              <w:right w:val="nil"/>
            </w:tcBorders>
            <w:vAlign w:val="center"/>
          </w:tcPr>
          <w:p w14:paraId="2E3290AD">
            <w:pPr>
              <w:snapToGrid w:val="0"/>
              <w:jc w:val="both"/>
              <w:rPr>
                <w:rFonts w:eastAsiaTheme="minorEastAsia"/>
                <w:kern w:val="2"/>
                <w:sz w:val="11"/>
                <w:szCs w:val="11"/>
              </w:rPr>
            </w:pPr>
            <w:r>
              <w:rPr>
                <w:rFonts w:eastAsiaTheme="minorEastAsia"/>
                <w:kern w:val="2"/>
                <w:sz w:val="11"/>
                <w:szCs w:val="11"/>
              </w:rPr>
              <w:t>1</w:t>
            </w:r>
          </w:p>
        </w:tc>
        <w:tc>
          <w:tcPr>
            <w:tcW w:w="355" w:type="dxa"/>
            <w:tcBorders>
              <w:top w:val="nil"/>
              <w:left w:val="nil"/>
              <w:right w:val="nil"/>
            </w:tcBorders>
            <w:vAlign w:val="center"/>
          </w:tcPr>
          <w:p w14:paraId="6CF442AA">
            <w:pPr>
              <w:snapToGrid w:val="0"/>
              <w:jc w:val="both"/>
              <w:rPr>
                <w:rFonts w:eastAsiaTheme="minorEastAsia"/>
                <w:kern w:val="2"/>
                <w:sz w:val="11"/>
                <w:szCs w:val="11"/>
              </w:rPr>
            </w:pPr>
            <w:r>
              <w:rPr>
                <w:rFonts w:eastAsiaTheme="minorEastAsia"/>
                <w:kern w:val="2"/>
                <w:sz w:val="11"/>
                <w:szCs w:val="11"/>
              </w:rPr>
              <w:t>0</w:t>
            </w:r>
          </w:p>
        </w:tc>
        <w:tc>
          <w:tcPr>
            <w:tcW w:w="355" w:type="dxa"/>
            <w:tcBorders>
              <w:top w:val="nil"/>
              <w:left w:val="nil"/>
              <w:right w:val="nil"/>
            </w:tcBorders>
            <w:vAlign w:val="center"/>
          </w:tcPr>
          <w:p w14:paraId="68DF8671">
            <w:pPr>
              <w:snapToGrid w:val="0"/>
              <w:jc w:val="both"/>
              <w:rPr>
                <w:rFonts w:eastAsiaTheme="minorEastAsia"/>
                <w:kern w:val="2"/>
                <w:sz w:val="11"/>
                <w:szCs w:val="11"/>
              </w:rPr>
            </w:pPr>
            <w:r>
              <w:rPr>
                <w:rFonts w:eastAsiaTheme="minorEastAsia"/>
                <w:kern w:val="2"/>
                <w:sz w:val="11"/>
                <w:szCs w:val="11"/>
              </w:rPr>
              <w:t>1</w:t>
            </w:r>
          </w:p>
        </w:tc>
        <w:tc>
          <w:tcPr>
            <w:tcW w:w="355" w:type="dxa"/>
            <w:tcBorders>
              <w:top w:val="nil"/>
              <w:left w:val="nil"/>
              <w:right w:val="nil"/>
            </w:tcBorders>
            <w:vAlign w:val="center"/>
          </w:tcPr>
          <w:p w14:paraId="7DD35FD6">
            <w:pPr>
              <w:snapToGrid w:val="0"/>
              <w:jc w:val="both"/>
              <w:rPr>
                <w:rFonts w:eastAsiaTheme="minorEastAsia"/>
                <w:kern w:val="2"/>
                <w:sz w:val="11"/>
                <w:szCs w:val="11"/>
              </w:rPr>
            </w:pPr>
            <w:r>
              <w:rPr>
                <w:rFonts w:eastAsiaTheme="minorEastAsia"/>
                <w:kern w:val="2"/>
                <w:sz w:val="11"/>
                <w:szCs w:val="11"/>
              </w:rPr>
              <w:t>1</w:t>
            </w:r>
          </w:p>
        </w:tc>
        <w:tc>
          <w:tcPr>
            <w:tcW w:w="355" w:type="dxa"/>
            <w:tcBorders>
              <w:top w:val="nil"/>
              <w:left w:val="nil"/>
              <w:right w:val="nil"/>
            </w:tcBorders>
            <w:vAlign w:val="center"/>
          </w:tcPr>
          <w:p w14:paraId="4349963E">
            <w:pPr>
              <w:snapToGrid w:val="0"/>
              <w:jc w:val="both"/>
              <w:rPr>
                <w:rFonts w:eastAsiaTheme="minorEastAsia"/>
                <w:kern w:val="2"/>
                <w:sz w:val="11"/>
                <w:szCs w:val="11"/>
              </w:rPr>
            </w:pPr>
            <w:r>
              <w:rPr>
                <w:rFonts w:eastAsiaTheme="minorEastAsia"/>
                <w:kern w:val="2"/>
                <w:sz w:val="11"/>
                <w:szCs w:val="11"/>
              </w:rPr>
              <w:t>0</w:t>
            </w:r>
          </w:p>
        </w:tc>
      </w:tr>
    </w:tbl>
    <w:p w14:paraId="2DCE19B1">
      <w:pPr>
        <w:pStyle w:val="77"/>
        <w:jc w:val="both"/>
        <w:rPr>
          <w:rFonts w:hint="eastAsia"/>
        </w:rPr>
      </w:pPr>
      <w:r>
        <w:t>注：1=该价值存在；0=该价值不存在。提示中为每类CES至少提供一条示例评论。</w:t>
      </w:r>
    </w:p>
    <w:p w14:paraId="40063FDC">
      <w:pPr>
        <w:pStyle w:val="73"/>
        <w:ind w:firstLine="340"/>
        <w:jc w:val="both"/>
        <w:rPr>
          <w:rFonts w:hint="eastAsia" w:ascii="黑体" w:hAnsi="黑体" w:eastAsia="黑体" w:cs="方正兰亭纤黑_GBK"/>
          <w:color w:val="000000"/>
          <w:sz w:val="17"/>
          <w:szCs w:val="17"/>
          <w:lang w:val="en-US"/>
        </w:rPr>
      </w:pPr>
      <w:r>
        <w:t>CES要素感知频率以“提及比例”表征：统计各公园在每一要素上的有效提及次数Cij，并除以该公园评论总条数Ci得到感知频率Fij。为降低误判，</w:t>
      </w:r>
      <w:commentRangeStart w:id="20"/>
      <w:r>
        <w:rPr>
          <w:highlight w:val="yellow"/>
        </w:rPr>
        <w:t>随机抽查不少于5%的候选句</w:t>
      </w:r>
      <w:commentRangeEnd w:id="20"/>
      <w:r>
        <w:rPr>
          <w:rStyle w:val="CommentReference"/>
        </w:rPr>
        <w:commentReference w:id="20"/>
      </w:r>
      <w:r>
        <w:t>进行人工复核，并记录修正情况。</w:t>
      </w:r>
    </w:p>
    <w:p w14:paraId="58580128">
      <w:pPr>
        <w:pStyle w:val="73"/>
        <w:ind w:firstLine="340"/>
        <w:jc w:val="both"/>
        <w:rPr>
          <w:rFonts w:hint="eastAsia" w:ascii="黑体" w:hAnsi="黑体" w:eastAsia="黑体" w:cs="方正兰亭纤黑_GBK"/>
          <w:color w:val="000000"/>
          <w:sz w:val="17"/>
          <w:szCs w:val="17"/>
          <w:lang w:val="en-US"/>
        </w:rPr>
      </w:pPr>
      <w:r>
        <w:rPr>
          <w:rFonts w:hint="eastAsia" w:ascii="黑体" w:hAnsi="黑体" w:eastAsia="黑体" w:cs="方正兰亭纤黑_GBK"/>
          <w:color w:val="000000"/>
          <w:sz w:val="17"/>
          <w:szCs w:val="17"/>
          <w:lang w:val="en-US"/>
        </w:rPr>
        <w:t>要素感知频率计算公式：</w:t>
      </w:r>
    </w:p>
    <w:p w14:paraId="0D8DBAA4">
      <w:pPr>
        <w:pStyle w:val="78"/>
        <w:jc w:val="both"/>
        <w:rPr>
          <w:rFonts w:hint="eastAsia" w:ascii="黑体" w:hAnsi="黑体" w:eastAsia="黑体" w:cs="黑体"/>
          <w:i/>
          <w:iCs/>
          <w:lang w:val="en-US"/>
        </w:rPr>
      </w:pPr>
      <w:commentRangeStart w:id="15"/>
      <w:r>
        <w:rPr>
          <w:highlight w:val="yellow"/>
        </w:rPr>
        <w:t>F_{ij}=C_{ij}/C_i</w:t>
      </w:r>
      <w:commentRangeEnd w:id="15"/>
      <w:r>
        <w:rPr>
          <w:rStyle w:val="CommentReference"/>
        </w:rPr>
        <w:commentReference w:id="15"/>
      </w:r>
    </w:p>
    <w:p w14:paraId="7140E22C">
      <w:pPr>
        <w:pStyle w:val="78"/>
        <w:ind w:firstLine="340"/>
        <w:jc w:val="both"/>
        <w:rPr>
          <w:rFonts w:hint="eastAsia" w:ascii="黑体" w:hAnsi="黑体" w:eastAsia="黑体" w:cs="方正兰亭纤黑_GBK"/>
          <w:color w:val="000000"/>
          <w:sz w:val="17"/>
          <w:szCs w:val="17"/>
          <w:lang w:val="en-US"/>
        </w:rPr>
      </w:pPr>
      <w:r>
        <w:rPr>
          <w:rFonts w:hint="eastAsia" w:ascii="黑体" w:hAnsi="黑体" w:eastAsia="黑体" w:cs="方正兰亭纤黑_GBK"/>
          <w:color w:val="000000"/>
          <w:sz w:val="17"/>
          <w:szCs w:val="17"/>
          <w:lang w:val="en-US"/>
        </w:rPr>
        <w:t>其中：</w:t>
      </w:r>
      <w:r>
        <w:rPr>
          <w:rFonts w:hint="eastAsia" w:ascii="黑体" w:hAnsi="黑体" w:eastAsia="黑体" w:cs="方正兰亭纤黑_GBK"/>
          <w:i/>
          <w:iCs/>
          <w:color w:val="000000"/>
          <w:sz w:val="17"/>
          <w:szCs w:val="17"/>
          <w:lang w:val="en-US"/>
        </w:rPr>
        <w:t>F</w:t>
      </w:r>
      <w:r>
        <w:rPr>
          <w:rFonts w:hint="eastAsia" w:ascii="黑体" w:hAnsi="黑体" w:eastAsia="黑体" w:cs="方正兰亭纤黑_GBK"/>
          <w:i/>
          <w:iCs/>
          <w:color w:val="000000"/>
          <w:sz w:val="17"/>
          <w:szCs w:val="17"/>
          <w:vertAlign w:val="subscript"/>
          <w:lang w:val="en-US"/>
        </w:rPr>
        <w:t>ij</w:t>
      </w:r>
      <w:r>
        <w:rPr>
          <w:rFonts w:hint="eastAsia" w:ascii="黑体" w:hAnsi="黑体" w:eastAsia="黑体" w:cs="方正兰亭纤黑_GBK"/>
          <w:color w:val="000000"/>
          <w:sz w:val="17"/>
          <w:szCs w:val="17"/>
          <w:lang w:val="en-US"/>
        </w:rPr>
        <w:t>是</w:t>
      </w:r>
      <w:r>
        <w:rPr>
          <w:rFonts w:hint="eastAsia" w:ascii="黑体" w:hAnsi="黑体" w:eastAsia="黑体" w:cs="方正兰亭纤黑_GBK"/>
          <w:i/>
          <w:iCs/>
          <w:color w:val="000000"/>
          <w:sz w:val="17"/>
          <w:szCs w:val="17"/>
          <w:lang w:val="en-US"/>
        </w:rPr>
        <w:t>i</w:t>
      </w:r>
      <w:r>
        <w:rPr>
          <w:rFonts w:hint="eastAsia" w:ascii="黑体" w:hAnsi="黑体" w:eastAsia="黑体" w:cs="方正兰亭纤黑_GBK"/>
          <w:color w:val="000000"/>
          <w:sz w:val="17"/>
          <w:szCs w:val="17"/>
          <w:lang w:val="en-US"/>
        </w:rPr>
        <w:t>公园</w:t>
      </w:r>
      <w:r>
        <w:rPr>
          <w:rFonts w:hint="eastAsia" w:ascii="黑体" w:hAnsi="黑体" w:eastAsia="黑体" w:cs="方正兰亭纤黑_GBK"/>
          <w:i/>
          <w:iCs/>
          <w:color w:val="000000"/>
          <w:sz w:val="17"/>
          <w:szCs w:val="17"/>
          <w:lang w:val="en-US"/>
        </w:rPr>
        <w:t>j</w:t>
      </w:r>
      <w:r>
        <w:rPr>
          <w:rFonts w:hint="eastAsia" w:ascii="黑体" w:hAnsi="黑体" w:eastAsia="黑体" w:cs="方正兰亭纤黑_GBK"/>
          <w:color w:val="000000"/>
          <w:sz w:val="17"/>
          <w:szCs w:val="17"/>
          <w:lang w:val="en-US"/>
        </w:rPr>
        <w:t>要素的感知频率，</w:t>
      </w:r>
      <w:r>
        <w:rPr>
          <w:rFonts w:hint="eastAsia" w:ascii="黑体" w:hAnsi="黑体" w:eastAsia="黑体" w:cs="方正兰亭纤黑_GBK"/>
          <w:i/>
          <w:iCs/>
          <w:color w:val="000000"/>
          <w:sz w:val="17"/>
          <w:szCs w:val="17"/>
          <w:lang w:val="en-US"/>
        </w:rPr>
        <w:t>C</w:t>
      </w:r>
      <w:r>
        <w:rPr>
          <w:rFonts w:hint="eastAsia" w:ascii="黑体" w:hAnsi="黑体" w:eastAsia="黑体" w:cs="方正兰亭纤黑_GBK"/>
          <w:i/>
          <w:iCs/>
          <w:color w:val="000000"/>
          <w:sz w:val="17"/>
          <w:szCs w:val="17"/>
          <w:vertAlign w:val="subscript"/>
          <w:lang w:val="en-US"/>
        </w:rPr>
        <w:t>ij</w:t>
      </w:r>
      <w:r>
        <w:rPr>
          <w:rFonts w:hint="eastAsia" w:ascii="黑体" w:hAnsi="黑体" w:eastAsia="黑体" w:cs="方正兰亭纤黑_GBK"/>
          <w:color w:val="000000"/>
          <w:sz w:val="17"/>
          <w:szCs w:val="17"/>
          <w:lang w:val="en-US"/>
        </w:rPr>
        <w:t>是</w:t>
      </w:r>
      <w:r>
        <w:rPr>
          <w:rFonts w:hint="eastAsia" w:ascii="黑体" w:hAnsi="黑体" w:eastAsia="黑体" w:cs="方正兰亭纤黑_GBK"/>
          <w:i/>
          <w:iCs/>
          <w:color w:val="000000"/>
          <w:sz w:val="17"/>
          <w:szCs w:val="17"/>
          <w:lang w:val="en-US"/>
        </w:rPr>
        <w:t>j</w:t>
      </w:r>
      <w:r>
        <w:rPr>
          <w:rFonts w:hint="eastAsia" w:ascii="黑体" w:hAnsi="黑体" w:eastAsia="黑体" w:cs="方正兰亭纤黑_GBK"/>
          <w:color w:val="000000"/>
          <w:sz w:val="17"/>
          <w:szCs w:val="17"/>
          <w:lang w:val="en-US"/>
        </w:rPr>
        <w:t>要素词频，</w:t>
      </w:r>
      <w:r>
        <w:rPr>
          <w:rFonts w:hint="eastAsia" w:ascii="黑体" w:hAnsi="黑体" w:eastAsia="黑体" w:cs="方正兰亭纤黑_GBK"/>
          <w:i/>
          <w:iCs/>
          <w:color w:val="000000"/>
          <w:sz w:val="17"/>
          <w:szCs w:val="17"/>
          <w:lang w:val="en-US"/>
        </w:rPr>
        <w:t>C</w:t>
      </w:r>
      <w:r>
        <w:rPr>
          <w:rFonts w:hint="eastAsia" w:ascii="黑体" w:hAnsi="黑体" w:eastAsia="黑体" w:cs="方正兰亭纤黑_GBK"/>
          <w:i/>
          <w:iCs/>
          <w:color w:val="000000"/>
          <w:sz w:val="17"/>
          <w:szCs w:val="17"/>
          <w:vertAlign w:val="subscript"/>
          <w:lang w:val="en-US"/>
        </w:rPr>
        <w:t>i</w:t>
      </w:r>
      <w:r>
        <w:rPr>
          <w:rFonts w:hint="eastAsia" w:ascii="黑体" w:hAnsi="黑体" w:eastAsia="黑体" w:cs="方正兰亭纤黑_GBK"/>
          <w:color w:val="000000"/>
          <w:sz w:val="17"/>
          <w:szCs w:val="17"/>
          <w:lang w:val="en-US"/>
        </w:rPr>
        <w:t>是该</w:t>
      </w:r>
      <w:r>
        <w:rPr>
          <w:rFonts w:hint="eastAsia" w:ascii="黑体" w:hAnsi="黑体" w:eastAsia="黑体" w:cs="方正兰亭纤黑_GBK"/>
          <w:i/>
          <w:iCs/>
          <w:color w:val="000000"/>
          <w:sz w:val="17"/>
          <w:szCs w:val="17"/>
          <w:lang w:val="en-US"/>
        </w:rPr>
        <w:t>i</w:t>
      </w:r>
      <w:r>
        <w:rPr>
          <w:rFonts w:hint="eastAsia" w:ascii="黑体" w:hAnsi="黑体" w:eastAsia="黑体" w:cs="方正兰亭纤黑_GBK"/>
          <w:color w:val="000000"/>
          <w:sz w:val="17"/>
          <w:szCs w:val="17"/>
          <w:lang w:val="en-US"/>
        </w:rPr>
        <w:t>公园评论总条数。</w:t>
      </w:r>
    </w:p>
    <w:p w14:paraId="3B70CD16">
      <w:pPr>
        <w:widowControl w:val="0"/>
        <w:autoSpaceDE w:val="0"/>
        <w:autoSpaceDN w:val="0"/>
        <w:adjustRightInd w:val="0"/>
        <w:spacing w:line="324" w:lineRule="auto"/>
        <w:jc w:val="both"/>
        <w:textAlignment w:val="center"/>
        <w:rPr>
          <w:rFonts w:hint="eastAsia" w:ascii="黑体" w:hAnsi="黑体" w:eastAsia="黑体" w:cs="方正兰亭准黑_GBK"/>
          <w:color w:val="000000"/>
          <w:sz w:val="17"/>
          <w:szCs w:val="17"/>
          <w:lang w:eastAsia="zh-CN"/>
        </w:rPr>
      </w:pPr>
      <w:r>
        <w:rPr>
          <w:rFonts w:hint="eastAsia" w:ascii="黑体" w:hAnsi="黑体" w:eastAsia="黑体" w:cs="方正兰亭准黑_GBK"/>
          <w:color w:val="000000"/>
          <w:sz w:val="17"/>
          <w:szCs w:val="17"/>
          <w:lang w:eastAsia="zh-CN"/>
        </w:rPr>
        <w:t>1.3.3  主要驱动要素分析</w:t>
      </w:r>
    </w:p>
    <w:p w14:paraId="0F225795">
      <w:pPr>
        <w:pStyle w:val="73"/>
        <w:ind w:firstLine="340"/>
        <w:jc w:val="both"/>
        <w:rPr>
          <w:rFonts w:hint="eastAsia" w:ascii="黑体" w:hAnsi="黑体" w:eastAsia="黑体" w:cs="方正兰亭纤黑_GBK"/>
          <w:color w:val="000000"/>
          <w:sz w:val="17"/>
          <w:szCs w:val="17"/>
          <w:lang w:val="en-US"/>
        </w:rPr>
      </w:pPr>
      <w:r>
        <w:rPr>
          <w:rFonts w:hint="eastAsia" w:ascii="黑体" w:hAnsi="黑体" w:eastAsia="黑体" w:cs="方正兰亭纤黑_GBK"/>
          <w:color w:val="000000"/>
          <w:sz w:val="17"/>
          <w:szCs w:val="17"/>
          <w:lang w:val="en-US"/>
        </w:rPr>
        <w:t>公园总体感知由多要素共同作用。本文以要素“感知频率”表征需求侧，以“感知倾向”表征供给侧。二者联合用于识别关键要素：当关注度高而满意度显著偏低，提示存在负面感知放大，应优先补齐短板；当两者均高，则为核心优势，应持续巩固。</w:t>
      </w:r>
    </w:p>
    <w:p w14:paraId="421BFC4E">
      <w:pPr>
        <w:pStyle w:val="73"/>
        <w:ind w:firstLine="340"/>
        <w:jc w:val="both"/>
        <w:rPr>
          <w:rFonts w:hint="eastAsia" w:ascii="黑体" w:hAnsi="黑体" w:eastAsia="黑体" w:cs="方正兰亭纤黑_GBK"/>
          <w:color w:val="000000"/>
          <w:sz w:val="17"/>
          <w:szCs w:val="17"/>
          <w:lang w:val="en-US"/>
        </w:rPr>
      </w:pPr>
      <w:r>
        <w:rPr>
          <w:rFonts w:hint="eastAsia" w:ascii="黑体" w:hAnsi="黑体" w:eastAsia="黑体" w:cs="方正兰亭纤黑_GBK"/>
          <w:color w:val="000000"/>
          <w:sz w:val="17"/>
          <w:szCs w:val="17"/>
          <w:lang w:val="en-US"/>
        </w:rPr>
        <w:t>在完成要素识别后，本文先对4项CES维度的感知频率与感知倾向进行描述性比较，并采用相关分析考察各要素与总体感知倾向的关联方向；在此基础上，以总体感知倾向为因变量、10项要素感知指标为自变量建立岭回归模型，以缓解多重共线性并识别关键解释变量。显著性达到p&lt;0.05的要素被视为关键影响要素，并进一步结合IPA结果讨论其在“需求侧关注—供给侧绩效”结构中的治理意义。</w:t>
      </w:r>
    </w:p>
    <w:p w14:paraId="2A205523">
      <w:pPr>
        <w:widowControl w:val="0"/>
        <w:autoSpaceDE w:val="0"/>
        <w:autoSpaceDN w:val="0"/>
        <w:adjustRightInd w:val="0"/>
        <w:spacing w:line="324" w:lineRule="auto"/>
        <w:jc w:val="both"/>
        <w:textAlignment w:val="center"/>
        <w:rPr>
          <w:rFonts w:hint="eastAsia" w:ascii="黑体" w:hAnsi="黑体" w:eastAsia="黑体" w:cs="方正兰亭准黑_GBK"/>
          <w:color w:val="000000"/>
          <w:sz w:val="17"/>
          <w:szCs w:val="17"/>
          <w:lang w:eastAsia="zh-CN"/>
        </w:rPr>
      </w:pPr>
      <w:r>
        <w:rPr>
          <w:rFonts w:hint="eastAsia" w:ascii="黑体" w:hAnsi="黑体" w:eastAsia="黑体" w:cs="方正兰亭准黑_GBK"/>
          <w:color w:val="000000"/>
          <w:sz w:val="17"/>
          <w:szCs w:val="17"/>
          <w:lang w:eastAsia="zh-CN"/>
        </w:rPr>
        <w:t>2  城市公园CES研究结果</w:t>
      </w:r>
    </w:p>
    <w:p w14:paraId="04E6ED63">
      <w:pPr>
        <w:widowControl w:val="0"/>
        <w:autoSpaceDE w:val="0"/>
        <w:autoSpaceDN w:val="0"/>
        <w:adjustRightInd w:val="0"/>
        <w:spacing w:line="324" w:lineRule="auto"/>
        <w:jc w:val="both"/>
        <w:textAlignment w:val="center"/>
        <w:rPr>
          <w:rFonts w:hint="eastAsia" w:ascii="黑体" w:hAnsi="黑体" w:eastAsia="黑体" w:cs="方正兰亭准黑_GBK"/>
          <w:color w:val="000000"/>
          <w:sz w:val="17"/>
          <w:szCs w:val="17"/>
          <w:lang w:eastAsia="zh-CN"/>
        </w:rPr>
      </w:pPr>
      <w:r>
        <w:rPr>
          <w:rFonts w:hint="eastAsia" w:ascii="黑体" w:hAnsi="黑体" w:eastAsia="黑体" w:cs="方正兰亭准黑_GBK"/>
          <w:color w:val="000000"/>
          <w:sz w:val="17"/>
          <w:szCs w:val="17"/>
          <w:lang w:eastAsia="zh-CN"/>
        </w:rPr>
        <w:t>2.1  公园CES</w:t>
      </w:r>
      <w:r>
        <w:rPr>
          <w:rFonts w:hint="eastAsia" w:ascii="黑体" w:hAnsi="黑体" w:eastAsia="黑体" w:cs="方正兰亭准黑_GBK"/>
          <w:color w:val="000000"/>
          <w:sz w:val="17"/>
          <w:szCs w:val="17"/>
          <w:lang w:val="en-US" w:eastAsia="zh-CN"/>
        </w:rPr>
        <w:t>特征分析</w:t>
      </w:r>
    </w:p>
    <w:p w14:paraId="5EE75B64">
      <w:pPr>
        <w:pStyle w:val="75"/>
      </w:pPr>
      <w:r>
        <w:t>总体观察，4类评价维度在感知倾向与感知频率上均呈现差异。不同类型公园并未表现出完全一致的关注焦点，呈现出景观、活动、管理与承载等多维复合感知特征。</w:t>
      </w:r>
    </w:p>
    <w:p w14:paraId="3EFB046F">
      <w:pPr>
        <w:pStyle w:val="75"/>
        <w:rPr>
          <w:rFonts w:cs="方正兰亭准黑_GBK"/>
        </w:rPr>
      </w:pPr>
      <w:r>
        <w:t>从感知频率看（图2A），美学与文化服务的</w:t>
      </w:r>
      <w:r>
        <w:rPr>
          <w:rFonts w:hint="eastAsia"/>
          <w:lang w:val="en-US" w:eastAsia="zh-CN"/>
        </w:rPr>
        <w:t>频率</w:t>
      </w:r>
      <w:r>
        <w:t>最高，并且领先较多，环境感知与恢复性服务次之，空间承载服务最低。感知倾向方面（图2B），4类维度整体均呈积极取向，然而波动程度并不一致，其中美学与文化服务和空间承载服务的积极倾向较高、波动相对较大</w:t>
      </w:r>
      <w:r>
        <w:rPr>
          <w:rFonts w:hint="eastAsia"/>
          <w:lang w:eastAsia="zh-CN"/>
        </w:rPr>
        <w:t>。</w:t>
      </w:r>
      <w:r>
        <w:t>游憩与教育服务的积极倾向最低</w:t>
      </w:r>
      <w:r>
        <w:rPr>
          <w:rFonts w:hint="eastAsia"/>
          <w:lang w:eastAsia="zh-CN"/>
        </w:rPr>
        <w:t>，</w:t>
      </w:r>
      <w:r>
        <w:t>波动度较大，而环境感知与恢复性服务、空间承载服务分别位列第二第三，均波动较小。</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19"/>
      </w:tblGrid>
      <w:tr w14:paraId="17192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10" w:hRule="atLeast"/>
          <w:jc w:val="center"/>
        </w:trPr>
        <w:tc>
          <w:tcPr>
            <w:tcW w:w="4800" w:type="dxa"/>
          </w:tcPr>
          <w:p w14:paraId="102B2FB6">
            <w:pPr>
              <w:jc w:val="both"/>
              <w:rPr>
                <w:rFonts w:eastAsiaTheme="minorEastAsia"/>
                <w:kern w:val="2"/>
              </w:rPr>
            </w:pPr>
            <w:r>
              <w:rPr>
                <w:rFonts w:cs="Times New Roman" w:eastAsiaTheme="minorEastAsia"/>
                <w:kern w:val="2"/>
                <w:lang w:eastAsia="zh-CN"/>
              </w:rPr>
              <w:drawing>
                <wp:inline distT="0" distB="0" distL="114300" distR="114300">
                  <wp:extent cx="3033395" cy="1207770"/>
                  <wp:effectExtent l="0" t="0" r="14605" b="11430"/>
                  <wp:docPr id="11" name="图片 11" descr="D:/仲恺文件/论文/ing/深圳园/ipa/图6感知倾向+频率华黑细文1.8.png图6感知倾向+频率华黑细文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仲恺文件/论文/ing/深圳园/ipa/图6感知倾向+频率华黑细文1.8.png图6感知倾向+频率华黑细文1.8"/>
                          <pic:cNvPicPr>
                            <a:picLocks noChangeAspect="1"/>
                          </pic:cNvPicPr>
                        </pic:nvPicPr>
                        <pic:blipFill>
                          <a:blip r:embed="rId6"/>
                          <a:srcRect t="19" b="19"/>
                          <a:stretch>
                            <a:fillRect/>
                          </a:stretch>
                        </pic:blipFill>
                        <pic:spPr>
                          <a:xfrm>
                            <a:off x="0" y="0"/>
                            <a:ext cx="3033395" cy="1207770"/>
                          </a:xfrm>
                          <a:prstGeom prst="rect">
                            <a:avLst/>
                          </a:prstGeom>
                        </pic:spPr>
                      </pic:pic>
                    </a:graphicData>
                  </a:graphic>
                </wp:inline>
              </w:drawing>
            </w:r>
          </w:p>
        </w:tc>
      </w:tr>
    </w:tbl>
    <w:p w14:paraId="04E3B319">
      <w:pPr>
        <w:widowControl w:val="0"/>
        <w:autoSpaceDE w:val="0"/>
        <w:autoSpaceDN w:val="0"/>
        <w:adjustRightInd w:val="0"/>
        <w:spacing w:line="324" w:lineRule="auto"/>
        <w:jc w:val="both"/>
        <w:textAlignment w:val="center"/>
        <w:rPr>
          <w:rFonts w:hint="eastAsia" w:ascii="黑体" w:hAnsi="黑体" w:eastAsia="黑体" w:cs="方正兰亭纤黑_GBK"/>
          <w:color w:val="000000"/>
          <w:sz w:val="13"/>
          <w:szCs w:val="13"/>
          <w:lang w:val="zh-CN" w:eastAsia="zh-CN"/>
        </w:rPr>
      </w:pPr>
      <w:commentRangeStart w:id="12"/>
      <w:r>
        <w:rPr>
          <w:highlight w:val="yellow"/>
        </w:rPr>
        <w:t>图2 总体要素感知频率和感知倾向箱图</w:t>
      </w:r>
      <w:commentRangeEnd w:id="12"/>
      <w:r>
        <w:rPr>
          <w:rStyle w:val="CommentReference"/>
        </w:rPr>
        <w:commentReference w:id="12"/>
      </w:r>
    </w:p>
    <w:p w14:paraId="65D0F531">
      <w:pPr>
        <w:pStyle w:val="75"/>
      </w:pPr>
      <w:r>
        <w:t>从公园类型看（图3），基干公园的感知倾向总体最高，特色公园次之，自然公园相对较低。该结果表明，承担日常公共服务功能的基干公园在设施完备度、可达性与常规维护方面更易形成稳定的正向反馈；特色公园虽能凭借主题性和场景性获得较高关注，然而体验更易受到热点拥挤与活动组织效率影响；自然公园的评价分布更分散，提示其体验质量更依赖游览连续性、基础保障与环境舒适度的协同水平。</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19"/>
      </w:tblGrid>
      <w:tr w14:paraId="56B9C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6" w:type="dxa"/>
          </w:tcPr>
          <w:p w14:paraId="716B7C49">
            <w:pPr>
              <w:jc w:val="both"/>
              <w:rPr>
                <w:rFonts w:eastAsiaTheme="minorEastAsia"/>
                <w:kern w:val="2"/>
              </w:rPr>
            </w:pPr>
            <w:r>
              <w:rPr>
                <w:rFonts w:cs="Times New Roman" w:eastAsiaTheme="minorEastAsia"/>
                <w:kern w:val="2"/>
                <w:sz w:val="22"/>
                <w:shd w:val="clear" w:color="auto" w:fill="FCFCFC"/>
                <w:lang w:eastAsia="zh-CN"/>
              </w:rPr>
              <w:drawing>
                <wp:inline distT="0" distB="0" distL="114300" distR="114300">
                  <wp:extent cx="2811145" cy="2234565"/>
                  <wp:effectExtent l="0" t="0" r="8255" b="13335"/>
                  <wp:docPr id="12" name="图片 12" descr="图7不同类型公园感知倾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7不同类型公园感知倾向"/>
                          <pic:cNvPicPr>
                            <a:picLocks noChangeAspect="1"/>
                          </pic:cNvPicPr>
                        </pic:nvPicPr>
                        <pic:blipFill>
                          <a:blip r:embed="rId7"/>
                          <a:srcRect l="5455" t="4624" r="8453" b="5961"/>
                          <a:stretch>
                            <a:fillRect/>
                          </a:stretch>
                        </pic:blipFill>
                        <pic:spPr>
                          <a:xfrm>
                            <a:off x="0" y="0"/>
                            <a:ext cx="2811145" cy="2234565"/>
                          </a:xfrm>
                          <a:prstGeom prst="rect">
                            <a:avLst/>
                          </a:prstGeom>
                        </pic:spPr>
                      </pic:pic>
                    </a:graphicData>
                  </a:graphic>
                </wp:inline>
              </w:drawing>
            </w:r>
          </w:p>
        </w:tc>
      </w:tr>
    </w:tbl>
    <w:p w14:paraId="507897D8">
      <w:pPr>
        <w:widowControl w:val="0"/>
        <w:autoSpaceDE w:val="0"/>
        <w:autoSpaceDN w:val="0"/>
        <w:adjustRightInd w:val="0"/>
        <w:spacing w:line="324" w:lineRule="auto"/>
        <w:jc w:val="both"/>
        <w:textAlignment w:val="center"/>
        <w:rPr>
          <w:rFonts w:hint="eastAsia" w:ascii="黑体" w:hAnsi="黑体" w:eastAsia="黑体" w:cs="方正兰亭纤黑_GBK"/>
          <w:color w:val="000000"/>
          <w:sz w:val="13"/>
          <w:szCs w:val="13"/>
          <w:lang w:val="zh-CN" w:eastAsia="zh-CN"/>
        </w:rPr>
      </w:pPr>
      <w:r>
        <w:rPr>
          <w:rFonts w:hint="eastAsia" w:ascii="黑体" w:hAnsi="黑体" w:eastAsia="黑体" w:cs="方正兰亭纤黑_GBK"/>
          <w:color w:val="000000"/>
          <w:sz w:val="13"/>
          <w:szCs w:val="13"/>
          <w:lang w:val="zh-CN" w:eastAsia="zh-CN"/>
        </w:rPr>
        <w:t>图3不同类型公园CES感知倾向</w:t>
      </w:r>
    </w:p>
    <w:p w14:paraId="3ED84F24">
      <w:pPr>
        <w:pStyle w:val="77"/>
        <w:ind w:firstLine="340" w:firstLineChars="200"/>
        <w:jc w:val="both"/>
        <w:rPr>
          <w:rFonts w:hint="eastAsia" w:ascii="黑体" w:hAnsi="黑体" w:eastAsia="黑体" w:cs="方正兰亭纤黑_GBK"/>
          <w:b w:val="0"/>
          <w:color w:val="000000"/>
          <w:sz w:val="17"/>
          <w:szCs w:val="17"/>
          <w:lang w:val="en-US"/>
        </w:rPr>
      </w:pPr>
      <w:r>
        <w:rPr>
          <w:rFonts w:ascii="黑体" w:hAnsi="黑体" w:eastAsia="黑体" w:cs="方正兰亭纤黑_GBK"/>
          <w:b w:val="0"/>
          <w:color w:val="000000"/>
          <w:sz w:val="17"/>
          <w:szCs w:val="17"/>
          <w:lang w:val="en-US"/>
        </w:rPr>
        <w:t>进一步结合表6与图4可见，三类公园在评价维度上既存在共性，也存在差异。共性表现为：美学与文化服务在三类公园中均保持较高关注度和较好的正向感知，游憩与教育服务则普遍偏弱。</w:t>
      </w:r>
    </w:p>
    <w:p w14:paraId="1DF45B28">
      <w:pPr>
        <w:pStyle w:val="77"/>
        <w:jc w:val="both"/>
        <w:rPr>
          <w:rFonts w:hint="eastAsia" w:ascii="黑体" w:hAnsi="黑体" w:eastAsia="黑体" w:cs="方正兰亭纤黑_GBK"/>
          <w:color w:val="000000"/>
          <w:sz w:val="13"/>
          <w:szCs w:val="13"/>
          <w:lang w:val="zh-CN"/>
        </w:rPr>
      </w:pPr>
      <w:r>
        <w:rPr>
          <w:rFonts w:hint="eastAsia" w:ascii="黑体" w:hAnsi="黑体" w:eastAsia="黑体" w:cs="方正兰亭纤黑_GBK"/>
          <w:b w:val="0"/>
          <w:color w:val="000000"/>
          <w:sz w:val="13"/>
          <w:szCs w:val="13"/>
          <w:lang w:val="zh-CN"/>
        </w:rPr>
        <w:t xml:space="preserve">表6 </w:t>
      </w:r>
      <w:r>
        <w:rPr>
          <w:rFonts w:hint="eastAsia" w:ascii="黑体" w:hAnsi="黑体" w:eastAsia="黑体" w:cs="方正兰亭纤黑_GBK"/>
          <w:b w:val="0"/>
          <w:color w:val="000000"/>
          <w:sz w:val="13"/>
          <w:szCs w:val="13"/>
          <w:lang w:val="en-US"/>
        </w:rPr>
        <w:t>不同公园CES</w:t>
      </w:r>
      <w:r>
        <w:rPr>
          <w:rFonts w:hint="eastAsia" w:ascii="黑体" w:hAnsi="黑体" w:eastAsia="黑体" w:cs="方正兰亭纤黑_GBK"/>
          <w:b w:val="0"/>
          <w:color w:val="000000"/>
          <w:sz w:val="13"/>
          <w:szCs w:val="13"/>
          <w:lang w:val="zh-CN"/>
        </w:rPr>
        <w:t>感知特征</w:t>
      </w:r>
    </w:p>
    <w:tbl>
      <w:tblPr>
        <w:tblStyle w:val="17"/>
        <w:tblW w:w="44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21"/>
        <w:gridCol w:w="1370"/>
      </w:tblGrid>
      <w:tr w14:paraId="56782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80" w:type="dxa"/>
            <w:tcBorders>
              <w:top w:val="single" w:color="auto" w:sz="4" w:space="0"/>
              <w:left w:val="nil"/>
              <w:bottom w:val="single" w:color="auto" w:sz="4" w:space="0"/>
              <w:right w:val="nil"/>
            </w:tcBorders>
            <w:vAlign w:val="center"/>
          </w:tcPr>
          <w:p w14:paraId="4B431802">
            <w:pPr>
              <w:snapToGrid w:val="0"/>
              <w:jc w:val="both"/>
              <w:rPr>
                <w:rFonts w:eastAsiaTheme="minorEastAsia"/>
                <w:kern w:val="2"/>
                <w:sz w:val="11"/>
                <w:szCs w:val="11"/>
              </w:rPr>
            </w:pPr>
            <w:r>
              <w:rPr>
                <w:rFonts w:eastAsiaTheme="minorEastAsia"/>
                <w:kern w:val="2"/>
                <w:sz w:val="11"/>
                <w:szCs w:val="11"/>
              </w:rPr>
              <w:t>公园类型</w:t>
            </w:r>
          </w:p>
        </w:tc>
        <w:tc>
          <w:tcPr>
            <w:tcW w:w="1721" w:type="dxa"/>
            <w:tcBorders>
              <w:top w:val="single" w:color="auto" w:sz="4" w:space="0"/>
              <w:left w:val="nil"/>
              <w:bottom w:val="single" w:color="auto" w:sz="4" w:space="0"/>
              <w:right w:val="nil"/>
            </w:tcBorders>
            <w:vAlign w:val="center"/>
          </w:tcPr>
          <w:p w14:paraId="7685A2CF">
            <w:pPr>
              <w:snapToGrid w:val="0"/>
              <w:jc w:val="both"/>
              <w:rPr>
                <w:rFonts w:eastAsiaTheme="minorEastAsia"/>
                <w:kern w:val="2"/>
                <w:sz w:val="11"/>
                <w:szCs w:val="11"/>
              </w:rPr>
            </w:pPr>
            <w:r>
              <w:rPr>
                <w:rFonts w:eastAsiaTheme="minorEastAsia"/>
                <w:kern w:val="2"/>
                <w:sz w:val="11"/>
                <w:szCs w:val="11"/>
              </w:rPr>
              <w:t>感知倾向</w:t>
            </w:r>
          </w:p>
        </w:tc>
        <w:tc>
          <w:tcPr>
            <w:tcW w:w="1370" w:type="dxa"/>
            <w:tcBorders>
              <w:top w:val="single" w:color="auto" w:sz="4" w:space="0"/>
              <w:left w:val="nil"/>
              <w:bottom w:val="single" w:color="auto" w:sz="4" w:space="0"/>
              <w:right w:val="nil"/>
            </w:tcBorders>
            <w:vAlign w:val="center"/>
          </w:tcPr>
          <w:p w14:paraId="47620B8E">
            <w:pPr>
              <w:snapToGrid w:val="0"/>
              <w:jc w:val="both"/>
              <w:rPr>
                <w:rFonts w:eastAsiaTheme="minorEastAsia"/>
                <w:kern w:val="2"/>
                <w:sz w:val="11"/>
                <w:szCs w:val="11"/>
              </w:rPr>
            </w:pPr>
            <w:r>
              <w:rPr>
                <w:rFonts w:eastAsiaTheme="minorEastAsia"/>
                <w:kern w:val="2"/>
                <w:sz w:val="11"/>
                <w:szCs w:val="11"/>
              </w:rPr>
              <w:t>感知频率</w:t>
            </w:r>
          </w:p>
        </w:tc>
      </w:tr>
      <w:tr w14:paraId="53CD4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0" w:type="dxa"/>
            <w:tcBorders>
              <w:top w:val="single" w:color="auto" w:sz="4" w:space="0"/>
              <w:left w:val="nil"/>
              <w:bottom w:val="nil"/>
              <w:right w:val="nil"/>
            </w:tcBorders>
            <w:vAlign w:val="center"/>
          </w:tcPr>
          <w:p w14:paraId="340427C8">
            <w:pPr>
              <w:snapToGrid w:val="0"/>
              <w:jc w:val="both"/>
              <w:rPr>
                <w:rFonts w:eastAsiaTheme="minorEastAsia"/>
                <w:kern w:val="2"/>
                <w:sz w:val="11"/>
                <w:szCs w:val="11"/>
              </w:rPr>
            </w:pPr>
            <w:r>
              <w:rPr>
                <w:rFonts w:eastAsiaTheme="minorEastAsia"/>
                <w:kern w:val="2"/>
                <w:sz w:val="11"/>
                <w:szCs w:val="11"/>
              </w:rPr>
              <w:t>特色公园</w:t>
            </w:r>
          </w:p>
        </w:tc>
        <w:tc>
          <w:tcPr>
            <w:tcW w:w="1721" w:type="dxa"/>
            <w:tcBorders>
              <w:top w:val="single" w:color="auto" w:sz="4" w:space="0"/>
              <w:left w:val="nil"/>
              <w:bottom w:val="nil"/>
              <w:right w:val="nil"/>
            </w:tcBorders>
            <w:vAlign w:val="center"/>
          </w:tcPr>
          <w:p w14:paraId="50E52899">
            <w:pPr>
              <w:snapToGrid w:val="0"/>
              <w:jc w:val="both"/>
              <w:rPr>
                <w:rFonts w:eastAsiaTheme="minorEastAsia"/>
                <w:kern w:val="2"/>
                <w:sz w:val="11"/>
                <w:szCs w:val="11"/>
              </w:rPr>
            </w:pPr>
            <w:r>
              <w:rPr>
                <w:rFonts w:eastAsiaTheme="minorEastAsia"/>
                <w:kern w:val="2"/>
                <w:sz w:val="11"/>
                <w:szCs w:val="11"/>
              </w:rPr>
              <w:t>1＞4＞2＞3</w:t>
            </w:r>
          </w:p>
        </w:tc>
        <w:tc>
          <w:tcPr>
            <w:tcW w:w="1370" w:type="dxa"/>
            <w:tcBorders>
              <w:top w:val="single" w:color="auto" w:sz="4" w:space="0"/>
              <w:left w:val="nil"/>
              <w:bottom w:val="nil"/>
              <w:right w:val="nil"/>
            </w:tcBorders>
            <w:vAlign w:val="center"/>
          </w:tcPr>
          <w:p w14:paraId="12B94592">
            <w:pPr>
              <w:snapToGrid w:val="0"/>
              <w:jc w:val="both"/>
              <w:rPr>
                <w:rFonts w:hint="eastAsia" w:eastAsiaTheme="minorEastAsia"/>
                <w:kern w:val="2"/>
                <w:sz w:val="11"/>
                <w:szCs w:val="11"/>
                <w:lang w:eastAsia="zh-CN"/>
              </w:rPr>
            </w:pPr>
            <w:r>
              <w:rPr>
                <w:rFonts w:hint="eastAsia" w:eastAsiaTheme="minorEastAsia"/>
                <w:kern w:val="2"/>
                <w:sz w:val="11"/>
                <w:szCs w:val="11"/>
                <w:lang w:val="en-US" w:eastAsia="zh-CN"/>
              </w:rPr>
              <w:t>3</w:t>
            </w:r>
            <w:r>
              <w:rPr>
                <w:rFonts w:eastAsiaTheme="minorEastAsia"/>
                <w:kern w:val="2"/>
                <w:sz w:val="11"/>
                <w:szCs w:val="11"/>
              </w:rPr>
              <w:t>＞</w:t>
            </w:r>
            <w:r>
              <w:rPr>
                <w:rFonts w:hint="eastAsia" w:eastAsiaTheme="minorEastAsia"/>
                <w:kern w:val="2"/>
                <w:sz w:val="11"/>
                <w:szCs w:val="11"/>
                <w:lang w:val="en-US" w:eastAsia="zh-CN"/>
              </w:rPr>
              <w:t>4</w:t>
            </w:r>
            <w:r>
              <w:rPr>
                <w:rFonts w:eastAsiaTheme="minorEastAsia"/>
                <w:kern w:val="2"/>
                <w:sz w:val="11"/>
                <w:szCs w:val="11"/>
              </w:rPr>
              <w:t>＞</w:t>
            </w:r>
            <w:r>
              <w:rPr>
                <w:rFonts w:hint="eastAsia" w:eastAsiaTheme="minorEastAsia"/>
                <w:kern w:val="2"/>
                <w:sz w:val="11"/>
                <w:szCs w:val="11"/>
                <w:lang w:val="en-US" w:eastAsia="zh-CN"/>
              </w:rPr>
              <w:t>1</w:t>
            </w:r>
            <w:r>
              <w:rPr>
                <w:rFonts w:eastAsiaTheme="minorEastAsia"/>
                <w:kern w:val="2"/>
                <w:sz w:val="11"/>
                <w:szCs w:val="11"/>
              </w:rPr>
              <w:t>＞</w:t>
            </w:r>
            <w:r>
              <w:rPr>
                <w:rFonts w:hint="eastAsia" w:eastAsiaTheme="minorEastAsia"/>
                <w:kern w:val="2"/>
                <w:sz w:val="11"/>
                <w:szCs w:val="11"/>
                <w:lang w:val="en-US" w:eastAsia="zh-CN"/>
              </w:rPr>
              <w:t>2</w:t>
            </w:r>
          </w:p>
        </w:tc>
      </w:tr>
      <w:tr w14:paraId="5315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0" w:type="dxa"/>
            <w:tcBorders>
              <w:top w:val="nil"/>
              <w:left w:val="nil"/>
              <w:bottom w:val="nil"/>
              <w:right w:val="nil"/>
            </w:tcBorders>
            <w:vAlign w:val="center"/>
          </w:tcPr>
          <w:p w14:paraId="13A3A23C">
            <w:pPr>
              <w:snapToGrid w:val="0"/>
              <w:jc w:val="both"/>
              <w:rPr>
                <w:rFonts w:eastAsiaTheme="minorEastAsia"/>
                <w:kern w:val="2"/>
                <w:sz w:val="11"/>
                <w:szCs w:val="11"/>
              </w:rPr>
            </w:pPr>
            <w:r>
              <w:rPr>
                <w:rFonts w:eastAsiaTheme="minorEastAsia"/>
                <w:kern w:val="2"/>
                <w:sz w:val="11"/>
                <w:szCs w:val="11"/>
              </w:rPr>
              <w:t>基干公园</w:t>
            </w:r>
          </w:p>
        </w:tc>
        <w:tc>
          <w:tcPr>
            <w:tcW w:w="1721" w:type="dxa"/>
            <w:tcBorders>
              <w:top w:val="nil"/>
              <w:left w:val="nil"/>
              <w:bottom w:val="nil"/>
              <w:right w:val="nil"/>
            </w:tcBorders>
            <w:vAlign w:val="center"/>
          </w:tcPr>
          <w:p w14:paraId="0A95E294">
            <w:pPr>
              <w:snapToGrid w:val="0"/>
              <w:jc w:val="both"/>
              <w:rPr>
                <w:rFonts w:eastAsiaTheme="minorEastAsia"/>
                <w:kern w:val="2"/>
                <w:sz w:val="11"/>
                <w:szCs w:val="11"/>
              </w:rPr>
            </w:pPr>
            <w:r>
              <w:rPr>
                <w:rFonts w:eastAsiaTheme="minorEastAsia"/>
                <w:kern w:val="2"/>
                <w:sz w:val="11"/>
                <w:szCs w:val="11"/>
              </w:rPr>
              <w:t>1＞4＞2＞3</w:t>
            </w:r>
          </w:p>
        </w:tc>
        <w:tc>
          <w:tcPr>
            <w:tcW w:w="1370" w:type="dxa"/>
            <w:tcBorders>
              <w:top w:val="nil"/>
              <w:left w:val="nil"/>
              <w:bottom w:val="nil"/>
              <w:right w:val="nil"/>
            </w:tcBorders>
            <w:vAlign w:val="center"/>
          </w:tcPr>
          <w:p w14:paraId="56C459E2">
            <w:pPr>
              <w:snapToGrid w:val="0"/>
              <w:jc w:val="both"/>
              <w:rPr>
                <w:rFonts w:eastAsiaTheme="minorEastAsia"/>
                <w:kern w:val="2"/>
                <w:sz w:val="11"/>
                <w:szCs w:val="11"/>
              </w:rPr>
            </w:pPr>
            <w:r>
              <w:rPr>
                <w:rFonts w:eastAsiaTheme="minorEastAsia"/>
                <w:kern w:val="2"/>
                <w:sz w:val="11"/>
                <w:szCs w:val="11"/>
              </w:rPr>
              <w:t>1＞4＞2＞3</w:t>
            </w:r>
          </w:p>
        </w:tc>
      </w:tr>
      <w:tr w14:paraId="7A84F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0" w:type="dxa"/>
            <w:tcBorders>
              <w:top w:val="nil"/>
              <w:left w:val="nil"/>
              <w:bottom w:val="single" w:color="auto" w:sz="4" w:space="0"/>
              <w:right w:val="nil"/>
            </w:tcBorders>
            <w:vAlign w:val="center"/>
          </w:tcPr>
          <w:p w14:paraId="34AE9C0E">
            <w:pPr>
              <w:snapToGrid w:val="0"/>
              <w:jc w:val="both"/>
              <w:rPr>
                <w:rFonts w:eastAsiaTheme="minorEastAsia"/>
                <w:kern w:val="2"/>
                <w:sz w:val="11"/>
                <w:szCs w:val="11"/>
              </w:rPr>
            </w:pPr>
            <w:r>
              <w:rPr>
                <w:rFonts w:eastAsiaTheme="minorEastAsia"/>
                <w:kern w:val="2"/>
                <w:sz w:val="11"/>
                <w:szCs w:val="11"/>
              </w:rPr>
              <w:t>自然公园</w:t>
            </w:r>
          </w:p>
        </w:tc>
        <w:tc>
          <w:tcPr>
            <w:tcW w:w="1721" w:type="dxa"/>
            <w:tcBorders>
              <w:top w:val="nil"/>
              <w:left w:val="nil"/>
              <w:bottom w:val="single" w:color="auto" w:sz="4" w:space="0"/>
              <w:right w:val="nil"/>
            </w:tcBorders>
            <w:vAlign w:val="center"/>
          </w:tcPr>
          <w:p w14:paraId="6322FB22">
            <w:pPr>
              <w:snapToGrid w:val="0"/>
              <w:jc w:val="both"/>
              <w:rPr>
                <w:rFonts w:eastAsiaTheme="minorEastAsia"/>
                <w:kern w:val="2"/>
                <w:sz w:val="11"/>
                <w:szCs w:val="11"/>
              </w:rPr>
            </w:pPr>
            <w:r>
              <w:rPr>
                <w:rFonts w:eastAsiaTheme="minorEastAsia"/>
                <w:kern w:val="2"/>
                <w:sz w:val="11"/>
                <w:szCs w:val="11"/>
              </w:rPr>
              <w:t>2＞1＞4＞3</w:t>
            </w:r>
          </w:p>
        </w:tc>
        <w:tc>
          <w:tcPr>
            <w:tcW w:w="1370" w:type="dxa"/>
            <w:tcBorders>
              <w:top w:val="nil"/>
              <w:left w:val="nil"/>
              <w:bottom w:val="single" w:color="auto" w:sz="4" w:space="0"/>
              <w:right w:val="nil"/>
            </w:tcBorders>
            <w:vAlign w:val="center"/>
          </w:tcPr>
          <w:p w14:paraId="4A353929">
            <w:pPr>
              <w:snapToGrid w:val="0"/>
              <w:jc w:val="both"/>
              <w:rPr>
                <w:rFonts w:eastAsiaTheme="minorEastAsia"/>
                <w:kern w:val="2"/>
                <w:sz w:val="11"/>
                <w:szCs w:val="11"/>
              </w:rPr>
            </w:pPr>
            <w:r>
              <w:rPr>
                <w:rFonts w:eastAsiaTheme="minorEastAsia"/>
                <w:kern w:val="2"/>
                <w:sz w:val="11"/>
                <w:szCs w:val="11"/>
              </w:rPr>
              <w:t>3＞1＞4＞2</w:t>
            </w:r>
          </w:p>
        </w:tc>
      </w:tr>
    </w:tbl>
    <w:p w14:paraId="078D33C8">
      <w:pPr>
        <w:pStyle w:val="75"/>
        <w:ind w:firstLine="260"/>
        <w:rPr>
          <w:rFonts w:cs="黑体"/>
          <w:bCs/>
          <w:color w:val="auto"/>
          <w:sz w:val="13"/>
          <w:szCs w:val="13"/>
        </w:rPr>
      </w:pPr>
      <w:r>
        <w:rPr>
          <w:rFonts w:cs="黑体"/>
          <w:bCs/>
          <w:color w:val="auto"/>
          <w:sz w:val="13"/>
          <w:szCs w:val="13"/>
        </w:rPr>
        <w:t>注：1.美学与文化服务，2.环境感知与恢复性服务，3.游憩与教育服务，4.空间承载服务</w:t>
      </w:r>
    </w:p>
    <w:p w14:paraId="3F3FA249">
      <w:pPr>
        <w:pStyle w:val="75"/>
        <w:rPr>
          <w:rFonts w:hint="eastAsia"/>
          <w:lang w:val="en-US" w:eastAsia="zh-CN"/>
        </w:rPr>
      </w:pPr>
      <w:r>
        <w:rPr>
          <w:rFonts w:hint="eastAsia"/>
          <w:lang w:val="en-US" w:eastAsia="zh-CN"/>
        </w:rPr>
        <w:t>感知倾向方面差异表现为：特色公园在空间承载和美学与文化方面表现更突出；基干公园的各维度分布较为均衡；自然公园的环境感知与恢复性服务较高，美学与文化服务次之。三类公园的游憩与教育服务均较低。</w:t>
      </w:r>
    </w:p>
    <w:p w14:paraId="07EFFB5C">
      <w:pPr>
        <w:pStyle w:val="75"/>
        <w:rPr>
          <w:rFonts w:hint="eastAsia"/>
          <w:lang w:val="en-US" w:eastAsia="zh-CN"/>
        </w:rPr>
      </w:pPr>
      <w:r>
        <w:rPr>
          <w:rFonts w:hint="eastAsia"/>
          <w:lang w:val="en-US" w:eastAsia="zh-CN"/>
        </w:rPr>
        <w:t>感知频率方面差异表现为：特色公园在游憩与教育服务表现最突出，美学与文化服务次之，而环境感知与恢复性服务最弱；基干公园则为美学与文化服务最突出，空间承载服务次之，并且波动最大；自然公园在空间承载服务方面最为突出，美学与文化服务次之，游憩与教育方面在三类公园中最弱。</w:t>
      </w:r>
    </w:p>
    <w:p w14:paraId="1A26E3E8">
      <w:pPr>
        <w:pStyle w:val="75"/>
        <w:ind w:firstLine="260"/>
        <w:rPr>
          <w:rFonts w:cs="黑体"/>
          <w:bCs/>
          <w:color w:val="auto"/>
          <w:sz w:val="13"/>
          <w:szCs w:val="13"/>
        </w:rPr>
      </w:pPr>
    </w:p>
    <w:tbl>
      <w:tblPr>
        <w:tblStyle w:val="17"/>
        <w:tblW w:w="47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19"/>
      </w:tblGrid>
      <w:tr w14:paraId="60228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01" w:type="dxa"/>
          </w:tcPr>
          <w:p w14:paraId="4E2FD29B">
            <w:pPr>
              <w:jc w:val="both"/>
              <w:rPr>
                <w:rFonts w:eastAsiaTheme="minorEastAsia"/>
                <w:kern w:val="2"/>
              </w:rPr>
            </w:pPr>
            <w:r>
              <w:rPr>
                <w:rFonts w:cs="Times New Roman" w:eastAsiaTheme="minorEastAsia"/>
                <w:kern w:val="2"/>
                <w:lang w:eastAsia="zh-CN"/>
              </w:rPr>
              <w:drawing>
                <wp:inline distT="0" distB="0" distL="114300" distR="114300">
                  <wp:extent cx="2924810" cy="1175385"/>
                  <wp:effectExtent l="0" t="0" r="8890" b="5715"/>
                  <wp:docPr id="13" name="图片 13" descr="三类频率倾向华文细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三类频率倾向华文细黑"/>
                          <pic:cNvPicPr>
                            <a:picLocks noChangeAspect="1"/>
                          </pic:cNvPicPr>
                        </pic:nvPicPr>
                        <pic:blipFill>
                          <a:blip r:embed="rId8"/>
                          <a:stretch>
                            <a:fillRect/>
                          </a:stretch>
                        </pic:blipFill>
                        <pic:spPr>
                          <a:xfrm>
                            <a:off x="0" y="0"/>
                            <a:ext cx="2924810" cy="1175385"/>
                          </a:xfrm>
                          <a:prstGeom prst="rect">
                            <a:avLst/>
                          </a:prstGeom>
                        </pic:spPr>
                      </pic:pic>
                    </a:graphicData>
                  </a:graphic>
                </wp:inline>
              </w:drawing>
            </w:r>
          </w:p>
        </w:tc>
      </w:tr>
    </w:tbl>
    <w:p w14:paraId="29B20D3C">
      <w:pPr>
        <w:widowControl w:val="0"/>
        <w:autoSpaceDE w:val="0"/>
        <w:autoSpaceDN w:val="0"/>
        <w:adjustRightInd w:val="0"/>
        <w:spacing w:line="324" w:lineRule="auto"/>
        <w:jc w:val="both"/>
        <w:textAlignment w:val="center"/>
        <w:rPr>
          <w:rFonts w:hint="eastAsia" w:ascii="黑体" w:hAnsi="黑体" w:eastAsia="黑体" w:cs="方正兰亭纤黑_GBK"/>
          <w:color w:val="000000"/>
          <w:sz w:val="13"/>
          <w:szCs w:val="13"/>
          <w:lang w:val="zh-CN" w:eastAsia="zh-CN"/>
        </w:rPr>
      </w:pPr>
      <w:r>
        <w:rPr>
          <w:rFonts w:hint="eastAsia" w:ascii="黑体" w:hAnsi="黑体" w:eastAsia="黑体" w:cs="方正兰亭纤黑_GBK"/>
          <w:color w:val="000000"/>
          <w:sz w:val="13"/>
          <w:szCs w:val="13"/>
          <w:lang w:val="zh-CN" w:eastAsia="zh-CN"/>
        </w:rPr>
        <w:t>图4不同类型公园CES要素感知倾向与感知频率</w:t>
      </w:r>
    </w:p>
    <w:p w14:paraId="033DC779">
      <w:pPr>
        <w:widowControl w:val="0"/>
        <w:autoSpaceDE w:val="0"/>
        <w:autoSpaceDN w:val="0"/>
        <w:adjustRightInd w:val="0"/>
        <w:spacing w:line="324" w:lineRule="auto"/>
        <w:jc w:val="both"/>
        <w:textAlignment w:val="center"/>
        <w:rPr>
          <w:rFonts w:hint="eastAsia" w:ascii="黑体" w:hAnsi="黑体" w:eastAsia="黑体" w:cs="方正兰亭准黑_GBK"/>
          <w:color w:val="000000"/>
          <w:sz w:val="17"/>
          <w:szCs w:val="17"/>
          <w:lang w:eastAsia="zh-CN"/>
        </w:rPr>
      </w:pPr>
      <w:r>
        <w:rPr>
          <w:rFonts w:hint="eastAsia" w:ascii="黑体" w:hAnsi="黑体" w:eastAsia="黑体" w:cs="方正兰亭准黑_GBK"/>
          <w:color w:val="000000"/>
          <w:sz w:val="17"/>
          <w:szCs w:val="17"/>
          <w:lang w:eastAsia="zh-CN"/>
        </w:rPr>
        <w:t>2.2  CES主要驱动要素提取</w:t>
      </w:r>
    </w:p>
    <w:p w14:paraId="211B0BD5">
      <w:pPr>
        <w:pStyle w:val="75"/>
      </w:pPr>
      <w:r>
        <w:t>为识别影响总体感知倾向的关键机制，本文将分析尺度从评价维度下沉至10项评价要素层面，以总体感知倾向为因变量</w:t>
      </w:r>
      <w:r>
        <w:rPr>
          <w:rStyle w:val="23"/>
          <w:rFonts w:hint="eastAsia"/>
          <w:sz w:val="17"/>
          <w:szCs w:val="17"/>
          <w:lang w:eastAsia="zh-CN"/>
        </w:rPr>
        <w:t>，</w:t>
      </w:r>
      <w:r>
        <w:rPr>
          <w:rStyle w:val="23"/>
          <w:rFonts w:hint="eastAsia"/>
          <w:sz w:val="17"/>
          <w:szCs w:val="17"/>
          <w:lang w:val="en-US" w:eastAsia="zh-CN"/>
        </w:rPr>
        <w:t>十要素的感知频率作为自变量，</w:t>
      </w:r>
      <w:r>
        <w:t>建立岭回归模型。岭回归分析结果表明（表7），文化遗产服务（β=</w:t>
      </w:r>
      <w:r>
        <w:rPr>
          <w:rFonts w:hint="eastAsia"/>
          <w:lang w:val="en-US" w:eastAsia="zh-CN"/>
        </w:rPr>
        <w:t>0.489</w:t>
      </w:r>
      <w:r>
        <w:t>，p&lt;0.001）、空间开敞与通行服务（β=0.3</w:t>
      </w:r>
      <w:r>
        <w:rPr>
          <w:rFonts w:hint="eastAsia"/>
          <w:lang w:val="en-US" w:eastAsia="zh-CN"/>
        </w:rPr>
        <w:t>62</w:t>
      </w:r>
      <w:r>
        <w:t>，p&lt;0.001）均与总体感知倾向呈显著正相关，提示二者对供给侧体验绩效具有较强解释力；可达性与保障服务呈显著负向关联（β=-0.2</w:t>
      </w:r>
      <w:r>
        <w:rPr>
          <w:rFonts w:hint="eastAsia"/>
          <w:lang w:val="en-US" w:eastAsia="zh-CN"/>
        </w:rPr>
        <w:t>69</w:t>
      </w:r>
      <w:r>
        <w:t>，p</w:t>
      </w:r>
      <w:r>
        <w:rPr>
          <w:rFonts w:hint="eastAsia"/>
          <w:lang w:val="en-US" w:eastAsia="zh-CN"/>
        </w:rPr>
        <w:t>=</w:t>
      </w:r>
      <w:r>
        <w:t>0.013），提示其基础保障绩效波动可能抑制整体感知倾向并形成“短板效应”。因此讨论将聚焦于岭回归所揭示的，由文化遗产、空间承载及可达性服务构成的核心机制。</w:t>
      </w:r>
    </w:p>
    <w:p w14:paraId="30F8D44B">
      <w:pPr>
        <w:widowControl w:val="0"/>
        <w:autoSpaceDE w:val="0"/>
        <w:autoSpaceDN w:val="0"/>
        <w:adjustRightInd w:val="0"/>
        <w:spacing w:line="324" w:lineRule="auto"/>
        <w:jc w:val="both"/>
        <w:textAlignment w:val="center"/>
        <w:rPr>
          <w:rFonts w:hint="eastAsia" w:ascii="黑体" w:hAnsi="黑体" w:eastAsia="黑体" w:cs="方正兰亭纤黑_GBK"/>
          <w:color w:val="000000"/>
          <w:sz w:val="13"/>
          <w:szCs w:val="13"/>
          <w:lang w:val="zh-CN" w:eastAsia="zh-CN"/>
        </w:rPr>
      </w:pPr>
      <w:r>
        <w:rPr>
          <w:rFonts w:hint="eastAsia" w:ascii="黑体" w:hAnsi="黑体" w:eastAsia="黑体" w:cs="方正兰亭纤黑_GBK"/>
          <w:color w:val="000000"/>
          <w:sz w:val="13"/>
          <w:szCs w:val="13"/>
          <w:lang w:val="zh-CN" w:eastAsia="zh-CN"/>
        </w:rPr>
        <w:t>表7 岭回归结果表</w:t>
      </w:r>
    </w:p>
    <w:tbl>
      <w:tblPr>
        <w:tblStyle w:val="17"/>
        <w:tblW w:w="45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4"/>
        <w:gridCol w:w="900"/>
        <w:gridCol w:w="709"/>
        <w:gridCol w:w="800"/>
        <w:gridCol w:w="611"/>
        <w:gridCol w:w="706"/>
      </w:tblGrid>
      <w:tr w14:paraId="172AD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864" w:type="dxa"/>
            <w:vMerge w:val="restart"/>
            <w:tcBorders>
              <w:top w:val="single" w:color="auto" w:sz="4" w:space="0"/>
            </w:tcBorders>
            <w:vAlign w:val="center"/>
          </w:tcPr>
          <w:p w14:paraId="7C28ACFA">
            <w:pPr>
              <w:keepNext/>
              <w:snapToGrid w:val="0"/>
              <w:jc w:val="both"/>
              <w:rPr>
                <w:rFonts w:eastAsiaTheme="minorEastAsia"/>
                <w:b/>
                <w:kern w:val="2"/>
                <w:sz w:val="11"/>
                <w:szCs w:val="11"/>
              </w:rPr>
            </w:pPr>
            <w:r>
              <w:rPr>
                <w:rFonts w:eastAsiaTheme="minorEastAsia"/>
                <w:b/>
                <w:kern w:val="2"/>
                <w:sz w:val="11"/>
                <w:szCs w:val="11"/>
              </w:rPr>
              <w:t>CES评价要素</w:t>
            </w:r>
          </w:p>
        </w:tc>
        <w:tc>
          <w:tcPr>
            <w:tcW w:w="1609" w:type="dxa"/>
            <w:gridSpan w:val="2"/>
            <w:tcBorders>
              <w:top w:val="single" w:color="auto" w:sz="4" w:space="0"/>
              <w:bottom w:val="single" w:color="auto" w:sz="4" w:space="0"/>
            </w:tcBorders>
            <w:vAlign w:val="center"/>
          </w:tcPr>
          <w:p w14:paraId="1CA82BAE">
            <w:pPr>
              <w:keepNext/>
              <w:snapToGrid w:val="0"/>
              <w:jc w:val="both"/>
              <w:rPr>
                <w:rFonts w:eastAsiaTheme="minorEastAsia"/>
                <w:b/>
                <w:kern w:val="2"/>
                <w:sz w:val="11"/>
                <w:szCs w:val="11"/>
              </w:rPr>
            </w:pPr>
            <w:r>
              <w:rPr>
                <w:rFonts w:eastAsiaTheme="minorEastAsia"/>
                <w:b/>
                <w:kern w:val="2"/>
                <w:sz w:val="11"/>
                <w:szCs w:val="11"/>
              </w:rPr>
              <w:t>非标准化系数</w:t>
            </w:r>
          </w:p>
        </w:tc>
        <w:tc>
          <w:tcPr>
            <w:tcW w:w="800" w:type="dxa"/>
            <w:tcBorders>
              <w:top w:val="single" w:color="auto" w:sz="4" w:space="0"/>
              <w:bottom w:val="single" w:color="auto" w:sz="4" w:space="0"/>
            </w:tcBorders>
            <w:vAlign w:val="center"/>
          </w:tcPr>
          <w:p w14:paraId="269DBF80">
            <w:pPr>
              <w:keepNext/>
              <w:snapToGrid w:val="0"/>
              <w:jc w:val="both"/>
              <w:rPr>
                <w:rFonts w:eastAsiaTheme="minorEastAsia"/>
                <w:b/>
                <w:kern w:val="2"/>
                <w:sz w:val="11"/>
                <w:szCs w:val="11"/>
              </w:rPr>
            </w:pPr>
            <w:r>
              <w:rPr>
                <w:rFonts w:eastAsiaTheme="minorEastAsia"/>
                <w:b/>
                <w:kern w:val="2"/>
                <w:sz w:val="11"/>
                <w:szCs w:val="11"/>
              </w:rPr>
              <w:t>标准化系数</w:t>
            </w:r>
          </w:p>
        </w:tc>
        <w:tc>
          <w:tcPr>
            <w:tcW w:w="611" w:type="dxa"/>
            <w:vMerge w:val="restart"/>
            <w:tcBorders>
              <w:top w:val="single" w:color="auto" w:sz="4" w:space="0"/>
            </w:tcBorders>
            <w:vAlign w:val="center"/>
          </w:tcPr>
          <w:p w14:paraId="16DBE4AD">
            <w:pPr>
              <w:keepNext/>
              <w:snapToGrid w:val="0"/>
              <w:jc w:val="both"/>
              <w:rPr>
                <w:rFonts w:eastAsiaTheme="minorEastAsia"/>
                <w:b/>
                <w:kern w:val="2"/>
                <w:sz w:val="11"/>
                <w:szCs w:val="11"/>
              </w:rPr>
            </w:pPr>
            <w:r>
              <w:rPr>
                <w:rFonts w:eastAsiaTheme="minorEastAsia"/>
                <w:b/>
                <w:kern w:val="2"/>
                <w:sz w:val="11"/>
                <w:szCs w:val="11"/>
              </w:rPr>
              <w:t>t</w:t>
            </w:r>
          </w:p>
        </w:tc>
        <w:tc>
          <w:tcPr>
            <w:tcW w:w="706" w:type="dxa"/>
            <w:vMerge w:val="restart"/>
            <w:tcBorders>
              <w:top w:val="single" w:color="auto" w:sz="4" w:space="0"/>
            </w:tcBorders>
            <w:vAlign w:val="center"/>
          </w:tcPr>
          <w:p w14:paraId="71A89DEF">
            <w:pPr>
              <w:keepNext/>
              <w:snapToGrid w:val="0"/>
              <w:jc w:val="both"/>
              <w:rPr>
                <w:rFonts w:eastAsiaTheme="minorEastAsia"/>
                <w:b/>
                <w:kern w:val="2"/>
                <w:sz w:val="11"/>
                <w:szCs w:val="11"/>
              </w:rPr>
            </w:pPr>
            <w:r>
              <w:rPr>
                <w:rFonts w:eastAsiaTheme="minorEastAsia"/>
                <w:b/>
                <w:kern w:val="2"/>
                <w:sz w:val="11"/>
                <w:szCs w:val="11"/>
              </w:rPr>
              <w:t>显著性(p)</w:t>
            </w:r>
          </w:p>
        </w:tc>
      </w:tr>
      <w:tr w14:paraId="1CB91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864" w:type="dxa"/>
            <w:vMerge w:val="continue"/>
            <w:tcBorders>
              <w:bottom w:val="single" w:color="auto" w:sz="4" w:space="0"/>
            </w:tcBorders>
            <w:vAlign w:val="center"/>
          </w:tcPr>
          <w:p w14:paraId="35EF2B9F">
            <w:pPr>
              <w:keepNext/>
              <w:snapToGrid w:val="0"/>
              <w:jc w:val="both"/>
              <w:rPr>
                <w:rFonts w:eastAsiaTheme="minorEastAsia"/>
                <w:b/>
                <w:kern w:val="2"/>
                <w:sz w:val="11"/>
                <w:szCs w:val="11"/>
              </w:rPr>
            </w:pPr>
          </w:p>
        </w:tc>
        <w:tc>
          <w:tcPr>
            <w:tcW w:w="900" w:type="dxa"/>
            <w:tcBorders>
              <w:top w:val="single" w:color="auto" w:sz="4" w:space="0"/>
              <w:bottom w:val="single" w:color="auto" w:sz="4" w:space="0"/>
            </w:tcBorders>
            <w:vAlign w:val="center"/>
          </w:tcPr>
          <w:p w14:paraId="4777BE54">
            <w:pPr>
              <w:keepNext/>
              <w:snapToGrid w:val="0"/>
              <w:jc w:val="both"/>
              <w:rPr>
                <w:rFonts w:eastAsiaTheme="minorEastAsia"/>
                <w:b/>
                <w:kern w:val="2"/>
                <w:sz w:val="11"/>
                <w:szCs w:val="11"/>
              </w:rPr>
            </w:pPr>
            <w:r>
              <w:rPr>
                <w:rFonts w:eastAsiaTheme="minorEastAsia"/>
                <w:b/>
                <w:kern w:val="2"/>
                <w:sz w:val="11"/>
                <w:szCs w:val="11"/>
              </w:rPr>
              <w:t>回归系数</w:t>
            </w:r>
          </w:p>
          <w:p w14:paraId="5AF3DA72">
            <w:pPr>
              <w:keepNext/>
              <w:snapToGrid w:val="0"/>
              <w:jc w:val="both"/>
              <w:rPr>
                <w:rFonts w:eastAsiaTheme="minorEastAsia"/>
                <w:b/>
                <w:kern w:val="2"/>
                <w:sz w:val="11"/>
                <w:szCs w:val="11"/>
              </w:rPr>
            </w:pPr>
            <w:r>
              <w:rPr>
                <w:rFonts w:eastAsiaTheme="minorEastAsia"/>
                <w:b/>
                <w:kern w:val="2"/>
                <w:sz w:val="11"/>
                <w:szCs w:val="11"/>
              </w:rPr>
              <w:t>（</w:t>
            </w:r>
            <w:r>
              <w:rPr>
                <w:rFonts w:hint="eastAsia" w:eastAsiaTheme="minorEastAsia"/>
                <w:b/>
                <w:kern w:val="2"/>
                <w:sz w:val="11"/>
                <w:szCs w:val="11"/>
                <w:lang w:val="en-US" w:eastAsia="zh-CN"/>
              </w:rPr>
              <w:t>B</w:t>
            </w:r>
            <w:r>
              <w:rPr>
                <w:rFonts w:eastAsiaTheme="minorEastAsia"/>
                <w:b/>
                <w:kern w:val="2"/>
                <w:sz w:val="11"/>
                <w:szCs w:val="11"/>
              </w:rPr>
              <w:t>)</w:t>
            </w:r>
          </w:p>
        </w:tc>
        <w:tc>
          <w:tcPr>
            <w:tcW w:w="709" w:type="dxa"/>
            <w:tcBorders>
              <w:top w:val="single" w:color="auto" w:sz="4" w:space="0"/>
              <w:bottom w:val="single" w:color="auto" w:sz="4" w:space="0"/>
            </w:tcBorders>
            <w:vAlign w:val="center"/>
          </w:tcPr>
          <w:p w14:paraId="5E0979B5">
            <w:pPr>
              <w:keepNext/>
              <w:snapToGrid w:val="0"/>
              <w:jc w:val="both"/>
              <w:rPr>
                <w:rFonts w:eastAsiaTheme="minorEastAsia"/>
                <w:b/>
                <w:kern w:val="2"/>
                <w:sz w:val="11"/>
                <w:szCs w:val="11"/>
              </w:rPr>
            </w:pPr>
            <w:r>
              <w:rPr>
                <w:rFonts w:hint="eastAsia" w:eastAsiaTheme="minorEastAsia"/>
                <w:b/>
                <w:kern w:val="2"/>
                <w:sz w:val="11"/>
                <w:szCs w:val="11"/>
                <w:lang w:val="en-US" w:eastAsia="zh-CN"/>
              </w:rPr>
              <w:t>标准</w:t>
            </w:r>
            <w:r>
              <w:rPr>
                <w:rFonts w:eastAsiaTheme="minorEastAsia"/>
                <w:b/>
                <w:kern w:val="2"/>
                <w:sz w:val="11"/>
                <w:szCs w:val="11"/>
              </w:rPr>
              <w:t>误差</w:t>
            </w:r>
          </w:p>
        </w:tc>
        <w:tc>
          <w:tcPr>
            <w:tcW w:w="800" w:type="dxa"/>
            <w:tcBorders>
              <w:top w:val="single" w:color="auto" w:sz="4" w:space="0"/>
              <w:bottom w:val="single" w:color="auto" w:sz="4" w:space="0"/>
            </w:tcBorders>
            <w:vAlign w:val="center"/>
          </w:tcPr>
          <w:p w14:paraId="6756E91F">
            <w:pPr>
              <w:keepNext/>
              <w:snapToGrid w:val="0"/>
              <w:jc w:val="both"/>
              <w:rPr>
                <w:rFonts w:eastAsiaTheme="minorEastAsia"/>
                <w:b/>
                <w:kern w:val="2"/>
                <w:sz w:val="11"/>
                <w:szCs w:val="11"/>
              </w:rPr>
            </w:pPr>
            <w:r>
              <w:rPr>
                <w:rFonts w:eastAsiaTheme="minorEastAsia"/>
                <w:b/>
                <w:kern w:val="2"/>
                <w:sz w:val="11"/>
                <w:szCs w:val="11"/>
              </w:rPr>
              <w:t>Beta</w:t>
            </w:r>
          </w:p>
        </w:tc>
        <w:tc>
          <w:tcPr>
            <w:tcW w:w="611" w:type="dxa"/>
            <w:vMerge w:val="continue"/>
            <w:tcBorders>
              <w:bottom w:val="single" w:color="auto" w:sz="4" w:space="0"/>
            </w:tcBorders>
            <w:vAlign w:val="center"/>
          </w:tcPr>
          <w:p w14:paraId="2FF3610D">
            <w:pPr>
              <w:keepNext/>
              <w:snapToGrid w:val="0"/>
              <w:jc w:val="both"/>
              <w:rPr>
                <w:rFonts w:eastAsiaTheme="minorEastAsia"/>
                <w:b/>
                <w:kern w:val="2"/>
                <w:sz w:val="11"/>
                <w:szCs w:val="11"/>
              </w:rPr>
            </w:pPr>
          </w:p>
        </w:tc>
        <w:tc>
          <w:tcPr>
            <w:tcW w:w="706" w:type="dxa"/>
            <w:vMerge w:val="continue"/>
            <w:tcBorders>
              <w:bottom w:val="single" w:color="auto" w:sz="4" w:space="0"/>
            </w:tcBorders>
            <w:vAlign w:val="center"/>
          </w:tcPr>
          <w:p w14:paraId="0FCC0CAA">
            <w:pPr>
              <w:keepNext/>
              <w:snapToGrid w:val="0"/>
              <w:jc w:val="both"/>
              <w:rPr>
                <w:rFonts w:eastAsiaTheme="minorEastAsia"/>
                <w:b/>
                <w:kern w:val="2"/>
                <w:sz w:val="11"/>
                <w:szCs w:val="11"/>
              </w:rPr>
            </w:pPr>
          </w:p>
        </w:tc>
      </w:tr>
      <w:tr w14:paraId="0E2AC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Borders>
              <w:top w:val="single" w:color="auto" w:sz="4" w:space="0"/>
            </w:tcBorders>
            <w:vAlign w:val="center"/>
          </w:tcPr>
          <w:p w14:paraId="2E7AFFF5">
            <w:pPr>
              <w:keepNext/>
              <w:snapToGrid w:val="0"/>
              <w:jc w:val="both"/>
              <w:rPr>
                <w:rFonts w:eastAsiaTheme="minorEastAsia"/>
                <w:kern w:val="2"/>
                <w:sz w:val="11"/>
                <w:szCs w:val="11"/>
              </w:rPr>
            </w:pPr>
            <w:r>
              <w:rPr>
                <w:rFonts w:eastAsiaTheme="minorEastAsia"/>
                <w:kern w:val="2"/>
                <w:sz w:val="11"/>
                <w:szCs w:val="11"/>
              </w:rPr>
              <w:t>美学景观服务</w:t>
            </w:r>
          </w:p>
        </w:tc>
        <w:tc>
          <w:tcPr>
            <w:tcW w:w="900" w:type="dxa"/>
            <w:tcBorders>
              <w:top w:val="single" w:color="auto" w:sz="4" w:space="0"/>
            </w:tcBorders>
            <w:vAlign w:val="center"/>
          </w:tcPr>
          <w:p w14:paraId="5625214D">
            <w:pPr>
              <w:keepNext/>
              <w:snapToGrid w:val="0"/>
              <w:jc w:val="both"/>
              <w:rPr>
                <w:rFonts w:eastAsiaTheme="minorEastAsia"/>
                <w:kern w:val="2"/>
                <w:sz w:val="11"/>
                <w:szCs w:val="11"/>
              </w:rPr>
            </w:pPr>
            <w:r>
              <w:rPr>
                <w:rFonts w:eastAsiaTheme="minorEastAsia"/>
                <w:kern w:val="2"/>
                <w:sz w:val="11"/>
                <w:szCs w:val="11"/>
              </w:rPr>
              <w:t>-0.028</w:t>
            </w:r>
          </w:p>
        </w:tc>
        <w:tc>
          <w:tcPr>
            <w:tcW w:w="709" w:type="dxa"/>
            <w:tcBorders>
              <w:top w:val="single" w:color="auto" w:sz="4" w:space="0"/>
            </w:tcBorders>
            <w:vAlign w:val="center"/>
          </w:tcPr>
          <w:p w14:paraId="2F8768FD">
            <w:pPr>
              <w:keepNext/>
              <w:snapToGrid w:val="0"/>
              <w:jc w:val="both"/>
              <w:rPr>
                <w:rFonts w:eastAsiaTheme="minorEastAsia"/>
                <w:kern w:val="2"/>
                <w:sz w:val="11"/>
                <w:szCs w:val="11"/>
              </w:rPr>
            </w:pPr>
            <w:r>
              <w:rPr>
                <w:rFonts w:eastAsiaTheme="minorEastAsia"/>
                <w:kern w:val="2"/>
                <w:sz w:val="11"/>
                <w:szCs w:val="11"/>
              </w:rPr>
              <w:t>0.075</w:t>
            </w:r>
          </w:p>
        </w:tc>
        <w:tc>
          <w:tcPr>
            <w:tcW w:w="800" w:type="dxa"/>
            <w:tcBorders>
              <w:top w:val="single" w:color="auto" w:sz="4" w:space="0"/>
            </w:tcBorders>
            <w:vAlign w:val="center"/>
          </w:tcPr>
          <w:p w14:paraId="58A67AD2">
            <w:pPr>
              <w:keepNext/>
              <w:snapToGrid w:val="0"/>
              <w:jc w:val="both"/>
              <w:rPr>
                <w:rFonts w:eastAsiaTheme="minorEastAsia"/>
                <w:kern w:val="2"/>
                <w:sz w:val="11"/>
                <w:szCs w:val="11"/>
              </w:rPr>
            </w:pPr>
            <w:r>
              <w:rPr>
                <w:rFonts w:eastAsiaTheme="minorEastAsia"/>
                <w:kern w:val="2"/>
                <w:sz w:val="11"/>
                <w:szCs w:val="11"/>
              </w:rPr>
              <w:t>-0.039</w:t>
            </w:r>
          </w:p>
        </w:tc>
        <w:tc>
          <w:tcPr>
            <w:tcW w:w="611" w:type="dxa"/>
            <w:tcBorders>
              <w:top w:val="single" w:color="auto" w:sz="4" w:space="0"/>
            </w:tcBorders>
            <w:vAlign w:val="center"/>
          </w:tcPr>
          <w:p w14:paraId="62A474BA">
            <w:pPr>
              <w:keepNext/>
              <w:snapToGrid w:val="0"/>
              <w:jc w:val="both"/>
              <w:rPr>
                <w:rFonts w:eastAsiaTheme="minorEastAsia"/>
                <w:kern w:val="2"/>
                <w:sz w:val="11"/>
                <w:szCs w:val="11"/>
              </w:rPr>
            </w:pPr>
            <w:r>
              <w:rPr>
                <w:rFonts w:eastAsiaTheme="minorEastAsia"/>
                <w:kern w:val="2"/>
                <w:sz w:val="11"/>
                <w:szCs w:val="11"/>
              </w:rPr>
              <w:t>-0.366</w:t>
            </w:r>
          </w:p>
        </w:tc>
        <w:tc>
          <w:tcPr>
            <w:tcW w:w="706" w:type="dxa"/>
            <w:tcBorders>
              <w:top w:val="single" w:color="auto" w:sz="4" w:space="0"/>
            </w:tcBorders>
            <w:vAlign w:val="center"/>
          </w:tcPr>
          <w:p w14:paraId="23BF507A">
            <w:pPr>
              <w:keepNext/>
              <w:snapToGrid w:val="0"/>
              <w:jc w:val="both"/>
              <w:rPr>
                <w:rFonts w:eastAsiaTheme="minorEastAsia"/>
                <w:kern w:val="2"/>
                <w:sz w:val="11"/>
                <w:szCs w:val="11"/>
              </w:rPr>
            </w:pPr>
            <w:r>
              <w:rPr>
                <w:rFonts w:eastAsiaTheme="minorEastAsia"/>
                <w:kern w:val="2"/>
                <w:sz w:val="11"/>
                <w:szCs w:val="11"/>
              </w:rPr>
              <w:t>0.716</w:t>
            </w:r>
          </w:p>
        </w:tc>
      </w:tr>
      <w:tr w14:paraId="0A86C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vAlign w:val="center"/>
          </w:tcPr>
          <w:p w14:paraId="4B3C0245">
            <w:pPr>
              <w:keepNext/>
              <w:snapToGrid w:val="0"/>
              <w:jc w:val="both"/>
              <w:rPr>
                <w:rFonts w:eastAsiaTheme="minorEastAsia"/>
                <w:kern w:val="2"/>
                <w:sz w:val="11"/>
                <w:szCs w:val="11"/>
              </w:rPr>
            </w:pPr>
            <w:r>
              <w:rPr>
                <w:rFonts w:eastAsiaTheme="minorEastAsia"/>
                <w:kern w:val="2"/>
                <w:sz w:val="11"/>
                <w:szCs w:val="11"/>
              </w:rPr>
              <w:t>文化遗产服务</w:t>
            </w:r>
          </w:p>
        </w:tc>
        <w:tc>
          <w:tcPr>
            <w:tcW w:w="900" w:type="dxa"/>
            <w:vAlign w:val="center"/>
          </w:tcPr>
          <w:p w14:paraId="59B29AB8">
            <w:pPr>
              <w:keepNext/>
              <w:snapToGrid w:val="0"/>
              <w:jc w:val="both"/>
              <w:rPr>
                <w:rFonts w:eastAsiaTheme="minorEastAsia"/>
                <w:kern w:val="2"/>
                <w:sz w:val="11"/>
                <w:szCs w:val="11"/>
              </w:rPr>
            </w:pPr>
            <w:r>
              <w:rPr>
                <w:rFonts w:eastAsiaTheme="minorEastAsia"/>
                <w:kern w:val="2"/>
                <w:sz w:val="11"/>
                <w:szCs w:val="11"/>
              </w:rPr>
              <w:t>0.354</w:t>
            </w:r>
          </w:p>
        </w:tc>
        <w:tc>
          <w:tcPr>
            <w:tcW w:w="709" w:type="dxa"/>
            <w:vAlign w:val="center"/>
          </w:tcPr>
          <w:p w14:paraId="575876B5">
            <w:pPr>
              <w:keepNext/>
              <w:snapToGrid w:val="0"/>
              <w:jc w:val="both"/>
              <w:rPr>
                <w:rFonts w:eastAsiaTheme="minorEastAsia"/>
                <w:kern w:val="2"/>
                <w:sz w:val="11"/>
                <w:szCs w:val="11"/>
              </w:rPr>
            </w:pPr>
            <w:r>
              <w:rPr>
                <w:rFonts w:eastAsiaTheme="minorEastAsia"/>
                <w:kern w:val="2"/>
                <w:sz w:val="11"/>
                <w:szCs w:val="11"/>
              </w:rPr>
              <w:t>0.079</w:t>
            </w:r>
          </w:p>
        </w:tc>
        <w:tc>
          <w:tcPr>
            <w:tcW w:w="800" w:type="dxa"/>
            <w:vAlign w:val="center"/>
          </w:tcPr>
          <w:p w14:paraId="72EF9B29">
            <w:pPr>
              <w:keepNext/>
              <w:snapToGrid w:val="0"/>
              <w:jc w:val="both"/>
              <w:rPr>
                <w:rFonts w:eastAsiaTheme="minorEastAsia"/>
                <w:kern w:val="2"/>
                <w:sz w:val="11"/>
                <w:szCs w:val="11"/>
              </w:rPr>
            </w:pPr>
            <w:r>
              <w:rPr>
                <w:rFonts w:eastAsiaTheme="minorEastAsia"/>
                <w:kern w:val="2"/>
                <w:sz w:val="11"/>
                <w:szCs w:val="11"/>
              </w:rPr>
              <w:t>0.489</w:t>
            </w:r>
          </w:p>
        </w:tc>
        <w:tc>
          <w:tcPr>
            <w:tcW w:w="611" w:type="dxa"/>
            <w:vAlign w:val="center"/>
          </w:tcPr>
          <w:p w14:paraId="4B40F6F0">
            <w:pPr>
              <w:keepNext/>
              <w:snapToGrid w:val="0"/>
              <w:jc w:val="both"/>
              <w:rPr>
                <w:rFonts w:eastAsiaTheme="minorEastAsia"/>
                <w:kern w:val="2"/>
                <w:sz w:val="11"/>
                <w:szCs w:val="11"/>
              </w:rPr>
            </w:pPr>
            <w:r>
              <w:rPr>
                <w:rFonts w:eastAsiaTheme="minorEastAsia"/>
                <w:kern w:val="2"/>
                <w:sz w:val="11"/>
                <w:szCs w:val="11"/>
              </w:rPr>
              <w:t>4.477</w:t>
            </w:r>
          </w:p>
        </w:tc>
        <w:tc>
          <w:tcPr>
            <w:tcW w:w="706" w:type="dxa"/>
            <w:vAlign w:val="center"/>
          </w:tcPr>
          <w:p w14:paraId="0E27E986">
            <w:pPr>
              <w:keepNext/>
              <w:snapToGrid w:val="0"/>
              <w:jc w:val="both"/>
              <w:rPr>
                <w:rFonts w:eastAsiaTheme="minorEastAsia"/>
                <w:kern w:val="2"/>
                <w:sz w:val="11"/>
                <w:szCs w:val="11"/>
              </w:rPr>
            </w:pPr>
            <w:r>
              <w:rPr>
                <w:rFonts w:eastAsiaTheme="minorEastAsia"/>
                <w:kern w:val="2"/>
                <w:sz w:val="11"/>
                <w:szCs w:val="11"/>
              </w:rPr>
              <w:t>0.00</w:t>
            </w:r>
            <w:r>
              <w:rPr>
                <w:rFonts w:hint="eastAsia" w:eastAsiaTheme="minorEastAsia"/>
                <w:kern w:val="2"/>
                <w:sz w:val="11"/>
                <w:szCs w:val="11"/>
                <w:lang w:val="en-US" w:eastAsia="zh-CN"/>
              </w:rPr>
              <w:t>1</w:t>
            </w:r>
            <w:r>
              <w:rPr>
                <w:rFonts w:eastAsiaTheme="minorEastAsia"/>
                <w:kern w:val="2"/>
                <w:sz w:val="11"/>
                <w:szCs w:val="11"/>
              </w:rPr>
              <w:t>***</w:t>
            </w:r>
          </w:p>
        </w:tc>
      </w:tr>
      <w:tr w14:paraId="3FC32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vAlign w:val="center"/>
          </w:tcPr>
          <w:p w14:paraId="6C68538F">
            <w:pPr>
              <w:keepNext/>
              <w:snapToGrid w:val="0"/>
              <w:jc w:val="both"/>
              <w:rPr>
                <w:rFonts w:eastAsiaTheme="minorEastAsia"/>
                <w:kern w:val="2"/>
                <w:sz w:val="11"/>
                <w:szCs w:val="11"/>
              </w:rPr>
            </w:pPr>
            <w:r>
              <w:rPr>
                <w:rFonts w:eastAsiaTheme="minorEastAsia"/>
                <w:kern w:val="2"/>
                <w:sz w:val="11"/>
                <w:szCs w:val="11"/>
              </w:rPr>
              <w:t>可达性与保障服务</w:t>
            </w:r>
          </w:p>
        </w:tc>
        <w:tc>
          <w:tcPr>
            <w:tcW w:w="900" w:type="dxa"/>
            <w:vAlign w:val="center"/>
          </w:tcPr>
          <w:p w14:paraId="48980B85">
            <w:pPr>
              <w:keepNext/>
              <w:snapToGrid w:val="0"/>
              <w:jc w:val="both"/>
              <w:rPr>
                <w:rFonts w:eastAsiaTheme="minorEastAsia"/>
                <w:kern w:val="2"/>
                <w:sz w:val="11"/>
                <w:szCs w:val="11"/>
              </w:rPr>
            </w:pPr>
            <w:r>
              <w:rPr>
                <w:rFonts w:eastAsiaTheme="minorEastAsia"/>
                <w:kern w:val="2"/>
                <w:sz w:val="11"/>
                <w:szCs w:val="11"/>
              </w:rPr>
              <w:t>-0.282</w:t>
            </w:r>
          </w:p>
        </w:tc>
        <w:tc>
          <w:tcPr>
            <w:tcW w:w="709" w:type="dxa"/>
            <w:vAlign w:val="center"/>
          </w:tcPr>
          <w:p w14:paraId="41793F66">
            <w:pPr>
              <w:keepNext/>
              <w:snapToGrid w:val="0"/>
              <w:jc w:val="both"/>
              <w:rPr>
                <w:rFonts w:eastAsiaTheme="minorEastAsia"/>
                <w:kern w:val="2"/>
                <w:sz w:val="11"/>
                <w:szCs w:val="11"/>
              </w:rPr>
            </w:pPr>
            <w:r>
              <w:rPr>
                <w:rFonts w:eastAsiaTheme="minorEastAsia"/>
                <w:kern w:val="2"/>
                <w:sz w:val="11"/>
                <w:szCs w:val="11"/>
              </w:rPr>
              <w:t>0.108</w:t>
            </w:r>
          </w:p>
        </w:tc>
        <w:tc>
          <w:tcPr>
            <w:tcW w:w="800" w:type="dxa"/>
            <w:vAlign w:val="center"/>
          </w:tcPr>
          <w:p w14:paraId="01F6C62B">
            <w:pPr>
              <w:keepNext/>
              <w:snapToGrid w:val="0"/>
              <w:jc w:val="both"/>
              <w:rPr>
                <w:rFonts w:eastAsiaTheme="minorEastAsia"/>
                <w:kern w:val="2"/>
                <w:sz w:val="11"/>
                <w:szCs w:val="11"/>
              </w:rPr>
            </w:pPr>
            <w:r>
              <w:rPr>
                <w:rFonts w:eastAsiaTheme="minorEastAsia"/>
                <w:kern w:val="2"/>
                <w:sz w:val="11"/>
                <w:szCs w:val="11"/>
              </w:rPr>
              <w:t>-0.269</w:t>
            </w:r>
          </w:p>
        </w:tc>
        <w:tc>
          <w:tcPr>
            <w:tcW w:w="611" w:type="dxa"/>
            <w:vAlign w:val="center"/>
          </w:tcPr>
          <w:p w14:paraId="362820BE">
            <w:pPr>
              <w:keepNext/>
              <w:snapToGrid w:val="0"/>
              <w:jc w:val="both"/>
              <w:rPr>
                <w:rFonts w:eastAsiaTheme="minorEastAsia"/>
                <w:kern w:val="2"/>
                <w:sz w:val="11"/>
                <w:szCs w:val="11"/>
              </w:rPr>
            </w:pPr>
            <w:r>
              <w:rPr>
                <w:rFonts w:eastAsiaTheme="minorEastAsia"/>
                <w:kern w:val="2"/>
                <w:sz w:val="11"/>
                <w:szCs w:val="11"/>
              </w:rPr>
              <w:t>-2.61</w:t>
            </w:r>
          </w:p>
        </w:tc>
        <w:tc>
          <w:tcPr>
            <w:tcW w:w="706" w:type="dxa"/>
            <w:vAlign w:val="center"/>
          </w:tcPr>
          <w:p w14:paraId="63E0BF73">
            <w:pPr>
              <w:keepNext/>
              <w:snapToGrid w:val="0"/>
              <w:jc w:val="both"/>
              <w:rPr>
                <w:rFonts w:eastAsiaTheme="minorEastAsia"/>
                <w:kern w:val="2"/>
                <w:sz w:val="11"/>
                <w:szCs w:val="11"/>
              </w:rPr>
            </w:pPr>
            <w:r>
              <w:rPr>
                <w:rFonts w:eastAsiaTheme="minorEastAsia"/>
                <w:kern w:val="2"/>
                <w:sz w:val="11"/>
                <w:szCs w:val="11"/>
              </w:rPr>
              <w:t>0.013**</w:t>
            </w:r>
          </w:p>
        </w:tc>
      </w:tr>
      <w:tr w14:paraId="18B89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vAlign w:val="center"/>
          </w:tcPr>
          <w:p w14:paraId="72ADF695">
            <w:pPr>
              <w:keepNext/>
              <w:snapToGrid w:val="0"/>
              <w:jc w:val="both"/>
              <w:rPr>
                <w:rFonts w:eastAsiaTheme="minorEastAsia"/>
                <w:kern w:val="2"/>
                <w:sz w:val="11"/>
                <w:szCs w:val="11"/>
              </w:rPr>
            </w:pPr>
            <w:r>
              <w:rPr>
                <w:rFonts w:eastAsiaTheme="minorEastAsia"/>
                <w:kern w:val="2"/>
                <w:sz w:val="11"/>
                <w:szCs w:val="11"/>
              </w:rPr>
              <w:t>教育体验服务</w:t>
            </w:r>
          </w:p>
        </w:tc>
        <w:tc>
          <w:tcPr>
            <w:tcW w:w="900" w:type="dxa"/>
            <w:vAlign w:val="center"/>
          </w:tcPr>
          <w:p w14:paraId="17FCB305">
            <w:pPr>
              <w:keepNext/>
              <w:snapToGrid w:val="0"/>
              <w:jc w:val="both"/>
              <w:rPr>
                <w:rFonts w:eastAsiaTheme="minorEastAsia"/>
                <w:kern w:val="2"/>
                <w:sz w:val="11"/>
                <w:szCs w:val="11"/>
              </w:rPr>
            </w:pPr>
            <w:r>
              <w:rPr>
                <w:rFonts w:eastAsiaTheme="minorEastAsia"/>
                <w:kern w:val="2"/>
                <w:sz w:val="11"/>
                <w:szCs w:val="11"/>
              </w:rPr>
              <w:t>-0.018</w:t>
            </w:r>
          </w:p>
        </w:tc>
        <w:tc>
          <w:tcPr>
            <w:tcW w:w="709" w:type="dxa"/>
            <w:vAlign w:val="center"/>
          </w:tcPr>
          <w:p w14:paraId="27FE26B2">
            <w:pPr>
              <w:keepNext/>
              <w:snapToGrid w:val="0"/>
              <w:jc w:val="both"/>
              <w:rPr>
                <w:rFonts w:eastAsiaTheme="minorEastAsia"/>
                <w:kern w:val="2"/>
                <w:sz w:val="11"/>
                <w:szCs w:val="11"/>
              </w:rPr>
            </w:pPr>
            <w:r>
              <w:rPr>
                <w:rFonts w:eastAsiaTheme="minorEastAsia"/>
                <w:kern w:val="2"/>
                <w:sz w:val="11"/>
                <w:szCs w:val="11"/>
              </w:rPr>
              <w:t>0.074</w:t>
            </w:r>
          </w:p>
        </w:tc>
        <w:tc>
          <w:tcPr>
            <w:tcW w:w="800" w:type="dxa"/>
            <w:vAlign w:val="center"/>
          </w:tcPr>
          <w:p w14:paraId="3EBD17AD">
            <w:pPr>
              <w:keepNext/>
              <w:snapToGrid w:val="0"/>
              <w:jc w:val="both"/>
              <w:rPr>
                <w:rFonts w:eastAsiaTheme="minorEastAsia"/>
                <w:kern w:val="2"/>
                <w:sz w:val="11"/>
                <w:szCs w:val="11"/>
              </w:rPr>
            </w:pPr>
            <w:r>
              <w:rPr>
                <w:rFonts w:eastAsiaTheme="minorEastAsia"/>
                <w:kern w:val="2"/>
                <w:sz w:val="11"/>
                <w:szCs w:val="11"/>
              </w:rPr>
              <w:t>-0.025</w:t>
            </w:r>
          </w:p>
        </w:tc>
        <w:tc>
          <w:tcPr>
            <w:tcW w:w="611" w:type="dxa"/>
            <w:vAlign w:val="center"/>
          </w:tcPr>
          <w:p w14:paraId="7702CCAA">
            <w:pPr>
              <w:keepNext/>
              <w:snapToGrid w:val="0"/>
              <w:jc w:val="both"/>
              <w:rPr>
                <w:rFonts w:eastAsiaTheme="minorEastAsia"/>
                <w:kern w:val="2"/>
                <w:sz w:val="11"/>
                <w:szCs w:val="11"/>
              </w:rPr>
            </w:pPr>
            <w:r>
              <w:rPr>
                <w:rFonts w:eastAsiaTheme="minorEastAsia"/>
                <w:kern w:val="2"/>
                <w:sz w:val="11"/>
                <w:szCs w:val="11"/>
              </w:rPr>
              <w:t>-0.242</w:t>
            </w:r>
          </w:p>
        </w:tc>
        <w:tc>
          <w:tcPr>
            <w:tcW w:w="706" w:type="dxa"/>
            <w:vAlign w:val="center"/>
          </w:tcPr>
          <w:p w14:paraId="736B3E73">
            <w:pPr>
              <w:keepNext/>
              <w:snapToGrid w:val="0"/>
              <w:jc w:val="both"/>
              <w:rPr>
                <w:rFonts w:eastAsiaTheme="minorEastAsia"/>
                <w:kern w:val="2"/>
                <w:sz w:val="11"/>
                <w:szCs w:val="11"/>
              </w:rPr>
            </w:pPr>
            <w:r>
              <w:rPr>
                <w:rFonts w:eastAsiaTheme="minorEastAsia"/>
                <w:kern w:val="2"/>
                <w:sz w:val="11"/>
                <w:szCs w:val="11"/>
              </w:rPr>
              <w:t>0.810</w:t>
            </w:r>
          </w:p>
        </w:tc>
      </w:tr>
      <w:tr w14:paraId="7E7A5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vAlign w:val="center"/>
          </w:tcPr>
          <w:p w14:paraId="16E25F69">
            <w:pPr>
              <w:keepNext/>
              <w:snapToGrid w:val="0"/>
              <w:jc w:val="both"/>
              <w:rPr>
                <w:rFonts w:eastAsiaTheme="minorEastAsia"/>
                <w:kern w:val="2"/>
                <w:sz w:val="11"/>
                <w:szCs w:val="11"/>
                <w:lang w:eastAsia="zh-CN"/>
              </w:rPr>
            </w:pPr>
            <w:commentRangeStart w:id="5"/>
            <w:r>
              <w:rPr>
                <w:highlight w:val="yellow"/>
              </w:rPr>
              <w:t>环境与游憩适宜度服务</w:t>
            </w:r>
            <w:commentRangeEnd w:id="5"/>
            <w:r>
              <w:rPr>
                <w:rStyle w:val="CommentReference"/>
              </w:rPr>
              <w:commentReference w:id="5"/>
            </w:r>
          </w:p>
        </w:tc>
        <w:tc>
          <w:tcPr>
            <w:tcW w:w="900" w:type="dxa"/>
            <w:vAlign w:val="center"/>
          </w:tcPr>
          <w:p w14:paraId="450FB934">
            <w:pPr>
              <w:keepNext/>
              <w:snapToGrid w:val="0"/>
              <w:jc w:val="both"/>
              <w:rPr>
                <w:rFonts w:eastAsiaTheme="minorEastAsia"/>
                <w:kern w:val="2"/>
                <w:sz w:val="11"/>
                <w:szCs w:val="11"/>
              </w:rPr>
            </w:pPr>
            <w:r>
              <w:rPr>
                <w:rFonts w:eastAsiaTheme="minorEastAsia"/>
                <w:kern w:val="2"/>
                <w:sz w:val="11"/>
                <w:szCs w:val="11"/>
              </w:rPr>
              <w:t>-0.315</w:t>
            </w:r>
          </w:p>
        </w:tc>
        <w:tc>
          <w:tcPr>
            <w:tcW w:w="709" w:type="dxa"/>
            <w:vAlign w:val="center"/>
          </w:tcPr>
          <w:p w14:paraId="4646FD93">
            <w:pPr>
              <w:keepNext/>
              <w:snapToGrid w:val="0"/>
              <w:jc w:val="both"/>
              <w:rPr>
                <w:rFonts w:eastAsiaTheme="minorEastAsia"/>
                <w:kern w:val="2"/>
                <w:sz w:val="11"/>
                <w:szCs w:val="11"/>
              </w:rPr>
            </w:pPr>
            <w:r>
              <w:rPr>
                <w:rFonts w:eastAsiaTheme="minorEastAsia"/>
                <w:kern w:val="2"/>
                <w:sz w:val="11"/>
                <w:szCs w:val="11"/>
              </w:rPr>
              <w:t>0.184</w:t>
            </w:r>
          </w:p>
        </w:tc>
        <w:tc>
          <w:tcPr>
            <w:tcW w:w="800" w:type="dxa"/>
            <w:vAlign w:val="center"/>
          </w:tcPr>
          <w:p w14:paraId="314C62E1">
            <w:pPr>
              <w:keepNext/>
              <w:snapToGrid w:val="0"/>
              <w:jc w:val="both"/>
              <w:rPr>
                <w:rFonts w:eastAsiaTheme="minorEastAsia"/>
                <w:kern w:val="2"/>
                <w:sz w:val="11"/>
                <w:szCs w:val="11"/>
              </w:rPr>
            </w:pPr>
            <w:r>
              <w:rPr>
                <w:rFonts w:eastAsiaTheme="minorEastAsia"/>
                <w:kern w:val="2"/>
                <w:sz w:val="11"/>
                <w:szCs w:val="11"/>
              </w:rPr>
              <w:t>-0.185</w:t>
            </w:r>
          </w:p>
        </w:tc>
        <w:tc>
          <w:tcPr>
            <w:tcW w:w="611" w:type="dxa"/>
            <w:vAlign w:val="center"/>
          </w:tcPr>
          <w:p w14:paraId="0589A1EB">
            <w:pPr>
              <w:keepNext/>
              <w:snapToGrid w:val="0"/>
              <w:jc w:val="both"/>
              <w:rPr>
                <w:rFonts w:eastAsiaTheme="minorEastAsia"/>
                <w:kern w:val="2"/>
                <w:sz w:val="11"/>
                <w:szCs w:val="11"/>
              </w:rPr>
            </w:pPr>
            <w:r>
              <w:rPr>
                <w:rFonts w:eastAsiaTheme="minorEastAsia"/>
                <w:kern w:val="2"/>
                <w:sz w:val="11"/>
                <w:szCs w:val="11"/>
              </w:rPr>
              <w:t>-1.709</w:t>
            </w:r>
          </w:p>
        </w:tc>
        <w:tc>
          <w:tcPr>
            <w:tcW w:w="706" w:type="dxa"/>
            <w:vAlign w:val="center"/>
          </w:tcPr>
          <w:p w14:paraId="27E9A89A">
            <w:pPr>
              <w:keepNext/>
              <w:snapToGrid w:val="0"/>
              <w:jc w:val="both"/>
              <w:rPr>
                <w:rFonts w:eastAsiaTheme="minorEastAsia"/>
                <w:kern w:val="2"/>
                <w:sz w:val="11"/>
                <w:szCs w:val="11"/>
              </w:rPr>
            </w:pPr>
            <w:r>
              <w:rPr>
                <w:rFonts w:eastAsiaTheme="minorEastAsia"/>
                <w:kern w:val="2"/>
                <w:sz w:val="11"/>
                <w:szCs w:val="11"/>
              </w:rPr>
              <w:t>0.095</w:t>
            </w:r>
          </w:p>
        </w:tc>
      </w:tr>
      <w:tr w14:paraId="131F7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vAlign w:val="center"/>
          </w:tcPr>
          <w:p w14:paraId="05B3212B">
            <w:pPr>
              <w:keepNext/>
              <w:snapToGrid w:val="0"/>
              <w:jc w:val="both"/>
              <w:rPr>
                <w:rFonts w:eastAsiaTheme="minorEastAsia"/>
                <w:kern w:val="2"/>
                <w:sz w:val="11"/>
                <w:szCs w:val="11"/>
              </w:rPr>
            </w:pPr>
            <w:r>
              <w:rPr>
                <w:rFonts w:eastAsiaTheme="minorEastAsia"/>
                <w:kern w:val="2"/>
                <w:sz w:val="11"/>
                <w:szCs w:val="11"/>
              </w:rPr>
              <w:t>沉浸体验服务</w:t>
            </w:r>
          </w:p>
        </w:tc>
        <w:tc>
          <w:tcPr>
            <w:tcW w:w="900" w:type="dxa"/>
            <w:vAlign w:val="center"/>
          </w:tcPr>
          <w:p w14:paraId="6ABA26DD">
            <w:pPr>
              <w:keepNext/>
              <w:snapToGrid w:val="0"/>
              <w:jc w:val="both"/>
              <w:rPr>
                <w:rFonts w:eastAsiaTheme="minorEastAsia"/>
                <w:kern w:val="2"/>
                <w:sz w:val="11"/>
                <w:szCs w:val="11"/>
              </w:rPr>
            </w:pPr>
            <w:r>
              <w:rPr>
                <w:rFonts w:eastAsiaTheme="minorEastAsia"/>
                <w:kern w:val="2"/>
                <w:sz w:val="11"/>
                <w:szCs w:val="11"/>
              </w:rPr>
              <w:t>-0.214</w:t>
            </w:r>
          </w:p>
        </w:tc>
        <w:tc>
          <w:tcPr>
            <w:tcW w:w="709" w:type="dxa"/>
            <w:vAlign w:val="center"/>
          </w:tcPr>
          <w:p w14:paraId="2AF15389">
            <w:pPr>
              <w:keepNext/>
              <w:snapToGrid w:val="0"/>
              <w:jc w:val="both"/>
              <w:rPr>
                <w:rFonts w:eastAsiaTheme="minorEastAsia"/>
                <w:kern w:val="2"/>
                <w:sz w:val="11"/>
                <w:szCs w:val="11"/>
              </w:rPr>
            </w:pPr>
            <w:r>
              <w:rPr>
                <w:rFonts w:eastAsiaTheme="minorEastAsia"/>
                <w:kern w:val="2"/>
                <w:sz w:val="11"/>
                <w:szCs w:val="11"/>
              </w:rPr>
              <w:t>0.247</w:t>
            </w:r>
          </w:p>
        </w:tc>
        <w:tc>
          <w:tcPr>
            <w:tcW w:w="800" w:type="dxa"/>
            <w:vAlign w:val="center"/>
          </w:tcPr>
          <w:p w14:paraId="51F91C9A">
            <w:pPr>
              <w:keepNext/>
              <w:snapToGrid w:val="0"/>
              <w:jc w:val="both"/>
              <w:rPr>
                <w:rFonts w:eastAsiaTheme="minorEastAsia"/>
                <w:kern w:val="2"/>
                <w:sz w:val="11"/>
                <w:szCs w:val="11"/>
              </w:rPr>
            </w:pPr>
            <w:r>
              <w:rPr>
                <w:rFonts w:eastAsiaTheme="minorEastAsia"/>
                <w:kern w:val="2"/>
                <w:sz w:val="11"/>
                <w:szCs w:val="11"/>
              </w:rPr>
              <w:t>-0.093</w:t>
            </w:r>
          </w:p>
        </w:tc>
        <w:tc>
          <w:tcPr>
            <w:tcW w:w="611" w:type="dxa"/>
            <w:vAlign w:val="center"/>
          </w:tcPr>
          <w:p w14:paraId="7B9B19AB">
            <w:pPr>
              <w:keepNext/>
              <w:snapToGrid w:val="0"/>
              <w:jc w:val="both"/>
              <w:rPr>
                <w:rFonts w:eastAsiaTheme="minorEastAsia"/>
                <w:kern w:val="2"/>
                <w:sz w:val="11"/>
                <w:szCs w:val="11"/>
              </w:rPr>
            </w:pPr>
            <w:r>
              <w:rPr>
                <w:rFonts w:eastAsiaTheme="minorEastAsia"/>
                <w:kern w:val="2"/>
                <w:sz w:val="11"/>
                <w:szCs w:val="11"/>
              </w:rPr>
              <w:t>-0.865</w:t>
            </w:r>
          </w:p>
        </w:tc>
        <w:tc>
          <w:tcPr>
            <w:tcW w:w="706" w:type="dxa"/>
            <w:vAlign w:val="center"/>
          </w:tcPr>
          <w:p w14:paraId="3AA3FB1C">
            <w:pPr>
              <w:keepNext/>
              <w:snapToGrid w:val="0"/>
              <w:jc w:val="both"/>
              <w:rPr>
                <w:rFonts w:eastAsiaTheme="minorEastAsia"/>
                <w:kern w:val="2"/>
                <w:sz w:val="11"/>
                <w:szCs w:val="11"/>
              </w:rPr>
            </w:pPr>
            <w:r>
              <w:rPr>
                <w:rFonts w:eastAsiaTheme="minorEastAsia"/>
                <w:kern w:val="2"/>
                <w:sz w:val="11"/>
                <w:szCs w:val="11"/>
              </w:rPr>
              <w:t>0.392</w:t>
            </w:r>
          </w:p>
        </w:tc>
      </w:tr>
      <w:tr w14:paraId="4C442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vAlign w:val="center"/>
          </w:tcPr>
          <w:p w14:paraId="46706D1A">
            <w:pPr>
              <w:keepNext/>
              <w:snapToGrid w:val="0"/>
              <w:jc w:val="both"/>
              <w:rPr>
                <w:rFonts w:eastAsiaTheme="minorEastAsia"/>
                <w:kern w:val="2"/>
                <w:sz w:val="11"/>
                <w:szCs w:val="11"/>
              </w:rPr>
            </w:pPr>
            <w:commentRangeStart w:id="6"/>
            <w:r>
              <w:rPr>
                <w:highlight w:val="yellow"/>
              </w:rPr>
              <w:t>生态健康指标</w:t>
            </w:r>
            <w:commentRangeEnd w:id="6"/>
            <w:r>
              <w:rPr>
                <w:rStyle w:val="CommentReference"/>
              </w:rPr>
              <w:commentReference w:id="6"/>
            </w:r>
          </w:p>
        </w:tc>
        <w:tc>
          <w:tcPr>
            <w:tcW w:w="900" w:type="dxa"/>
            <w:vAlign w:val="center"/>
          </w:tcPr>
          <w:p w14:paraId="56057FFA">
            <w:pPr>
              <w:keepNext/>
              <w:snapToGrid w:val="0"/>
              <w:jc w:val="both"/>
              <w:rPr>
                <w:rFonts w:eastAsiaTheme="minorEastAsia"/>
                <w:kern w:val="2"/>
                <w:sz w:val="11"/>
                <w:szCs w:val="11"/>
              </w:rPr>
            </w:pPr>
            <w:r>
              <w:rPr>
                <w:rFonts w:eastAsiaTheme="minorEastAsia"/>
                <w:kern w:val="2"/>
                <w:sz w:val="11"/>
                <w:szCs w:val="11"/>
              </w:rPr>
              <w:t>0.052</w:t>
            </w:r>
          </w:p>
        </w:tc>
        <w:tc>
          <w:tcPr>
            <w:tcW w:w="709" w:type="dxa"/>
            <w:vAlign w:val="center"/>
          </w:tcPr>
          <w:p w14:paraId="6701A39D">
            <w:pPr>
              <w:keepNext/>
              <w:snapToGrid w:val="0"/>
              <w:jc w:val="both"/>
              <w:rPr>
                <w:rFonts w:eastAsiaTheme="minorEastAsia"/>
                <w:kern w:val="2"/>
                <w:sz w:val="11"/>
                <w:szCs w:val="11"/>
              </w:rPr>
            </w:pPr>
            <w:r>
              <w:rPr>
                <w:rFonts w:eastAsiaTheme="minorEastAsia"/>
                <w:kern w:val="2"/>
                <w:sz w:val="11"/>
                <w:szCs w:val="11"/>
              </w:rPr>
              <w:t>0.13</w:t>
            </w:r>
          </w:p>
        </w:tc>
        <w:tc>
          <w:tcPr>
            <w:tcW w:w="800" w:type="dxa"/>
            <w:vAlign w:val="center"/>
          </w:tcPr>
          <w:p w14:paraId="26567F79">
            <w:pPr>
              <w:keepNext/>
              <w:snapToGrid w:val="0"/>
              <w:jc w:val="both"/>
              <w:rPr>
                <w:rFonts w:eastAsiaTheme="minorEastAsia"/>
                <w:kern w:val="2"/>
                <w:sz w:val="11"/>
                <w:szCs w:val="11"/>
              </w:rPr>
            </w:pPr>
            <w:r>
              <w:rPr>
                <w:rFonts w:eastAsiaTheme="minorEastAsia"/>
                <w:kern w:val="2"/>
                <w:sz w:val="11"/>
                <w:szCs w:val="11"/>
              </w:rPr>
              <w:t>0.042</w:t>
            </w:r>
          </w:p>
        </w:tc>
        <w:tc>
          <w:tcPr>
            <w:tcW w:w="611" w:type="dxa"/>
            <w:vAlign w:val="center"/>
          </w:tcPr>
          <w:p w14:paraId="2DC25C46">
            <w:pPr>
              <w:keepNext/>
              <w:snapToGrid w:val="0"/>
              <w:jc w:val="both"/>
              <w:rPr>
                <w:rFonts w:eastAsiaTheme="minorEastAsia"/>
                <w:kern w:val="2"/>
                <w:sz w:val="11"/>
                <w:szCs w:val="11"/>
              </w:rPr>
            </w:pPr>
            <w:r>
              <w:rPr>
                <w:rFonts w:eastAsiaTheme="minorEastAsia"/>
                <w:kern w:val="2"/>
                <w:sz w:val="11"/>
                <w:szCs w:val="11"/>
              </w:rPr>
              <w:t>0.4</w:t>
            </w:r>
          </w:p>
        </w:tc>
        <w:tc>
          <w:tcPr>
            <w:tcW w:w="706" w:type="dxa"/>
            <w:vAlign w:val="center"/>
          </w:tcPr>
          <w:p w14:paraId="483E2DE7">
            <w:pPr>
              <w:keepNext/>
              <w:snapToGrid w:val="0"/>
              <w:jc w:val="both"/>
              <w:rPr>
                <w:rFonts w:eastAsiaTheme="minorEastAsia"/>
                <w:kern w:val="2"/>
                <w:sz w:val="11"/>
                <w:szCs w:val="11"/>
              </w:rPr>
            </w:pPr>
            <w:r>
              <w:rPr>
                <w:rFonts w:eastAsiaTheme="minorEastAsia"/>
                <w:kern w:val="2"/>
                <w:sz w:val="11"/>
                <w:szCs w:val="11"/>
              </w:rPr>
              <w:t>0.691</w:t>
            </w:r>
          </w:p>
        </w:tc>
      </w:tr>
      <w:tr w14:paraId="4A692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vAlign w:val="center"/>
          </w:tcPr>
          <w:p w14:paraId="3610A953">
            <w:pPr>
              <w:keepNext/>
              <w:snapToGrid w:val="0"/>
              <w:jc w:val="both"/>
              <w:rPr>
                <w:rFonts w:eastAsiaTheme="minorEastAsia"/>
                <w:kern w:val="2"/>
                <w:sz w:val="11"/>
                <w:szCs w:val="11"/>
              </w:rPr>
            </w:pPr>
            <w:commentRangeStart w:id="7"/>
            <w:r>
              <w:rPr>
                <w:highlight w:val="yellow"/>
              </w:rPr>
              <w:t>精神福祉与社交服务</w:t>
            </w:r>
            <w:commentRangeEnd w:id="7"/>
            <w:r>
              <w:rPr>
                <w:rStyle w:val="CommentReference"/>
              </w:rPr>
              <w:commentReference w:id="7"/>
            </w:r>
          </w:p>
        </w:tc>
        <w:tc>
          <w:tcPr>
            <w:tcW w:w="900" w:type="dxa"/>
            <w:vAlign w:val="center"/>
          </w:tcPr>
          <w:p w14:paraId="6B017C67">
            <w:pPr>
              <w:keepNext/>
              <w:snapToGrid w:val="0"/>
              <w:jc w:val="both"/>
              <w:rPr>
                <w:rFonts w:eastAsiaTheme="minorEastAsia"/>
                <w:kern w:val="2"/>
                <w:sz w:val="11"/>
                <w:szCs w:val="11"/>
              </w:rPr>
            </w:pPr>
            <w:r>
              <w:rPr>
                <w:rFonts w:eastAsiaTheme="minorEastAsia"/>
                <w:kern w:val="2"/>
                <w:sz w:val="11"/>
                <w:szCs w:val="11"/>
              </w:rPr>
              <w:t>0.078</w:t>
            </w:r>
          </w:p>
        </w:tc>
        <w:tc>
          <w:tcPr>
            <w:tcW w:w="709" w:type="dxa"/>
            <w:vAlign w:val="center"/>
          </w:tcPr>
          <w:p w14:paraId="30B70C20">
            <w:pPr>
              <w:keepNext/>
              <w:snapToGrid w:val="0"/>
              <w:jc w:val="both"/>
              <w:rPr>
                <w:rFonts w:eastAsiaTheme="minorEastAsia"/>
                <w:kern w:val="2"/>
                <w:sz w:val="11"/>
                <w:szCs w:val="11"/>
              </w:rPr>
            </w:pPr>
            <w:r>
              <w:rPr>
                <w:rFonts w:eastAsiaTheme="minorEastAsia"/>
                <w:kern w:val="2"/>
                <w:sz w:val="11"/>
                <w:szCs w:val="11"/>
              </w:rPr>
              <w:t>0.066</w:t>
            </w:r>
          </w:p>
        </w:tc>
        <w:tc>
          <w:tcPr>
            <w:tcW w:w="800" w:type="dxa"/>
            <w:vAlign w:val="center"/>
          </w:tcPr>
          <w:p w14:paraId="31860DB5">
            <w:pPr>
              <w:keepNext/>
              <w:snapToGrid w:val="0"/>
              <w:jc w:val="both"/>
              <w:rPr>
                <w:rFonts w:eastAsiaTheme="minorEastAsia"/>
                <w:kern w:val="2"/>
                <w:sz w:val="11"/>
                <w:szCs w:val="11"/>
              </w:rPr>
            </w:pPr>
            <w:r>
              <w:rPr>
                <w:rFonts w:eastAsiaTheme="minorEastAsia"/>
                <w:kern w:val="2"/>
                <w:sz w:val="11"/>
                <w:szCs w:val="11"/>
              </w:rPr>
              <w:t>0.098</w:t>
            </w:r>
          </w:p>
        </w:tc>
        <w:tc>
          <w:tcPr>
            <w:tcW w:w="611" w:type="dxa"/>
            <w:vAlign w:val="center"/>
          </w:tcPr>
          <w:p w14:paraId="6752BC62">
            <w:pPr>
              <w:keepNext/>
              <w:snapToGrid w:val="0"/>
              <w:jc w:val="both"/>
              <w:rPr>
                <w:rFonts w:eastAsiaTheme="minorEastAsia"/>
                <w:kern w:val="2"/>
                <w:sz w:val="11"/>
                <w:szCs w:val="11"/>
              </w:rPr>
            </w:pPr>
            <w:r>
              <w:rPr>
                <w:rFonts w:eastAsiaTheme="minorEastAsia"/>
                <w:kern w:val="2"/>
                <w:sz w:val="11"/>
                <w:szCs w:val="11"/>
              </w:rPr>
              <w:t>1.182</w:t>
            </w:r>
          </w:p>
        </w:tc>
        <w:tc>
          <w:tcPr>
            <w:tcW w:w="706" w:type="dxa"/>
            <w:vAlign w:val="center"/>
          </w:tcPr>
          <w:p w14:paraId="36F931F2">
            <w:pPr>
              <w:keepNext/>
              <w:snapToGrid w:val="0"/>
              <w:jc w:val="both"/>
              <w:rPr>
                <w:rFonts w:eastAsiaTheme="minorEastAsia"/>
                <w:kern w:val="2"/>
                <w:sz w:val="11"/>
                <w:szCs w:val="11"/>
              </w:rPr>
            </w:pPr>
            <w:r>
              <w:rPr>
                <w:rFonts w:eastAsiaTheme="minorEastAsia"/>
                <w:kern w:val="2"/>
                <w:sz w:val="11"/>
                <w:szCs w:val="11"/>
              </w:rPr>
              <w:t>0.244</w:t>
            </w:r>
          </w:p>
        </w:tc>
      </w:tr>
      <w:tr w14:paraId="599BC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vAlign w:val="center"/>
          </w:tcPr>
          <w:p w14:paraId="0DE7DC12">
            <w:pPr>
              <w:keepNext/>
              <w:snapToGrid w:val="0"/>
              <w:jc w:val="both"/>
              <w:rPr>
                <w:rFonts w:eastAsiaTheme="minorEastAsia"/>
                <w:kern w:val="2"/>
                <w:sz w:val="11"/>
                <w:szCs w:val="11"/>
                <w:lang w:eastAsia="zh-CN"/>
              </w:rPr>
            </w:pPr>
            <w:r>
              <w:rPr>
                <w:rFonts w:hint="eastAsia" w:eastAsiaTheme="minorEastAsia"/>
                <w:kern w:val="2"/>
                <w:sz w:val="11"/>
                <w:szCs w:val="11"/>
                <w:lang w:eastAsia="zh-CN"/>
              </w:rPr>
              <w:t>空间开敞与通行服务</w:t>
            </w:r>
          </w:p>
        </w:tc>
        <w:tc>
          <w:tcPr>
            <w:tcW w:w="900" w:type="dxa"/>
            <w:vAlign w:val="center"/>
          </w:tcPr>
          <w:p w14:paraId="77754C89">
            <w:pPr>
              <w:keepNext/>
              <w:snapToGrid w:val="0"/>
              <w:jc w:val="both"/>
              <w:rPr>
                <w:rFonts w:eastAsiaTheme="minorEastAsia"/>
                <w:kern w:val="2"/>
                <w:sz w:val="11"/>
                <w:szCs w:val="11"/>
              </w:rPr>
            </w:pPr>
            <w:r>
              <w:rPr>
                <w:rFonts w:eastAsiaTheme="minorEastAsia"/>
                <w:kern w:val="2"/>
                <w:sz w:val="11"/>
                <w:szCs w:val="11"/>
              </w:rPr>
              <w:t>0.318</w:t>
            </w:r>
          </w:p>
        </w:tc>
        <w:tc>
          <w:tcPr>
            <w:tcW w:w="709" w:type="dxa"/>
            <w:vAlign w:val="center"/>
          </w:tcPr>
          <w:p w14:paraId="07F913B1">
            <w:pPr>
              <w:keepNext/>
              <w:snapToGrid w:val="0"/>
              <w:jc w:val="both"/>
              <w:rPr>
                <w:rFonts w:eastAsiaTheme="minorEastAsia"/>
                <w:kern w:val="2"/>
                <w:sz w:val="11"/>
                <w:szCs w:val="11"/>
              </w:rPr>
            </w:pPr>
            <w:r>
              <w:rPr>
                <w:rFonts w:eastAsiaTheme="minorEastAsia"/>
                <w:kern w:val="2"/>
                <w:sz w:val="11"/>
                <w:szCs w:val="11"/>
              </w:rPr>
              <w:t>0.074</w:t>
            </w:r>
          </w:p>
        </w:tc>
        <w:tc>
          <w:tcPr>
            <w:tcW w:w="800" w:type="dxa"/>
            <w:vAlign w:val="center"/>
          </w:tcPr>
          <w:p w14:paraId="73E935D0">
            <w:pPr>
              <w:keepNext/>
              <w:snapToGrid w:val="0"/>
              <w:jc w:val="both"/>
              <w:rPr>
                <w:rFonts w:eastAsiaTheme="minorEastAsia"/>
                <w:kern w:val="2"/>
                <w:sz w:val="11"/>
                <w:szCs w:val="11"/>
              </w:rPr>
            </w:pPr>
            <w:r>
              <w:rPr>
                <w:rFonts w:eastAsiaTheme="minorEastAsia"/>
                <w:kern w:val="2"/>
                <w:sz w:val="11"/>
                <w:szCs w:val="11"/>
              </w:rPr>
              <w:t>0.362</w:t>
            </w:r>
          </w:p>
        </w:tc>
        <w:tc>
          <w:tcPr>
            <w:tcW w:w="611" w:type="dxa"/>
            <w:vAlign w:val="center"/>
          </w:tcPr>
          <w:p w14:paraId="0FFC86B7">
            <w:pPr>
              <w:keepNext/>
              <w:snapToGrid w:val="0"/>
              <w:jc w:val="both"/>
              <w:rPr>
                <w:rFonts w:eastAsiaTheme="minorEastAsia"/>
                <w:kern w:val="2"/>
                <w:sz w:val="11"/>
                <w:szCs w:val="11"/>
              </w:rPr>
            </w:pPr>
            <w:r>
              <w:rPr>
                <w:rFonts w:eastAsiaTheme="minorEastAsia"/>
                <w:kern w:val="2"/>
                <w:sz w:val="11"/>
                <w:szCs w:val="11"/>
              </w:rPr>
              <w:t>4.322</w:t>
            </w:r>
          </w:p>
        </w:tc>
        <w:tc>
          <w:tcPr>
            <w:tcW w:w="706" w:type="dxa"/>
            <w:vAlign w:val="center"/>
          </w:tcPr>
          <w:p w14:paraId="0097F056">
            <w:pPr>
              <w:keepNext/>
              <w:snapToGrid w:val="0"/>
              <w:jc w:val="both"/>
              <w:rPr>
                <w:rFonts w:eastAsiaTheme="minorEastAsia"/>
                <w:kern w:val="2"/>
                <w:sz w:val="11"/>
                <w:szCs w:val="11"/>
              </w:rPr>
            </w:pPr>
            <w:r>
              <w:rPr>
                <w:rFonts w:eastAsiaTheme="minorEastAsia"/>
                <w:kern w:val="2"/>
                <w:sz w:val="11"/>
                <w:szCs w:val="11"/>
              </w:rPr>
              <w:t>0.00</w:t>
            </w:r>
            <w:r>
              <w:rPr>
                <w:rFonts w:hint="eastAsia" w:eastAsiaTheme="minorEastAsia"/>
                <w:kern w:val="2"/>
                <w:sz w:val="11"/>
                <w:szCs w:val="11"/>
                <w:lang w:val="en-US" w:eastAsia="zh-CN"/>
              </w:rPr>
              <w:t>1</w:t>
            </w:r>
            <w:r>
              <w:rPr>
                <w:rFonts w:eastAsiaTheme="minorEastAsia"/>
                <w:kern w:val="2"/>
                <w:sz w:val="11"/>
                <w:szCs w:val="11"/>
              </w:rPr>
              <w:t>***</w:t>
            </w:r>
          </w:p>
        </w:tc>
      </w:tr>
      <w:tr w14:paraId="03A76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Borders>
              <w:bottom w:val="single" w:color="auto" w:sz="4" w:space="0"/>
            </w:tcBorders>
            <w:vAlign w:val="center"/>
          </w:tcPr>
          <w:p w14:paraId="0705000D">
            <w:pPr>
              <w:keepNext/>
              <w:snapToGrid w:val="0"/>
              <w:jc w:val="both"/>
              <w:rPr>
                <w:rFonts w:eastAsiaTheme="minorEastAsia"/>
                <w:kern w:val="2"/>
                <w:sz w:val="11"/>
                <w:szCs w:val="11"/>
              </w:rPr>
            </w:pPr>
            <w:commentRangeStart w:id="8"/>
            <w:r>
              <w:rPr>
                <w:highlight w:val="yellow"/>
              </w:rPr>
              <w:t>体验地形服务</w:t>
            </w:r>
            <w:commentRangeEnd w:id="8"/>
            <w:r>
              <w:rPr>
                <w:rStyle w:val="CommentReference"/>
              </w:rPr>
              <w:commentReference w:id="8"/>
            </w:r>
          </w:p>
        </w:tc>
        <w:tc>
          <w:tcPr>
            <w:tcW w:w="900" w:type="dxa"/>
            <w:tcBorders>
              <w:bottom w:val="single" w:color="auto" w:sz="4" w:space="0"/>
            </w:tcBorders>
            <w:vAlign w:val="center"/>
          </w:tcPr>
          <w:p w14:paraId="08BC1582">
            <w:pPr>
              <w:keepNext/>
              <w:snapToGrid w:val="0"/>
              <w:jc w:val="both"/>
              <w:rPr>
                <w:rFonts w:eastAsiaTheme="minorEastAsia"/>
                <w:kern w:val="2"/>
                <w:sz w:val="11"/>
                <w:szCs w:val="11"/>
              </w:rPr>
            </w:pPr>
            <w:r>
              <w:rPr>
                <w:rFonts w:eastAsiaTheme="minorEastAsia"/>
                <w:kern w:val="2"/>
                <w:sz w:val="11"/>
                <w:szCs w:val="11"/>
              </w:rPr>
              <w:t>0.051</w:t>
            </w:r>
          </w:p>
        </w:tc>
        <w:tc>
          <w:tcPr>
            <w:tcW w:w="709" w:type="dxa"/>
            <w:tcBorders>
              <w:bottom w:val="single" w:color="auto" w:sz="4" w:space="0"/>
            </w:tcBorders>
            <w:vAlign w:val="center"/>
          </w:tcPr>
          <w:p w14:paraId="29A49D88">
            <w:pPr>
              <w:keepNext/>
              <w:snapToGrid w:val="0"/>
              <w:jc w:val="both"/>
              <w:rPr>
                <w:rFonts w:eastAsiaTheme="minorEastAsia"/>
                <w:kern w:val="2"/>
                <w:sz w:val="11"/>
                <w:szCs w:val="11"/>
              </w:rPr>
            </w:pPr>
            <w:r>
              <w:rPr>
                <w:rFonts w:eastAsiaTheme="minorEastAsia"/>
                <w:kern w:val="2"/>
                <w:sz w:val="11"/>
                <w:szCs w:val="11"/>
              </w:rPr>
              <w:t>0.074</w:t>
            </w:r>
          </w:p>
        </w:tc>
        <w:tc>
          <w:tcPr>
            <w:tcW w:w="800" w:type="dxa"/>
            <w:tcBorders>
              <w:bottom w:val="single" w:color="auto" w:sz="4" w:space="0"/>
            </w:tcBorders>
            <w:vAlign w:val="center"/>
          </w:tcPr>
          <w:p w14:paraId="578B0DE9">
            <w:pPr>
              <w:keepNext/>
              <w:snapToGrid w:val="0"/>
              <w:jc w:val="both"/>
              <w:rPr>
                <w:rFonts w:eastAsiaTheme="minorEastAsia"/>
                <w:kern w:val="2"/>
                <w:sz w:val="11"/>
                <w:szCs w:val="11"/>
              </w:rPr>
            </w:pPr>
            <w:r>
              <w:rPr>
                <w:rFonts w:eastAsiaTheme="minorEastAsia"/>
                <w:kern w:val="2"/>
                <w:sz w:val="11"/>
                <w:szCs w:val="11"/>
              </w:rPr>
              <w:t>0.072</w:t>
            </w:r>
          </w:p>
        </w:tc>
        <w:tc>
          <w:tcPr>
            <w:tcW w:w="611" w:type="dxa"/>
            <w:tcBorders>
              <w:bottom w:val="single" w:color="auto" w:sz="4" w:space="0"/>
            </w:tcBorders>
            <w:vAlign w:val="center"/>
          </w:tcPr>
          <w:p w14:paraId="2549BFF3">
            <w:pPr>
              <w:keepNext/>
              <w:snapToGrid w:val="0"/>
              <w:jc w:val="both"/>
              <w:rPr>
                <w:rFonts w:eastAsiaTheme="minorEastAsia"/>
                <w:kern w:val="2"/>
                <w:sz w:val="11"/>
                <w:szCs w:val="11"/>
              </w:rPr>
            </w:pPr>
            <w:r>
              <w:rPr>
                <w:rFonts w:eastAsiaTheme="minorEastAsia"/>
                <w:kern w:val="2"/>
                <w:sz w:val="11"/>
                <w:szCs w:val="11"/>
              </w:rPr>
              <w:t>0.687</w:t>
            </w:r>
          </w:p>
        </w:tc>
        <w:tc>
          <w:tcPr>
            <w:tcW w:w="706" w:type="dxa"/>
            <w:tcBorders>
              <w:bottom w:val="single" w:color="auto" w:sz="4" w:space="0"/>
            </w:tcBorders>
            <w:vAlign w:val="center"/>
          </w:tcPr>
          <w:p w14:paraId="706FCF51">
            <w:pPr>
              <w:keepNext/>
              <w:snapToGrid w:val="0"/>
              <w:jc w:val="both"/>
              <w:rPr>
                <w:rFonts w:eastAsiaTheme="minorEastAsia"/>
                <w:kern w:val="2"/>
                <w:sz w:val="11"/>
                <w:szCs w:val="11"/>
              </w:rPr>
            </w:pPr>
            <w:r>
              <w:rPr>
                <w:rFonts w:eastAsiaTheme="minorEastAsia"/>
                <w:kern w:val="2"/>
                <w:sz w:val="11"/>
                <w:szCs w:val="11"/>
              </w:rPr>
              <w:t>0.496</w:t>
            </w:r>
          </w:p>
        </w:tc>
      </w:tr>
    </w:tbl>
    <w:p w14:paraId="7D58DDBC">
      <w:pPr>
        <w:widowControl w:val="0"/>
        <w:autoSpaceDE w:val="0"/>
        <w:autoSpaceDN w:val="0"/>
        <w:adjustRightInd w:val="0"/>
        <w:spacing w:line="324" w:lineRule="auto"/>
        <w:jc w:val="both"/>
        <w:textAlignment w:val="center"/>
        <w:rPr>
          <w:rFonts w:hint="eastAsia" w:ascii="黑体" w:hAnsi="黑体" w:eastAsia="黑体" w:cs="方正兰亭准黑_GBK"/>
          <w:color w:val="000000"/>
          <w:sz w:val="17"/>
          <w:szCs w:val="17"/>
          <w:lang w:eastAsia="zh-CN"/>
        </w:rPr>
      </w:pPr>
      <w:r>
        <w:rPr>
          <w:rFonts w:hint="eastAsia" w:ascii="黑体" w:hAnsi="黑体" w:eastAsia="黑体" w:cs="方正兰亭准黑_GBK"/>
          <w:color w:val="000000"/>
          <w:sz w:val="17"/>
          <w:szCs w:val="17"/>
          <w:lang w:eastAsia="zh-CN"/>
        </w:rPr>
        <w:t>2.3  各类CES评价要素IPA评价结果</w:t>
      </w:r>
    </w:p>
    <w:p w14:paraId="0D42F2EF">
      <w:pPr>
        <w:pStyle w:val="75"/>
      </w:pPr>
      <w:r>
        <w:t>在要素层面，研究进一步引入IPA模型对需求侧与供给侧进行匹配诊断。横轴为感知频率代表需求侧指数，纵轴为感知倾向代表供给侧指数，并以各要素均值作为象限分界。形成“高供—高需”“低供—高需”“高供—低需”和“低供—低需”4类</w:t>
      </w:r>
      <w:r>
        <w:rPr>
          <w:rFonts w:hint="eastAsia"/>
          <w:lang w:eastAsia="zh-CN"/>
        </w:rPr>
        <w:t>公众</w:t>
      </w:r>
      <w:r>
        <w:t>感知层面的供需关系。</w:t>
      </w:r>
    </w:p>
    <w:p w14:paraId="5C0B1059">
      <w:pPr>
        <w:pStyle w:val="75"/>
      </w:pPr>
      <w:r>
        <w:t>高</w:t>
      </w:r>
      <w:r>
        <w:rPr>
          <w:rFonts w:hint="eastAsia"/>
          <w:lang w:val="en-US" w:eastAsia="zh-CN"/>
        </w:rPr>
        <w:t>需</w:t>
      </w:r>
      <w:r>
        <w:t>且高</w:t>
      </w:r>
      <w:r>
        <w:rPr>
          <w:rFonts w:hint="eastAsia"/>
          <w:lang w:val="en-US" w:eastAsia="zh-CN"/>
        </w:rPr>
        <w:t>供</w:t>
      </w:r>
      <w:r>
        <w:t>意味着要素既被广泛关注，又能够提供较为稳定的正向体验。美学景观、教育体验和精神福祉与社交服务位于高需高供象限，是深圳公园当前最具支撑性的核心体验要素。</w:t>
      </w:r>
    </w:p>
    <w:p w14:paraId="7D2C8277">
      <w:pPr>
        <w:pStyle w:val="75"/>
      </w:pPr>
      <w:r>
        <w:t>高</w:t>
      </w:r>
      <w:r>
        <w:rPr>
          <w:rFonts w:hint="eastAsia"/>
          <w:lang w:val="en-US" w:eastAsia="zh-CN"/>
        </w:rPr>
        <w:t>需</w:t>
      </w:r>
      <w:r>
        <w:t>而低</w:t>
      </w:r>
      <w:r>
        <w:rPr>
          <w:rFonts w:hint="eastAsia"/>
          <w:lang w:val="en-US" w:eastAsia="zh-CN"/>
        </w:rPr>
        <w:t>供</w:t>
      </w:r>
      <w:r>
        <w:t>意味着公众关注度高，然而现有供给绩效未能有效匹配。可达性与保障服务落入高需低供象限，说明停车、如厕、导向、照明、无障碍和安全巡查等基础保障已成为制约整体体验的突出短板。</w:t>
      </w:r>
    </w:p>
    <w:p w14:paraId="5E06AD26">
      <w:pPr>
        <w:pStyle w:val="75"/>
      </w:pPr>
      <w:r>
        <w:t>低</w:t>
      </w:r>
      <w:r>
        <w:rPr>
          <w:rFonts w:hint="eastAsia"/>
          <w:lang w:val="en-US" w:eastAsia="zh-CN"/>
        </w:rPr>
        <w:t>需</w:t>
      </w:r>
      <w:r>
        <w:t>而高</w:t>
      </w:r>
      <w:r>
        <w:rPr>
          <w:rFonts w:hint="eastAsia"/>
          <w:lang w:val="en-US" w:eastAsia="zh-CN"/>
        </w:rPr>
        <w:t>供</w:t>
      </w:r>
      <w:r>
        <w:t>表示相关要素虽未成为公众最主要的讨论焦点，然而一旦被感知往往能形成积极评价。所处要素有生态健康指标与体验地形，表明其供给质量较好，然而可感知性仍有提升空间。</w:t>
      </w:r>
    </w:p>
    <w:p w14:paraId="018DA537">
      <w:pPr>
        <w:pStyle w:val="75"/>
      </w:pPr>
      <w:commentRangeStart w:id="21"/>
      <w:r>
        <w:rPr>
          <w:highlight w:val="yellow"/>
        </w:rPr>
        <w:t>低需低供表示</w:t>
      </w:r>
      <w:commentRangeEnd w:id="21"/>
      <w:r>
        <w:rPr>
          <w:rStyle w:val="CommentReference"/>
        </w:rPr>
        <w:commentReference w:id="21"/>
      </w:r>
      <w:r>
        <w:t>：文化遗产、沉浸体验、环境与游憩适宜度及空间承载等要素，反馈均不突出，属于低优先观察区，然而仍可作为结构性提升方向，在重点节点和典型场景中分阶段强化（图5）。</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19"/>
      </w:tblGrid>
      <w:tr w14:paraId="353AF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6" w:type="dxa"/>
          </w:tcPr>
          <w:p w14:paraId="5C874444">
            <w:pPr>
              <w:jc w:val="both"/>
              <w:rPr>
                <w:rFonts w:eastAsiaTheme="minorEastAsia"/>
                <w:kern w:val="2"/>
              </w:rPr>
            </w:pPr>
            <w:r>
              <w:rPr>
                <w:rFonts w:cs="Times New Roman" w:eastAsiaTheme="minorEastAsia"/>
                <w:kern w:val="2"/>
                <w:lang w:eastAsia="zh-CN"/>
              </w:rPr>
              <w:drawing>
                <wp:inline distT="0" distB="0" distL="114300" distR="114300">
                  <wp:extent cx="2652395" cy="1560195"/>
                  <wp:effectExtent l="0" t="0" r="14605" b="1905"/>
                  <wp:docPr id="14" name="图片 14" descr="频率=需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频率=需求"/>
                          <pic:cNvPicPr>
                            <a:picLocks noChangeAspect="1"/>
                          </pic:cNvPicPr>
                        </pic:nvPicPr>
                        <pic:blipFill>
                          <a:blip r:embed="rId9"/>
                          <a:stretch>
                            <a:fillRect/>
                          </a:stretch>
                        </pic:blipFill>
                        <pic:spPr>
                          <a:xfrm>
                            <a:off x="0" y="0"/>
                            <a:ext cx="2652395" cy="1560195"/>
                          </a:xfrm>
                          <a:prstGeom prst="rect">
                            <a:avLst/>
                          </a:prstGeom>
                        </pic:spPr>
                      </pic:pic>
                    </a:graphicData>
                  </a:graphic>
                </wp:inline>
              </w:drawing>
            </w:r>
          </w:p>
        </w:tc>
      </w:tr>
    </w:tbl>
    <w:p w14:paraId="7EB8C0D2">
      <w:pPr>
        <w:widowControl w:val="0"/>
        <w:autoSpaceDE w:val="0"/>
        <w:autoSpaceDN w:val="0"/>
        <w:adjustRightInd w:val="0"/>
        <w:spacing w:line="324" w:lineRule="auto"/>
        <w:jc w:val="both"/>
        <w:textAlignment w:val="center"/>
        <w:rPr>
          <w:rFonts w:hint="eastAsia" w:ascii="黑体" w:hAnsi="黑体" w:eastAsia="黑体" w:cs="方正兰亭纤黑_GBK"/>
          <w:color w:val="000000"/>
          <w:sz w:val="13"/>
          <w:szCs w:val="13"/>
          <w:lang w:val="zh-CN" w:eastAsia="zh-CN"/>
        </w:rPr>
      </w:pPr>
      <w:r>
        <w:rPr>
          <w:rFonts w:hint="eastAsia" w:ascii="黑体" w:hAnsi="黑体" w:eastAsia="黑体" w:cs="方正兰亭纤黑_GBK"/>
          <w:color w:val="000000"/>
          <w:sz w:val="13"/>
          <w:szCs w:val="13"/>
          <w:lang w:val="zh-CN" w:eastAsia="zh-CN"/>
        </w:rPr>
        <w:t>图5 CES评价要素IPA模型分析图</w:t>
      </w:r>
    </w:p>
    <w:p w14:paraId="035501D8">
      <w:pPr>
        <w:widowControl w:val="0"/>
        <w:autoSpaceDE w:val="0"/>
        <w:autoSpaceDN w:val="0"/>
        <w:adjustRightInd w:val="0"/>
        <w:spacing w:line="324" w:lineRule="auto"/>
        <w:jc w:val="both"/>
        <w:textAlignment w:val="center"/>
        <w:rPr>
          <w:rFonts w:hint="eastAsia" w:ascii="黑体" w:hAnsi="黑体" w:eastAsia="黑体" w:cs="方正兰亭纤黑_GBK"/>
          <w:color w:val="000000"/>
          <w:sz w:val="13"/>
          <w:szCs w:val="13"/>
          <w:lang w:val="zh-CN" w:eastAsia="zh-CN"/>
        </w:rPr>
      </w:pPr>
      <w:commentRangeStart w:id="0"/>
      <w:r>
        <w:rPr>
          <w:highlight w:val="yellow"/>
        </w:rPr>
        <w:t>注：1美学景观服务、2文化遗产服务、3可达性与保障服务、4教育体验服务、5环境与游憩适宜度服务、6沉浸体验服务、7生态健康指标、8精神福祉与社交服务、9空间开敞与通行服务、10体验地形服务</w:t>
      </w:r>
      <w:commentRangeEnd w:id="0"/>
      <w:r>
        <w:rPr>
          <w:rStyle w:val="CommentReference"/>
        </w:rPr>
        <w:commentReference w:id="0"/>
      </w:r>
    </w:p>
    <w:p w14:paraId="63B4E0B1">
      <w:pPr>
        <w:pStyle w:val="75"/>
        <w:ind w:firstLine="0" w:firstLineChars="0"/>
      </w:pPr>
      <w:r>
        <w:t>3  讨论</w:t>
      </w:r>
    </w:p>
    <w:p w14:paraId="16B55666">
      <w:pPr>
        <w:pStyle w:val="75"/>
      </w:pPr>
      <w:r>
        <w:t>本章在前述结果基础上，围绕深圳城市公园CES的需求侧与供给侧特征展开讨论，重点解释不同类型公园的体验差异机制与关键驱动要素</w:t>
      </w:r>
      <w:r>
        <w:rPr>
          <w:rFonts w:hint="eastAsia"/>
          <w:lang w:val="en-US" w:eastAsia="zh-CN"/>
        </w:rPr>
        <w:t>与IPA不同象限</w:t>
      </w:r>
      <w:r>
        <w:t>的治理含义。</w:t>
      </w:r>
    </w:p>
    <w:p w14:paraId="58F068BF">
      <w:pPr>
        <w:pStyle w:val="75"/>
        <w:ind w:firstLine="0" w:firstLineChars="0"/>
        <w:rPr>
          <w:lang w:val="zh-CN"/>
        </w:rPr>
      </w:pPr>
      <w:r>
        <w:t>3.1  三类公园CES差异性分析讨论</w:t>
      </w:r>
    </w:p>
    <w:p w14:paraId="133EBD61">
      <w:pPr>
        <w:pStyle w:val="75"/>
        <w:rPr>
          <w:rStyle w:val="82"/>
        </w:rPr>
      </w:pPr>
      <w:r>
        <w:rPr>
          <w:rStyle w:val="82"/>
        </w:rPr>
        <w:t>研究结果表明，深圳不同类型公园在CES感知层面存在较为明显的结构差异，其差异主要与服务功能定位、空间组织方式及运行管理水平相关。基干公园承担较强的日常公共服务职能，使用频率高、服务对象广，其总体感知更依赖设施完备性、动线效率与维护稳定性</w:t>
      </w:r>
      <w:r>
        <w:fldChar w:fldCharType="begin"/>
      </w:r>
      <w:r>
        <w:instrText xml:space="preserve"> REF _Ref10453 \r \h </w:instrText>
      </w:r>
      <w:r>
        <w:fldChar w:fldCharType="separate"/>
      </w:r>
      <w:r>
        <w:t>[28</w:t>
      </w:r>
      <w:r>
        <w:fldChar w:fldCharType="end"/>
      </w:r>
      <w:r>
        <w:fldChar w:fldCharType="begin"/>
      </w:r>
      <w:r>
        <w:instrText xml:space="preserve"> REF _Ref10456 \r \h </w:instrText>
      </w:r>
      <w:r>
        <w:fldChar w:fldCharType="separate"/>
      </w:r>
      <w:r>
        <w:t>-29]</w:t>
      </w:r>
      <w:r>
        <w:fldChar w:fldCharType="end"/>
      </w:r>
      <w:r>
        <w:rPr>
          <w:rStyle w:val="82"/>
        </w:rPr>
        <w:t>，因此更容易形成持续而均衡的正向反馈；特色公园通常凭借主题场景、特定活动或鲜明形象获得较高关注，但在高峰情境下更容易受到节点承载、排队等待与服务衔接效率的影响；自然公园则更多依赖连续的环境体验与游览节奏，当路径联系、休憩设施或安全保障不足时，公众感知更易发生分化</w:t>
      </w:r>
      <w:r>
        <w:fldChar w:fldCharType="begin"/>
      </w:r>
      <w:r>
        <w:instrText xml:space="preserve"> REF _Ref28665 \r \h </w:instrText>
      </w:r>
      <w:r>
        <w:fldChar w:fldCharType="separate"/>
      </w:r>
      <w:r>
        <w:t>[30-</w:t>
      </w:r>
      <w:r>
        <w:fldChar w:fldCharType="end"/>
      </w:r>
      <w:r>
        <w:fldChar w:fldCharType="begin"/>
      </w:r>
      <w:r>
        <w:instrText xml:space="preserve"> REF _Ref10463 \r \h </w:instrText>
      </w:r>
      <w:r>
        <w:fldChar w:fldCharType="separate"/>
      </w:r>
      <w:r>
        <w:t>31]</w:t>
      </w:r>
      <w:r>
        <w:fldChar w:fldCharType="end"/>
      </w:r>
      <w:r>
        <w:rPr>
          <w:rStyle w:val="82"/>
        </w:rPr>
        <w:t>。由此可见，在“千园之城”进入品质提升阶段后，不同类型公园的CES感知差异已从资源条件差异进一步表现为空间组织和服务响应能力的差异，后续分类更新应分别关注基干公园的服务稳定性、特色公园的热点组织效率，以及自然公园的游览连续性与基础保障水平</w:t>
      </w:r>
      <w:r>
        <w:rPr>
          <w:rStyle w:val="82"/>
        </w:rPr>
        <w:fldChar w:fldCharType="begin"/>
      </w:r>
      <w:r>
        <w:rPr>
          <w:rStyle w:val="82"/>
        </w:rPr>
        <w:instrText xml:space="preserve"> REF _Ref13662 \r \h </w:instrText>
      </w:r>
      <w:r>
        <w:rPr>
          <w:rStyle w:val="82"/>
        </w:rPr>
        <w:fldChar w:fldCharType="separate"/>
      </w:r>
      <w:r>
        <w:rPr>
          <w:rStyle w:val="82"/>
        </w:rPr>
        <w:t>[37]</w:t>
      </w:r>
      <w:r>
        <w:rPr>
          <w:rStyle w:val="82"/>
        </w:rPr>
        <w:fldChar w:fldCharType="end"/>
      </w:r>
      <w:r>
        <w:rPr>
          <w:rStyle w:val="82"/>
        </w:rPr>
        <w:t>。</w:t>
      </w:r>
    </w:p>
    <w:p w14:paraId="73DE4C37">
      <w:pPr>
        <w:pStyle w:val="75"/>
        <w:ind w:firstLine="0" w:firstLineChars="0"/>
      </w:pPr>
      <w:r>
        <w:t>3.2  关键要素的作用机制及其空间转译</w:t>
      </w:r>
    </w:p>
    <w:p w14:paraId="0FE7929D">
      <w:pPr>
        <w:pStyle w:val="75"/>
      </w:pPr>
      <w:r>
        <w:t>岭回归结果表明，文化遗产服务与空间开敞与通行服务对总体感知倾向具有显著正向作用，可视为提升公园整体体验质量的增益型要素；可达性与保障服务呈显著负向作用，说明其已成为影响深圳城市公园CES感知质量的关键制约要素。结合IPA结果可见，可达性与保障服务同时处于高需低供位置，表明该类要素既被高度关注，又容易在供给不足时放大为对公园整体品质的负向判断。这类问题集中体现为入口、路径、节点与停留系统之间的连续性不够完整，以及高峰时段下运维响应与服务交付不够稳定</w:t>
      </w:r>
      <w:r>
        <w:fldChar w:fldCharType="begin"/>
      </w:r>
      <w:r>
        <w:instrText xml:space="preserve"> REF _Ref10476 \r \h </w:instrText>
      </w:r>
      <w:r>
        <w:fldChar w:fldCharType="separate"/>
      </w:r>
      <w:r>
        <w:t>[32]</w:t>
      </w:r>
      <w:r>
        <w:fldChar w:fldCharType="end"/>
      </w:r>
      <w:r>
        <w:t>。</w:t>
      </w:r>
    </w:p>
    <w:p w14:paraId="6424BD61">
      <w:pPr>
        <w:pStyle w:val="75"/>
      </w:pPr>
      <w:r>
        <w:t>从城市公园文化服务、公共共享与日常使用需求看，上述结果具有较明确的空间转译意义。文化遗产服务的正向作用表明，地方叙事、标志识别和场所记忆有助于提升总体感知，公园更新应避免泛化主题和符号堆砌，将岭南文化、深圳城市记忆和场地历史转化为可参与、可停留、可理解的空间场景</w:t>
      </w:r>
      <w:r>
        <w:fldChar w:fldCharType="begin"/>
      </w:r>
      <w:r>
        <w:instrText xml:space="preserve"> REF _Ref5557 \r \h </w:instrText>
      </w:r>
      <w:r>
        <w:fldChar w:fldCharType="separate"/>
      </w:r>
      <w:r>
        <w:t>[33]</w:t>
      </w:r>
      <w:r>
        <w:fldChar w:fldCharType="end"/>
      </w:r>
      <w:r>
        <w:t>。空间开敞与通行服务的正向作用说明，通行效率、组织秩序和停留舒适度同样构成整体体验的重要支撑。可达性与保障服务的负向作用则表明，停车、如厕、导向、照明、无障碍和安全巡查等基础保障，是城市公园日常使用连续性的底层条件</w:t>
      </w:r>
      <w:r>
        <w:fldChar w:fldCharType="begin"/>
      </w:r>
      <w:r>
        <w:instrText xml:space="preserve"> REF _Ref5560 \r \h </w:instrText>
      </w:r>
      <w:r>
        <w:fldChar w:fldCharType="separate"/>
      </w:r>
      <w:r>
        <w:t>[34]</w:t>
      </w:r>
      <w:r>
        <w:fldChar w:fldCharType="end"/>
      </w:r>
      <w:r>
        <w:t>。由此，深圳城市公园更新应将文化服务可感知性、空间开敞与通行效率、基础保障连续性纳入同一空间响应体系，在连续服务链条中提升整体体验质量</w:t>
      </w:r>
      <w:r>
        <w:fldChar w:fldCharType="begin"/>
      </w:r>
      <w:r>
        <w:instrText xml:space="preserve"> REF _Ref9286 \r \h </w:instrText>
      </w:r>
      <w:r>
        <w:fldChar w:fldCharType="separate"/>
      </w:r>
      <w:r>
        <w:t>[35]</w:t>
      </w:r>
      <w:r>
        <w:fldChar w:fldCharType="end"/>
      </w:r>
      <w:r>
        <w:t>。</w:t>
      </w:r>
    </w:p>
    <w:p w14:paraId="7E3AB7BB">
      <w:pPr>
        <w:pStyle w:val="75"/>
        <w:ind w:left="0" w:leftChars="0" w:firstLine="0" w:firstLineChars="0"/>
      </w:pPr>
      <w:r>
        <w:t>3.3  基于IPA供需错配的优化路径</w:t>
      </w:r>
    </w:p>
    <w:p w14:paraId="5D1690FE">
      <w:pPr>
        <w:pStyle w:val="75"/>
      </w:pPr>
      <w:r>
        <w:t>从IPA结果看，深圳城市公园CES优化可归纳为优势巩固、短板优先、感知显化和渐进提升4类。对高需高供的美学景观、教育体验与精神福祉及社交服务，应以维持优势和提升稳定性为主，通过植物景观精细维护</w:t>
      </w:r>
      <w:r>
        <w:rPr>
          <w:rStyle w:val="82"/>
        </w:rPr>
        <w:fldChar w:fldCharType="begin"/>
      </w:r>
      <w:r>
        <w:rPr>
          <w:rStyle w:val="82"/>
        </w:rPr>
        <w:instrText xml:space="preserve"> REF _Ref2495 \r \h </w:instrText>
      </w:r>
      <w:r>
        <w:rPr>
          <w:rStyle w:val="82"/>
        </w:rPr>
        <w:fldChar w:fldCharType="separate"/>
      </w:r>
      <w:r>
        <w:rPr>
          <w:rStyle w:val="82"/>
        </w:rPr>
        <w:fldChar w:fldCharType="end"/>
      </w:r>
      <w:r>
        <w:t>、科普活动组织、活动场地细部改善与安全管理强化，保持高频使用情境下的正向体验</w:t>
      </w:r>
      <w:r>
        <w:fldChar w:fldCharType="begin"/>
      </w:r>
      <w:r>
        <w:instrText xml:space="preserve"> REF _Ref9293 \r \h </w:instrText>
      </w:r>
      <w:r>
        <w:fldChar w:fldCharType="separate"/>
      </w:r>
      <w:r>
        <w:t>[36]</w:t>
      </w:r>
      <w:r>
        <w:fldChar w:fldCharType="end"/>
      </w:r>
      <w:r>
        <w:t>。对高需低供的可达性与保障服务，应作为近期优先治理重点，围绕停车、如厕、导向、照明、无障碍与巡查体系等基础保障环节，提升关键节点与高峰时段下的服务可获得性和连续性。对低需高供的生态健康指标与体验地形服务，可通过场景化展示、解释性设计、自然教育和路径组织优化，增强公众对既有生态与地形价值的识别与感知。对低需低供的文化遗产、沉浸体验、环境与游憩适宜度及空间开敞与通行等要素，则宜结合更新时序，在重点片区和典型节点中分阶段推进</w:t>
      </w:r>
      <w:r>
        <w:fldChar w:fldCharType="begin"/>
      </w:r>
      <w:r>
        <w:instrText xml:space="preserve"> REF _Ref13662 \r \h </w:instrText>
      </w:r>
      <w:r>
        <w:fldChar w:fldCharType="separate"/>
      </w:r>
      <w:r>
        <w:t>[37-</w:t>
      </w:r>
      <w:r>
        <w:fldChar w:fldCharType="end"/>
      </w:r>
      <w:r>
        <w:fldChar w:fldCharType="begin"/>
      </w:r>
      <w:r>
        <w:instrText xml:space="preserve"> REF _Ref2491 \r \h </w:instrText>
      </w:r>
      <w:r>
        <w:fldChar w:fldCharType="separate"/>
      </w:r>
      <w:r>
        <w:t>38]</w:t>
      </w:r>
      <w:r>
        <w:fldChar w:fldCharType="end"/>
      </w:r>
      <w:r>
        <w:t>。</w:t>
      </w:r>
    </w:p>
    <w:p w14:paraId="6D949B52">
      <w:pPr>
        <w:pStyle w:val="75"/>
      </w:pPr>
      <w:r>
        <w:t>进一步看，高关注、低感知绩效要素主要集中在基础保障环节，说明公众对公园日常使用便利性和连续服务能力具有较高敏感度。文化遗产服务与空间开敞与通行服务虽未表现为当前最突出的短板，却在总体感知形成中具有显著增益作用，说明地方叙事、标志识别、空间开放和通行效率仍是提升整体体验的重要支撑。由此，深圳城市公园后续更新不宜仅停留于形象化景观提升，而应以公众感知为线索，在基础保障、文化识别、空间组织和环境体验之间建立更稳定的对应关系</w:t>
      </w:r>
      <w:r>
        <w:fldChar w:fldCharType="begin"/>
      </w:r>
      <w:r>
        <w:instrText xml:space="preserve"> REF _Ref2495 \r \h </w:instrText>
      </w:r>
      <w:r>
        <w:fldChar w:fldCharType="separate"/>
      </w:r>
      <w:r>
        <w:t>[39-</w:t>
      </w:r>
      <w:r>
        <w:fldChar w:fldCharType="end"/>
      </w:r>
      <w:r>
        <w:fldChar w:fldCharType="begin"/>
      </w:r>
      <w:r>
        <w:instrText xml:space="preserve"> REF _Ref14916 \r \h </w:instrText>
      </w:r>
      <w:r>
        <w:fldChar w:fldCharType="separate"/>
      </w:r>
      <w:r>
        <w:t>40]</w:t>
      </w:r>
      <w:r>
        <w:fldChar w:fldCharType="end"/>
      </w:r>
      <w:r>
        <w:t>。</w:t>
      </w:r>
    </w:p>
    <w:p w14:paraId="5D72614C">
      <w:pPr>
        <w:pStyle w:val="75"/>
        <w:ind w:firstLine="0" w:firstLineChars="0"/>
      </w:pPr>
      <w:r>
        <w:t>4  总结与展望</w:t>
      </w:r>
    </w:p>
    <w:p w14:paraId="2EB6A332">
      <w:pPr>
        <w:pStyle w:val="75"/>
      </w:pPr>
      <w:r>
        <w:t>本文基于9624条网络评论，构建“感知频率—感知倾向”双指标框架，从公众感知层面对深圳52座城市公园CES供需特征进行了诊断。研究表明：美学景观、教育体验及精神福祉与社交服务构成高需高供的核心优势区，是深圳城市公园当前最具支撑性的体验内容；可达性与保障服务是最突出的高需低供短板，对总体感知倾向具有显著负向影响；文化遗产服务与空间开敞与通行服务则是提升整体体验质量的关键增益要素。不同类型公园在服务稳定性、热点承载和游览连续性上存在明显差异，说明深圳城市公园更新已需要由“一体化补量”进一步转向分类治理与要素精细化提升。总体而言，城市公园CES供需关系的核心问题，已由单纯的资源供给不足，转向公众体验链条中基础保障、文化表达与空间组织之间的匹配程度。</w:t>
      </w:r>
    </w:p>
    <w:p w14:paraId="4FBB703A">
      <w:pPr>
        <w:pStyle w:val="75"/>
      </w:pPr>
      <w:r>
        <w:t>需要说明的是，本文数据主要来源于网络评论，虽然具有覆盖面广、更新快和获取成本较低等优势，然而在样本年龄结构、发声机制和表达偏好方面仍可能存在偏差。因此，本文结论主要用于揭示公众感知层面的供需关系，而不直接对应物质量意义上的客观供给总量。同时，情感分析在处理语义歧义、复合情绪和隐性表达时仍存在一定误差，关于可达性与保障服务负向放大效应的解释，仍属于基于统计结果与语料内容的机制推断。后续研究可从两个方向继续推进：一是引入问卷、观察、设施普查与环境监测等多源数据，与网络文本形成互证，以提高结论的代表性与稳健性；二是进一步关注CES供需关系的时序变化与空间异质性，识别不同季节、不同场景及不同群体的感知差异，为高密度城市公园从数量扩张走向品质提升提供更具针对性的支撑。</w:t>
      </w:r>
    </w:p>
    <w:p w14:paraId="094E08AE">
      <w:pPr>
        <w:pStyle w:val="75"/>
      </w:pPr>
    </w:p>
    <w:p w14:paraId="0925035A">
      <w:pPr>
        <w:widowControl w:val="0"/>
        <w:autoSpaceDE w:val="0"/>
        <w:autoSpaceDN w:val="0"/>
        <w:adjustRightInd w:val="0"/>
        <w:spacing w:line="324" w:lineRule="auto"/>
        <w:jc w:val="both"/>
        <w:textAlignment w:val="center"/>
        <w:rPr>
          <w:rFonts w:hint="eastAsia" w:ascii="黑体" w:hAnsi="黑体" w:eastAsia="黑体" w:cs="方正兰亭准黑_GBK"/>
          <w:color w:val="000000"/>
          <w:sz w:val="17"/>
          <w:szCs w:val="17"/>
          <w:lang w:eastAsia="zh-CN"/>
        </w:rPr>
      </w:pPr>
    </w:p>
    <w:p w14:paraId="513F9821">
      <w:pPr>
        <w:widowControl w:val="0"/>
        <w:autoSpaceDE w:val="0"/>
        <w:autoSpaceDN w:val="0"/>
        <w:adjustRightInd w:val="0"/>
        <w:spacing w:line="324" w:lineRule="auto"/>
        <w:jc w:val="both"/>
        <w:textAlignment w:val="center"/>
        <w:rPr>
          <w:rFonts w:hint="eastAsia" w:ascii="黑体" w:hAnsi="黑体" w:eastAsia="黑体" w:cs="方正兰亭准黑_GBK"/>
          <w:color w:val="000000"/>
          <w:sz w:val="17"/>
          <w:szCs w:val="17"/>
          <w:lang w:eastAsia="zh-CN"/>
        </w:rPr>
      </w:pPr>
    </w:p>
    <w:p w14:paraId="73088ACF">
      <w:pPr>
        <w:spacing w:line="324" w:lineRule="auto"/>
        <w:ind w:firstLine="340" w:firstLineChars="200"/>
        <w:jc w:val="both"/>
        <w:rPr>
          <w:rFonts w:hint="eastAsia" w:ascii="黑体" w:hAnsi="黑体" w:eastAsia="黑体" w:cs="方正兰亭纤黑_GBK"/>
          <w:color w:val="000000"/>
          <w:sz w:val="17"/>
          <w:szCs w:val="17"/>
          <w:lang w:eastAsia="zh-CN"/>
        </w:rPr>
      </w:pPr>
    </w:p>
    <w:p w14:paraId="67EAE691">
      <w:pPr>
        <w:wordWrap w:val="0"/>
        <w:rPr>
          <w:rFonts w:hint="eastAsia" w:ascii="黑体" w:hAnsi="黑体" w:eastAsia="黑体" w:cs="方正兰亭纤黑_GBK"/>
          <w:color w:val="000000"/>
          <w:sz w:val="14"/>
          <w:szCs w:val="14"/>
          <w:lang w:val="zh-CN" w:eastAsia="zh-CN"/>
        </w:rPr>
      </w:pPr>
      <w:r>
        <w:rPr>
          <w:rFonts w:hint="eastAsia" w:ascii="黑体" w:hAnsi="黑体" w:eastAsia="黑体" w:cs="方正兰亭纤黑_GBK"/>
          <w:color w:val="000000"/>
          <w:sz w:val="14"/>
          <w:szCs w:val="14"/>
          <w:lang w:val="zh-CN" w:eastAsia="zh-CN"/>
        </w:rPr>
        <w:t>注：文中图片均由作者绘制。</w:t>
      </w:r>
    </w:p>
    <w:p w14:paraId="3E25C1F0">
      <w:pPr>
        <w:wordWrap w:val="0"/>
        <w:rPr>
          <w:rFonts w:hint="eastAsia" w:ascii="黑体" w:hAnsi="黑体" w:eastAsia="黑体" w:cs="Times New Roman"/>
          <w:b/>
          <w:sz w:val="15"/>
          <w:szCs w:val="15"/>
          <w:lang w:eastAsia="zh-CN"/>
        </w:rPr>
      </w:pPr>
      <w:r>
        <w:rPr>
          <w:rFonts w:hint="eastAsia" w:ascii="黑体" w:hAnsi="黑体" w:eastAsia="黑体" w:cs="方正兰亭纤黑_GBK"/>
          <w:color w:val="000000"/>
          <w:sz w:val="14"/>
          <w:szCs w:val="14"/>
          <w:lang w:val="zh-CN" w:eastAsia="zh-CN"/>
        </w:rPr>
        <w:t>表均由作者绘制。</w:t>
      </w:r>
    </w:p>
    <w:p w14:paraId="498DD813">
      <w:pPr>
        <w:widowControl w:val="0"/>
        <w:autoSpaceDE w:val="0"/>
        <w:autoSpaceDN w:val="0"/>
        <w:adjustRightInd w:val="0"/>
        <w:spacing w:line="324" w:lineRule="auto"/>
        <w:textAlignment w:val="center"/>
        <w:rPr>
          <w:rFonts w:hint="eastAsia" w:ascii="黑体" w:hAnsi="黑体" w:eastAsia="黑体" w:cs="方正兰亭准黑简体"/>
          <w:color w:val="000000" w:themeColor="text1"/>
          <w:sz w:val="15"/>
          <w:szCs w:val="15"/>
          <w:lang w:val="zh-CN" w:eastAsia="zh-CN"/>
          <w14:textFill>
            <w14:solidFill>
              <w14:schemeClr w14:val="tx1"/>
            </w14:solidFill>
          </w14:textFill>
        </w:rPr>
      </w:pPr>
      <w:r>
        <w:rPr>
          <w:rFonts w:hint="eastAsia" w:ascii="黑体" w:hAnsi="黑体" w:eastAsia="黑体" w:cs="Times New Roman"/>
          <w:b/>
          <w:sz w:val="15"/>
          <w:szCs w:val="15"/>
          <w:lang w:eastAsia="zh-CN"/>
        </w:rPr>
        <w:t>注释</w:t>
      </w:r>
      <w:r>
        <w:rPr>
          <w:rFonts w:hint="eastAsia" w:ascii="黑体" w:hAnsi="黑体" w:eastAsia="黑体" w:cs="方正兰亭准黑简体"/>
          <w:color w:val="000000" w:themeColor="text1"/>
          <w:sz w:val="15"/>
          <w:szCs w:val="15"/>
          <w:lang w:val="zh-CN" w:eastAsia="zh-CN"/>
          <w14:textFill>
            <w14:solidFill>
              <w14:schemeClr w14:val="tx1"/>
            </w14:solidFill>
          </w14:textFill>
        </w:rPr>
        <w:t>：</w:t>
      </w:r>
    </w:p>
    <w:p w14:paraId="61A71A1B">
      <w:pPr>
        <w:widowControl w:val="0"/>
        <w:autoSpaceDE w:val="0"/>
        <w:autoSpaceDN w:val="0"/>
        <w:adjustRightInd w:val="0"/>
        <w:spacing w:line="324" w:lineRule="auto"/>
        <w:textAlignment w:val="center"/>
        <w:rPr>
          <w:rFonts w:hint="eastAsia" w:ascii="黑体" w:hAnsi="黑体" w:eastAsia="黑体" w:cs="方正兰亭准黑简体"/>
          <w:color w:val="000000" w:themeColor="text1"/>
          <w:sz w:val="13"/>
          <w:szCs w:val="13"/>
          <w:lang w:val="zh-CN" w:eastAsia="zh-CN"/>
          <w14:textFill>
            <w14:solidFill>
              <w14:schemeClr w14:val="tx1"/>
            </w14:solidFill>
          </w14:textFill>
        </w:rPr>
      </w:pPr>
      <w:r>
        <w:rPr>
          <w:rFonts w:ascii="黑体" w:hAnsi="黑体" w:eastAsia="黑体" w:cs="方正粗雅宋_GBK"/>
          <w:color w:val="000000" w:themeColor="text1"/>
          <w:sz w:val="15"/>
          <w:szCs w:val="15"/>
          <w:lang w:eastAsia="zh-CN"/>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50800</wp:posOffset>
                </wp:positionV>
                <wp:extent cx="2886075" cy="0"/>
                <wp:effectExtent l="0" t="0" r="9525" b="19050"/>
                <wp:wrapNone/>
                <wp:docPr id="1" name="直接连接符 1"/>
                <wp:cNvGraphicFramePr/>
                <a:graphic xmlns:a="http://schemas.openxmlformats.org/drawingml/2006/main">
                  <a:graphicData uri="http://schemas.microsoft.com/office/word/2010/wordprocessingShape">
                    <wps:wsp>
                      <wps:cNvCnPr/>
                      <wps:spPr>
                        <a:xfrm>
                          <a:off x="0" y="0"/>
                          <a:ext cx="2886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75pt;margin-top:4pt;height:0pt;width:227.25pt;z-index:251660288;mso-width-relative:page;mso-height-relative:page;" filled="f" stroked="t" coordsize="21600,21600" o:gfxdata="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kBTfVtIAAAAFAQAADwAA&#10;AAAAAAABACAAAAAiAAAAZHJzL2Rvd25yZXYueG1sUEsBAhQAFAAAAAgAh07iQGPYgvfjAQAAsQMA&#10;AA4AAAAAAAAAAQAgAAAAIQEAAGRycy9lMm9Eb2MueG1sUEsFBgAAAAAGAAYAWQEAAHYFAAAAAA==&#10;">
                <v:fill on="f" focussize="0,0"/>
                <v:stroke weight="0.5pt" color="#000000 [3200]" miterlimit="8" joinstyle="miter"/>
                <v:imagedata o:title=""/>
                <o:lock v:ext="edit" aspectratio="f"/>
              </v:line>
            </w:pict>
          </mc:Fallback>
        </mc:AlternateContent>
      </w:r>
    </w:p>
    <w:p w14:paraId="21BBAECD">
      <w:pPr>
        <w:widowControl w:val="0"/>
        <w:autoSpaceDE w:val="0"/>
        <w:autoSpaceDN w:val="0"/>
        <w:adjustRightInd w:val="0"/>
        <w:spacing w:line="324" w:lineRule="auto"/>
        <w:textAlignment w:val="center"/>
        <w:rPr>
          <w:rFonts w:ascii="方正兰亭准黑简体" w:eastAsia="方正兰亭准黑简体" w:cs="方正兰亭准黑简体"/>
          <w:color w:val="000000" w:themeColor="text1"/>
          <w:sz w:val="15"/>
          <w:szCs w:val="15"/>
          <w:lang w:eastAsia="zh-CN"/>
          <w14:textFill>
            <w14:solidFill>
              <w14:schemeClr w14:val="tx1"/>
            </w14:solidFill>
          </w14:textFill>
        </w:rPr>
        <w:sectPr>
          <w:type w:val="continuous"/>
          <w:pgSz w:w="11900" w:h="16840"/>
          <w:pgMar w:top="1985" w:right="851" w:bottom="1134" w:left="1134" w:header="709" w:footer="709" w:gutter="0"/>
          <w:cols w:space="708" w:num="2"/>
          <w:docGrid w:linePitch="360" w:charSpace="0"/>
        </w:sectPr>
      </w:pPr>
    </w:p>
    <w:p w14:paraId="4C0EFD67">
      <w:pPr>
        <w:widowControl w:val="0"/>
        <w:autoSpaceDE w:val="0"/>
        <w:autoSpaceDN w:val="0"/>
        <w:adjustRightInd w:val="0"/>
        <w:spacing w:line="324" w:lineRule="auto"/>
        <w:textAlignment w:val="center"/>
        <w:rPr>
          <w:rFonts w:hint="eastAsia" w:ascii="黑体" w:hAnsi="黑体" w:eastAsia="黑体" w:cs="方正兰亭准黑简体"/>
          <w:color w:val="000000" w:themeColor="text1"/>
          <w:sz w:val="15"/>
          <w:szCs w:val="15"/>
          <w:lang w:eastAsia="zh-CN"/>
          <w14:textFill>
            <w14:solidFill>
              <w14:schemeClr w14:val="tx1"/>
            </w14:solidFill>
          </w14:textFill>
        </w:rPr>
      </w:pPr>
    </w:p>
    <w:p w14:paraId="761C3660">
      <w:pPr>
        <w:widowControl w:val="0"/>
        <w:autoSpaceDE w:val="0"/>
        <w:autoSpaceDN w:val="0"/>
        <w:adjustRightInd w:val="0"/>
        <w:spacing w:line="324" w:lineRule="auto"/>
        <w:textAlignment w:val="center"/>
        <w:rPr>
          <w:rFonts w:hint="eastAsia" w:ascii="黑体" w:hAnsi="黑体" w:eastAsia="黑体" w:cs="方正兰亭准黑简体"/>
          <w:color w:val="000000" w:themeColor="text1"/>
          <w:sz w:val="15"/>
          <w:szCs w:val="15"/>
          <w:lang w:eastAsia="zh-CN"/>
          <w14:textFill>
            <w14:solidFill>
              <w14:schemeClr w14:val="tx1"/>
            </w14:solidFill>
          </w14:textFill>
        </w:rPr>
      </w:pPr>
    </w:p>
    <w:p w14:paraId="3162E851">
      <w:pPr>
        <w:widowControl w:val="0"/>
        <w:autoSpaceDE w:val="0"/>
        <w:autoSpaceDN w:val="0"/>
        <w:adjustRightInd w:val="0"/>
        <w:spacing w:line="324" w:lineRule="auto"/>
        <w:textAlignment w:val="center"/>
        <w:rPr>
          <w:rFonts w:hint="eastAsia" w:ascii="黑体" w:hAnsi="黑体" w:eastAsia="黑体" w:cs="方正兰亭准黑简体"/>
          <w:color w:val="000000" w:themeColor="text1"/>
          <w:sz w:val="15"/>
          <w:szCs w:val="15"/>
          <w:lang w:val="zh-CN" w:eastAsia="zh-CN"/>
          <w14:textFill>
            <w14:solidFill>
              <w14:schemeClr w14:val="tx1"/>
            </w14:solidFill>
          </w14:textFill>
        </w:rPr>
      </w:pPr>
      <w:r>
        <w:rPr>
          <w:rFonts w:hint="eastAsia" w:ascii="黑体" w:hAnsi="黑体" w:eastAsia="黑体" w:cs="方正兰亭准黑简体"/>
          <w:color w:val="000000" w:themeColor="text1"/>
          <w:sz w:val="15"/>
          <w:szCs w:val="15"/>
          <w:lang w:val="zh-CN" w:eastAsia="zh-CN"/>
          <w14:textFill>
            <w14:solidFill>
              <w14:schemeClr w14:val="tx1"/>
            </w14:solidFill>
          </w14:textFill>
        </w:rPr>
        <w:t>参考文献：</w:t>
      </w:r>
    </w:p>
    <w:p w14:paraId="5D717CC1">
      <w:pPr>
        <w:widowControl w:val="0"/>
        <w:autoSpaceDE w:val="0"/>
        <w:autoSpaceDN w:val="0"/>
        <w:adjustRightInd w:val="0"/>
        <w:spacing w:line="324" w:lineRule="auto"/>
        <w:textAlignment w:val="center"/>
        <w:rPr>
          <w:rFonts w:hint="eastAsia" w:ascii="黑体" w:hAnsi="黑体" w:eastAsia="黑体" w:cs="方正粗雅宋_GBK"/>
          <w:color w:val="000000" w:themeColor="text1"/>
          <w:sz w:val="15"/>
          <w:szCs w:val="15"/>
          <w:lang w:val="zh-CN" w:eastAsia="zh-CN"/>
          <w14:textFill>
            <w14:solidFill>
              <w14:schemeClr w14:val="tx1"/>
            </w14:solidFill>
          </w14:textFill>
        </w:rPr>
      </w:pPr>
      <w:r>
        <w:rPr>
          <w:rFonts w:ascii="黑体" w:hAnsi="黑体" w:eastAsia="黑体" w:cs="方正粗雅宋_GBK"/>
          <w:color w:val="000000" w:themeColor="text1"/>
          <w:sz w:val="15"/>
          <w:szCs w:val="15"/>
          <w:lang w:eastAsia="zh-CN"/>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3175</wp:posOffset>
                </wp:positionH>
                <wp:positionV relativeFrom="paragraph">
                  <wp:posOffset>60325</wp:posOffset>
                </wp:positionV>
                <wp:extent cx="2886075" cy="0"/>
                <wp:effectExtent l="0" t="0" r="9525" b="19050"/>
                <wp:wrapNone/>
                <wp:docPr id="17" name="直接连接符 17"/>
                <wp:cNvGraphicFramePr/>
                <a:graphic xmlns:a="http://schemas.openxmlformats.org/drawingml/2006/main">
                  <a:graphicData uri="http://schemas.microsoft.com/office/word/2010/wordprocessingShape">
                    <wps:wsp>
                      <wps:cNvCnPr/>
                      <wps:spPr>
                        <a:xfrm>
                          <a:off x="0" y="0"/>
                          <a:ext cx="28863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25pt;margin-top:4.75pt;height:0pt;width:227.25pt;z-index:251659264;mso-width-relative:page;mso-height-relative:page;" filled="f" stroked="t" coordsize="21600,21600" o:gfxdata="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mJk1nSAAAABAEAAA8A&#10;AAAAAAAAAQAgAAAAIgAAAGRycy9kb3ducmV2LnhtbFBLAQIUABQAAAAIAIdO4kB1ingt5AEAALMD&#10;AAAOAAAAAAAAAAEAIAAAACEBAABkcnMvZTJvRG9jLnhtbFBLBQYAAAAABgAGAFkBAAB3BQAAAAA=&#10;">
                <v:fill on="f" focussize="0,0"/>
                <v:stroke weight="0.5pt" color="#000000 [3200]" miterlimit="8" joinstyle="miter"/>
                <v:imagedata o:title=""/>
                <o:lock v:ext="edit" aspectratio="f"/>
              </v:line>
            </w:pict>
          </mc:Fallback>
        </mc:AlternateContent>
      </w:r>
    </w:p>
    <w:p w14:paraId="3AF12C78">
      <w:pPr>
        <w:numPr>
          <w:ilvl w:val="0"/>
          <w:numId w:val="2"/>
        </w:numPr>
        <w:wordWrap w:val="0"/>
        <w:overflowPunct w:val="0"/>
        <w:rPr>
          <w:rFonts w:hint="eastAsia" w:ascii="黑体" w:hAnsi="黑体" w:eastAsia="黑体" w:cs="黑体"/>
          <w:sz w:val="13"/>
          <w:szCs w:val="13"/>
          <w:lang w:eastAsia="zh-CN"/>
        </w:rPr>
      </w:pPr>
      <w:bookmarkStart w:id="7" w:name="_Ref8020"/>
      <w:r>
        <w:rPr>
          <w:rFonts w:hint="eastAsia" w:ascii="黑体" w:hAnsi="黑体" w:eastAsia="黑体" w:cs="黑体"/>
          <w:sz w:val="13"/>
          <w:szCs w:val="13"/>
          <w:lang w:eastAsia="zh-CN"/>
        </w:rPr>
        <w:t>习近平.中共中央关于制定国民经济和社会发展第十四个五年规划和二〇三五年远景目标的建议[N]. 人民日报, 2020-11-04(01).</w:t>
      </w:r>
      <w:bookmarkEnd w:id="7"/>
    </w:p>
    <w:p w14:paraId="7A7A12F2">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XI Jinping. Proposal of the Central Committee of the Communist Party of China on Formulating the 14th Five-Year Plan for National Economic and Social Development and the Long-Range Objectives Through the Year 2035[N]. People’s Daily, 2020-11-04(01).</w:t>
      </w:r>
    </w:p>
    <w:p w14:paraId="6B01A4C5">
      <w:pPr>
        <w:numPr>
          <w:ilvl w:val="0"/>
          <w:numId w:val="2"/>
        </w:numPr>
        <w:wordWrap w:val="0"/>
        <w:overflowPunct w:val="0"/>
        <w:rPr>
          <w:rFonts w:hint="eastAsia" w:ascii="黑体" w:hAnsi="黑体" w:eastAsia="黑体" w:cs="黑体"/>
          <w:sz w:val="13"/>
          <w:szCs w:val="13"/>
          <w:lang w:eastAsia="zh-CN"/>
        </w:rPr>
      </w:pPr>
      <w:bookmarkStart w:id="8" w:name="_Ref29364"/>
      <w:r>
        <w:rPr>
          <w:rFonts w:hint="eastAsia" w:ascii="黑体" w:hAnsi="黑体" w:eastAsia="黑体" w:cs="黑体"/>
          <w:sz w:val="13"/>
          <w:szCs w:val="13"/>
          <w:lang w:eastAsia="zh-CN"/>
        </w:rPr>
        <w:t>黎家佑.城市现代化治理的新时代路径[N] .中国社会科学报, 2020-06-02(08).</w:t>
      </w:r>
      <w:bookmarkEnd w:id="8"/>
    </w:p>
    <w:p w14:paraId="0BC7CA3D">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LI Jia-you. New-Era Pathways for Urban Modernization Governance[N]. Chinese Social Sciences Today, 2020-06-02(08).</w:t>
      </w:r>
    </w:p>
    <w:p w14:paraId="4C1D3321">
      <w:pPr>
        <w:numPr>
          <w:ilvl w:val="0"/>
          <w:numId w:val="2"/>
        </w:numPr>
        <w:wordWrap w:val="0"/>
        <w:overflowPunct w:val="0"/>
        <w:rPr>
          <w:rFonts w:hint="eastAsia" w:ascii="黑体" w:hAnsi="黑体" w:eastAsia="黑体" w:cs="黑体"/>
          <w:sz w:val="13"/>
          <w:szCs w:val="13"/>
          <w:lang w:eastAsia="zh-CN"/>
        </w:rPr>
      </w:pPr>
      <w:bookmarkStart w:id="9" w:name="_Ref8036"/>
      <w:bookmarkStart w:id="10" w:name="_Ref29373"/>
      <w:bookmarkStart w:id="11" w:name="_Ref19756"/>
      <w:r>
        <w:rPr>
          <w:rFonts w:hint="eastAsia" w:ascii="黑体" w:hAnsi="黑体" w:eastAsia="黑体" w:cs="黑体"/>
          <w:sz w:val="13"/>
          <w:szCs w:val="13"/>
          <w:lang w:eastAsia="zh-CN"/>
        </w:rPr>
        <w:t>TAMOSIUNAS A, GRAZULEVICIENE R, LUKSIENE D, et al. Accessibility and use of urban green spaces, and cardiovascular health: findings from a Kaunas cohort study[J]. Environmental Health, 2014, 13(1): 20. DOI:10.1186/1476-069X-13-20.</w:t>
      </w:r>
      <w:bookmarkEnd w:id="9"/>
    </w:p>
    <w:bookmarkEnd w:id="10"/>
    <w:bookmarkEnd w:id="11"/>
    <w:p w14:paraId="2EF9042C">
      <w:pPr>
        <w:numPr>
          <w:ilvl w:val="0"/>
          <w:numId w:val="2"/>
        </w:numPr>
        <w:wordWrap w:val="0"/>
        <w:overflowPunct w:val="0"/>
        <w:rPr>
          <w:rFonts w:hint="eastAsia" w:ascii="黑体" w:hAnsi="黑体" w:eastAsia="黑体" w:cs="黑体"/>
          <w:sz w:val="13"/>
          <w:szCs w:val="13"/>
          <w:lang w:eastAsia="zh-CN"/>
        </w:rPr>
      </w:pPr>
      <w:bookmarkStart w:id="12" w:name="_Ref8043"/>
      <w:bookmarkStart w:id="13" w:name="_Ref31655"/>
      <w:bookmarkStart w:id="14" w:name="_Ref7851"/>
      <w:r>
        <w:rPr>
          <w:rFonts w:hint="eastAsia" w:ascii="黑体" w:hAnsi="黑体" w:eastAsia="黑体" w:cs="黑体"/>
          <w:sz w:val="13"/>
          <w:szCs w:val="13"/>
          <w:lang w:eastAsia="zh-CN"/>
        </w:rPr>
        <w:t>于冰沁,谢长坤,杨硕冰,等.上海城市社区公园居民游憩感知满意度与重要性的对应分析[J].中国园林,2014,30(09):75-78.</w:t>
      </w:r>
      <w:bookmarkEnd w:id="12"/>
    </w:p>
    <w:p w14:paraId="1C502754">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YU Bingqin, XIE Changkun, YANG Shuobing, et al. Correspondence Analysis on Residents’ Perceived Recreation Satisfaction and Importance in Shanghai Urban Community Park[J]. Chinese Landscape Architecture, 2014, 30(09): 75-78.</w:t>
      </w:r>
    </w:p>
    <w:bookmarkEnd w:id="13"/>
    <w:p w14:paraId="115B3141">
      <w:pPr>
        <w:numPr>
          <w:ilvl w:val="0"/>
          <w:numId w:val="2"/>
        </w:numPr>
        <w:wordWrap w:val="0"/>
        <w:overflowPunct w:val="0"/>
        <w:rPr>
          <w:rFonts w:hint="eastAsia" w:ascii="黑体" w:hAnsi="黑体" w:eastAsia="黑体" w:cs="黑体"/>
          <w:sz w:val="13"/>
          <w:szCs w:val="13"/>
          <w:lang w:eastAsia="zh-CN"/>
        </w:rPr>
      </w:pPr>
      <w:bookmarkStart w:id="15" w:name="_Ref30028"/>
      <w:bookmarkStart w:id="16" w:name="_Ref8049"/>
      <w:bookmarkStart w:id="17" w:name="_Ref32181"/>
      <w:r>
        <w:rPr>
          <w:rFonts w:hint="eastAsia" w:ascii="黑体" w:hAnsi="黑体" w:eastAsia="黑体" w:cs="黑体"/>
          <w:sz w:val="13"/>
          <w:szCs w:val="13"/>
        </w:rPr>
        <w:t>Millennium Ecosystem Assessment. Ecosystems and Human Well-being: Synthesis[M]. Washington, DC: Island Press, 2005.</w:t>
      </w:r>
    </w:p>
    <w:bookmarkEnd w:id="15"/>
    <w:bookmarkEnd w:id="16"/>
    <w:p w14:paraId="488F43A9">
      <w:pPr>
        <w:numPr>
          <w:ilvl w:val="0"/>
          <w:numId w:val="2"/>
        </w:numPr>
        <w:wordWrap w:val="0"/>
        <w:overflowPunct w:val="0"/>
        <w:rPr>
          <w:rFonts w:hint="eastAsia" w:ascii="黑体" w:hAnsi="黑体" w:eastAsia="黑体" w:cs="黑体"/>
          <w:sz w:val="13"/>
          <w:szCs w:val="13"/>
          <w:lang w:eastAsia="zh-CN"/>
        </w:rPr>
      </w:pPr>
      <w:bookmarkStart w:id="18" w:name="_Ref4360"/>
      <w:r>
        <w:rPr>
          <w:rFonts w:hint="eastAsia" w:ascii="黑体" w:hAnsi="黑体" w:eastAsia="黑体" w:cs="黑体"/>
          <w:sz w:val="13"/>
          <w:szCs w:val="13"/>
        </w:rPr>
        <w:t>CHENG X, VAN DAMME S, LI L, UYTTENHOVE P. Evaluation of cultural ecosystem services: A review of methods[J]. Ecosystem Services, 2019, 37: 100925. DOI:10.1016/j.ecoser.2019.100925.</w:t>
      </w:r>
    </w:p>
    <w:p w14:paraId="2A7FDE33">
      <w:pPr>
        <w:numPr>
          <w:ilvl w:val="0"/>
          <w:numId w:val="2"/>
        </w:numPr>
        <w:wordWrap w:val="0"/>
        <w:overflowPunct w:val="0"/>
        <w:rPr>
          <w:rFonts w:hint="eastAsia" w:ascii="黑体" w:hAnsi="黑体" w:eastAsia="黑体" w:cs="黑体"/>
          <w:sz w:val="13"/>
          <w:szCs w:val="13"/>
          <w:lang w:eastAsia="zh-CN"/>
        </w:rPr>
      </w:pPr>
      <w:commentRangeStart w:id="1"/>
      <w:r>
        <w:rPr>
          <w:highlight w:val="yellow"/>
        </w:rPr>
        <w:t xml:space="preserve">吴猛,李虎,卢玫珺. 基于网络文本的水利风景区生态系统文化服务感知研究 [J]. 水电能源科学, 2025, 43 (09): 52-55+109. DOI:10.20040/j.cnki.1000-7709.2025.20241918. </w:t>
      </w:r>
      <w:commentRangeEnd w:id="1"/>
      <w:r>
        <w:rPr>
          <w:rStyle w:val="CommentReference"/>
        </w:rPr>
        <w:commentReference w:id="1"/>
      </w:r>
    </w:p>
    <w:p w14:paraId="77E14938">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WU Meng, LI Hu, LU Mei-jun. Perceptions of Cultural Ecosystem Services in Water Conservancy Scenic Areas Based on Online Texts[J]. Water Resources and Power, 2025, 43(09): 52-55+109. DOI:10.20040/j.cnki.1000-7709.2025.20241918.</w:t>
      </w:r>
    </w:p>
    <w:p w14:paraId="482D8F2C">
      <w:pPr>
        <w:numPr>
          <w:ilvl w:val="0"/>
          <w:numId w:val="2"/>
        </w:numPr>
        <w:wordWrap w:val="0"/>
        <w:overflowPunct w:val="0"/>
        <w:rPr>
          <w:rFonts w:hint="eastAsia" w:ascii="黑体" w:hAnsi="黑体" w:eastAsia="黑体" w:cs="黑体"/>
          <w:sz w:val="13"/>
          <w:szCs w:val="13"/>
          <w:lang w:eastAsia="zh-CN"/>
        </w:rPr>
      </w:pPr>
      <w:bookmarkStart w:id="19" w:name="_Ref4389"/>
      <w:r>
        <w:rPr>
          <w:rFonts w:hint="eastAsia" w:ascii="黑体" w:hAnsi="黑体" w:eastAsia="黑体" w:cs="黑体"/>
          <w:sz w:val="13"/>
          <w:szCs w:val="13"/>
          <w:lang w:eastAsia="zh-CN"/>
        </w:rPr>
        <w:t>钟姝,李方正,刘志成. 北京市中心城区社区公园生态系统文化服务评价与优化策略 [J]. 北京林业大学学报, 2024, 46 (12): 126-137.</w:t>
      </w:r>
      <w:bookmarkEnd w:id="19"/>
    </w:p>
    <w:p w14:paraId="7EDE66D1">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ZHONG Shu, LI Fangzheng, LIU Zhicheng. Evaluation and Optimization Strategies of Cultural Ecosystem Services in Community Parks in Central Urban Area of Beijing[J]. Journal of Beijing Forestry University, 2024, 46(12): 126-137.</w:t>
      </w:r>
    </w:p>
    <w:p w14:paraId="517C639D">
      <w:pPr>
        <w:numPr>
          <w:ilvl w:val="0"/>
          <w:numId w:val="2"/>
        </w:numPr>
        <w:wordWrap w:val="0"/>
        <w:overflowPunct w:val="0"/>
        <w:rPr>
          <w:rFonts w:hint="eastAsia" w:ascii="黑体" w:hAnsi="黑体" w:eastAsia="黑体" w:cs="黑体"/>
          <w:sz w:val="13"/>
          <w:szCs w:val="13"/>
          <w:lang w:eastAsia="zh-CN"/>
        </w:rPr>
      </w:pPr>
      <w:commentRangeStart w:id="2"/>
      <w:r>
        <w:rPr>
          <w:highlight w:val="yellow"/>
        </w:rPr>
        <w:t xml:space="preserve">王志芳,赵稼楠,彭瑶瑶,等. 广州市公园对比评价研究——基于社交媒体数据的文本分析 [J]. 风景园林, 2019, 26 (08): 89-94. DOI:10.14085/j.fjyl.2019.08.0089.06. </w:t>
      </w:r>
      <w:commentRangeEnd w:id="2"/>
      <w:r>
        <w:rPr>
          <w:rStyle w:val="CommentReference"/>
        </w:rPr>
        <w:commentReference w:id="2"/>
      </w:r>
    </w:p>
    <w:p w14:paraId="69647587">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WANG Zhi-fang, ZHAO Jia-nan, PENG Yao-yao, et al. Comparative Evaluation of Guangzhou City Parks: Text Analysis Based on Social Media Data[J]. Landscape Architecture, 2019, 26(08):89-94. DOI:10.14085/j.fjyl.2019.08.0089.06.</w:t>
      </w:r>
    </w:p>
    <w:bookmarkEnd w:id="17"/>
    <w:bookmarkEnd w:id="21"/>
    <w:p w14:paraId="7973BDAF">
      <w:pPr>
        <w:numPr>
          <w:ilvl w:val="0"/>
          <w:numId w:val="2"/>
        </w:numPr>
        <w:wordWrap w:val="0"/>
        <w:overflowPunct w:val="0"/>
        <w:rPr>
          <w:rFonts w:hint="eastAsia" w:ascii="黑体" w:hAnsi="黑体" w:eastAsia="黑体" w:cs="黑体"/>
          <w:sz w:val="13"/>
          <w:szCs w:val="13"/>
          <w:lang w:eastAsia="zh-CN"/>
        </w:rPr>
      </w:pPr>
      <w:bookmarkStart w:id="22" w:name="_Ref8252"/>
      <w:bookmarkStart w:id="23" w:name="_Ref6231"/>
      <w:bookmarkStart w:id="24" w:name="_Ref15103"/>
      <w:r>
        <w:rPr>
          <w:rFonts w:hint="eastAsia" w:ascii="黑体" w:hAnsi="黑体" w:eastAsia="黑体" w:cs="黑体"/>
          <w:sz w:val="13"/>
          <w:szCs w:val="13"/>
          <w:lang w:eastAsia="zh-CN"/>
        </w:rPr>
        <w:t>杨丽娟,陈怡婧,吴秋宏.基于文本情感分析的山地城市公园感知质量评价——以重庆市渝中区为例[J].林业调查规划,2024,49(06):188-195.</w:t>
      </w:r>
      <w:bookmarkEnd w:id="22"/>
    </w:p>
    <w:p w14:paraId="2B42C662">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YANG Li-juan, CHEN Yi-jing, WU Qiu-hong. Perceived Quality Evaluation of Mountain City Parks Based on Text Sentiment Analysis: A Case Study of Yuzhong District, Chongqing[J]. Forestry Inventory and Planning, 2024, 49(06): 188-195.</w:t>
      </w:r>
    </w:p>
    <w:p w14:paraId="4DB9CFC9">
      <w:pPr>
        <w:numPr>
          <w:ilvl w:val="0"/>
          <w:numId w:val="2"/>
        </w:numPr>
        <w:wordWrap w:val="0"/>
        <w:overflowPunct w:val="0"/>
        <w:rPr>
          <w:rFonts w:hint="eastAsia" w:ascii="黑体" w:hAnsi="黑体" w:eastAsia="黑体" w:cs="黑体"/>
          <w:sz w:val="13"/>
          <w:szCs w:val="13"/>
          <w:lang w:eastAsia="zh-CN"/>
        </w:rPr>
      </w:pPr>
      <w:bookmarkStart w:id="25" w:name="_Ref8258"/>
      <w:r>
        <w:rPr>
          <w:rFonts w:hint="eastAsia" w:ascii="黑体" w:hAnsi="黑体" w:eastAsia="黑体" w:cs="黑体"/>
          <w:sz w:val="13"/>
          <w:szCs w:val="13"/>
          <w:lang w:eastAsia="zh-CN"/>
        </w:rPr>
        <w:t>杜文武,吴伟,李可欣. 日本自然公园的体系与历程研究 [J]. 中国园林, 2018, 34 (05): 76-82.</w:t>
      </w:r>
      <w:bookmarkEnd w:id="23"/>
      <w:bookmarkEnd w:id="25"/>
    </w:p>
    <w:p w14:paraId="14A39577">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DU Wen-wu, WU Wei, LI Ke-xin. The System and Evolution of Japan’s Natural Parks[J]. Chinese Landscape Architecture, 2018, 34(05): 76-82.</w:t>
      </w:r>
    </w:p>
    <w:p w14:paraId="00D6F154">
      <w:pPr>
        <w:numPr>
          <w:ilvl w:val="0"/>
          <w:numId w:val="2"/>
        </w:numPr>
        <w:wordWrap w:val="0"/>
        <w:overflowPunct w:val="0"/>
        <w:rPr>
          <w:rFonts w:hint="eastAsia" w:ascii="黑体" w:hAnsi="黑体" w:eastAsia="黑体" w:cs="黑体"/>
          <w:sz w:val="13"/>
          <w:szCs w:val="13"/>
          <w:lang w:eastAsia="zh-CN"/>
        </w:rPr>
      </w:pPr>
      <w:bookmarkStart w:id="26" w:name="_Ref21289"/>
      <w:bookmarkStart w:id="27" w:name="_Ref8262"/>
      <w:r>
        <w:rPr>
          <w:rFonts w:hint="eastAsia" w:ascii="黑体" w:hAnsi="黑体" w:eastAsia="黑体" w:cs="黑体"/>
          <w:sz w:val="13"/>
          <w:szCs w:val="13"/>
          <w:lang w:eastAsia="zh-CN"/>
        </w:rPr>
        <w:t>孙伟博,</w:t>
      </w:r>
      <w:bookmarkEnd w:id="26"/>
      <w:r>
        <w:rPr>
          <w:rFonts w:hint="eastAsia" w:ascii="黑体" w:hAnsi="黑体" w:eastAsia="黑体" w:cs="黑体"/>
          <w:sz w:val="13"/>
          <w:szCs w:val="13"/>
          <w:lang w:eastAsia="zh-CN"/>
        </w:rPr>
        <w:t>张斌. 人工智能时代背景下自然语言处理技术的发展 [J]. 电子技术与软件工程, 2020, (13): 104-105. DOI:10.20109/j.cnki.etse.2020.13.048.</w:t>
      </w:r>
      <w:bookmarkEnd w:id="27"/>
    </w:p>
    <w:p w14:paraId="5CC481E2">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SUN Wei-bo, ZHANG Bin. Development of Natural Language Processing Technology in the Era of Artificial Intelligence[J]. Electronic Technology &amp; Software Engineering, 2020, (13): 104-105. DOI:10.20109/j.cnki.etse.2020.13.048.</w:t>
      </w:r>
    </w:p>
    <w:bookmarkEnd w:id="24"/>
    <w:p w14:paraId="087232F8">
      <w:pPr>
        <w:numPr>
          <w:ilvl w:val="0"/>
          <w:numId w:val="2"/>
        </w:numPr>
        <w:wordWrap w:val="0"/>
        <w:overflowPunct w:val="0"/>
        <w:rPr>
          <w:rFonts w:hint="eastAsia" w:ascii="黑体" w:hAnsi="黑体" w:eastAsia="黑体" w:cs="黑体"/>
          <w:sz w:val="13"/>
          <w:szCs w:val="13"/>
          <w:lang w:eastAsia="zh-CN"/>
        </w:rPr>
      </w:pPr>
      <w:bookmarkStart w:id="28" w:name="_Ref8265"/>
      <w:bookmarkStart w:id="29" w:name="_Ref15792"/>
      <w:r>
        <w:rPr>
          <w:rFonts w:hint="eastAsia" w:ascii="黑体" w:hAnsi="黑体" w:eastAsia="黑体" w:cs="黑体"/>
          <w:sz w:val="13"/>
          <w:szCs w:val="13"/>
          <w:lang w:eastAsia="zh-CN"/>
        </w:rPr>
        <w:t>薛兴华,段晓凤.城市绿化公园综合环境特性对居民游憩活动的影响[J].城市规划,2012,36(10):40-44.</w:t>
      </w:r>
      <w:bookmarkEnd w:id="28"/>
    </w:p>
    <w:p w14:paraId="4C24546B">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XUE Xing-hua, DUAN Xiao-feng. Effects of Comprehensive Environmental Characteristics of Urban Green Parks on Residents’ Recreational Activities[J]. City Planning Review, 2012, 36(10): 40-44.</w:t>
      </w:r>
    </w:p>
    <w:p w14:paraId="56198FB4">
      <w:pPr>
        <w:numPr>
          <w:ilvl w:val="0"/>
          <w:numId w:val="2"/>
        </w:numPr>
        <w:wordWrap w:val="0"/>
        <w:overflowPunct w:val="0"/>
        <w:rPr>
          <w:rFonts w:hint="eastAsia" w:ascii="黑体" w:hAnsi="黑体" w:eastAsia="黑体" w:cs="黑体"/>
          <w:sz w:val="13"/>
          <w:szCs w:val="13"/>
          <w:lang w:eastAsia="zh-CN"/>
        </w:rPr>
      </w:pPr>
      <w:bookmarkStart w:id="30" w:name="_Ref8268"/>
      <w:r>
        <w:rPr>
          <w:rFonts w:hint="eastAsia" w:ascii="黑体" w:hAnsi="黑体" w:eastAsia="黑体" w:cs="黑体"/>
          <w:sz w:val="13"/>
          <w:szCs w:val="13"/>
          <w:lang w:eastAsia="zh-CN"/>
        </w:rPr>
        <w:t>王新文, 高建洁. 西安主城区遗址公园文化服务绩效研究[J]. 中国园林, 2023, 39(3): 106-111.</w:t>
      </w:r>
      <w:bookmarkEnd w:id="29"/>
      <w:bookmarkEnd w:id="30"/>
    </w:p>
    <w:p w14:paraId="610725D9">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WANG X W, GAO J J. Research on Cultural Service Performance of Heritage Park in Xi’an City[J]. Chinese Landscape Architecture, 2023, 39(3):106-111.</w:t>
      </w:r>
    </w:p>
    <w:bookmarkEnd w:id="14"/>
    <w:p w14:paraId="4C73E05B">
      <w:pPr>
        <w:numPr>
          <w:ilvl w:val="0"/>
          <w:numId w:val="2"/>
        </w:numPr>
        <w:wordWrap w:val="0"/>
        <w:overflowPunct w:val="0"/>
        <w:rPr>
          <w:rFonts w:hint="eastAsia" w:ascii="黑体" w:hAnsi="黑体" w:eastAsia="黑体" w:cs="黑体"/>
          <w:sz w:val="13"/>
          <w:szCs w:val="13"/>
          <w:lang w:eastAsia="zh-CN"/>
        </w:rPr>
      </w:pPr>
      <w:bookmarkStart w:id="31" w:name="_Ref10869"/>
      <w:bookmarkEnd w:id="31"/>
      <w:bookmarkStart w:id="32" w:name="_Ref8271"/>
      <w:bookmarkStart w:id="33" w:name="_Ref16145"/>
      <w:bookmarkStart w:id="34" w:name="_Ref20919"/>
      <w:r>
        <w:rPr>
          <w:rFonts w:hint="eastAsia" w:ascii="黑体" w:hAnsi="黑体" w:eastAsia="黑体" w:cs="黑体"/>
          <w:sz w:val="13"/>
          <w:szCs w:val="13"/>
          <w:lang w:eastAsia="zh-CN"/>
        </w:rPr>
        <w:t>COSTANZA R, D’ARGE R, DE GROOT R, et al. The value of the world’s ecosystem services and natural capital[J]. Nature, 1997, 387(6630): 253-260. DOI:10.1038/387253a0.</w:t>
      </w:r>
      <w:bookmarkEnd w:id="32"/>
    </w:p>
    <w:p w14:paraId="57379151">
      <w:pPr>
        <w:numPr>
          <w:ilvl w:val="0"/>
          <w:numId w:val="2"/>
        </w:numPr>
        <w:wordWrap w:val="0"/>
        <w:overflowPunct w:val="0"/>
        <w:rPr>
          <w:rFonts w:hint="eastAsia" w:ascii="黑体" w:hAnsi="黑体" w:eastAsia="黑体" w:cs="黑体"/>
          <w:sz w:val="13"/>
          <w:szCs w:val="13"/>
          <w:lang w:eastAsia="zh-CN"/>
        </w:rPr>
      </w:pPr>
      <w:bookmarkStart w:id="35" w:name="_Ref8764"/>
      <w:r>
        <w:rPr>
          <w:rFonts w:hint="eastAsia" w:ascii="黑体" w:hAnsi="黑体" w:eastAsia="黑体" w:cs="黑体"/>
          <w:sz w:val="13"/>
          <w:szCs w:val="13"/>
          <w:lang w:eastAsia="zh-CN"/>
        </w:rPr>
        <w:t xml:space="preserve">HERNÁNDEZ-MORCILLO M, PLIENINGER T, BIELING C. An empirical review of cultural ecosystem service indicators[J]. Ecological Indicators, 2013, 29: 434-444. </w:t>
      </w:r>
      <w:bookmarkEnd w:id="35"/>
    </w:p>
    <w:p w14:paraId="69289FCD">
      <w:pPr>
        <w:numPr>
          <w:ilvl w:val="0"/>
          <w:numId w:val="2"/>
        </w:numPr>
        <w:wordWrap w:val="0"/>
        <w:overflowPunct w:val="0"/>
        <w:rPr>
          <w:rFonts w:hint="eastAsia" w:ascii="黑体" w:hAnsi="黑体" w:eastAsia="黑体" w:cs="黑体"/>
          <w:sz w:val="13"/>
          <w:szCs w:val="13"/>
          <w:lang w:eastAsia="zh-CN"/>
        </w:rPr>
      </w:pPr>
      <w:bookmarkStart w:id="36" w:name="_Ref8768"/>
      <w:r>
        <w:rPr>
          <w:rFonts w:hint="eastAsia" w:ascii="黑体" w:hAnsi="黑体" w:eastAsia="黑体" w:cs="黑体"/>
          <w:sz w:val="13"/>
          <w:szCs w:val="13"/>
          <w:lang w:eastAsia="zh-CN"/>
        </w:rPr>
        <w:t>肖星,杜坤.城市公园游憩者满意度研究——以广州为例[J].人文地理,2011,26(01):129-133.DOI:10.13959/j.issn.1003-2398.2011.01.011.</w:t>
      </w:r>
      <w:bookmarkEnd w:id="36"/>
    </w:p>
    <w:p w14:paraId="7D899D30">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XIAO Xing, DU Kun. A study on recreationists’ satisfaction of Guangzhou city parks[J]. Human Geography, 2011, 26(01):129-133. DOI:10.13959/j.issn.1003-2398.2011.01.011.</w:t>
      </w:r>
    </w:p>
    <w:p w14:paraId="582D1130">
      <w:pPr>
        <w:numPr>
          <w:ilvl w:val="0"/>
          <w:numId w:val="2"/>
        </w:numPr>
        <w:wordWrap w:val="0"/>
        <w:overflowPunct w:val="0"/>
        <w:rPr>
          <w:rFonts w:hint="eastAsia" w:ascii="黑体" w:hAnsi="黑体" w:eastAsia="黑体" w:cs="黑体"/>
          <w:sz w:val="13"/>
          <w:szCs w:val="13"/>
          <w:lang w:eastAsia="zh-CN"/>
        </w:rPr>
      </w:pPr>
      <w:bookmarkStart w:id="37" w:name="_Ref8774"/>
      <w:r>
        <w:rPr>
          <w:rFonts w:hint="eastAsia" w:ascii="黑体" w:hAnsi="黑体" w:eastAsia="黑体" w:cs="黑体"/>
          <w:sz w:val="13"/>
          <w:szCs w:val="13"/>
          <w:lang w:eastAsia="zh-CN"/>
        </w:rPr>
        <w:t>王</w:t>
      </w:r>
      <w:bookmarkEnd w:id="33"/>
      <w:r>
        <w:rPr>
          <w:rFonts w:hint="eastAsia" w:ascii="黑体" w:hAnsi="黑体" w:eastAsia="黑体" w:cs="黑体"/>
          <w:sz w:val="13"/>
          <w:szCs w:val="13"/>
          <w:lang w:eastAsia="zh-CN"/>
        </w:rPr>
        <w:t>甫园,张之羽,谢源菁,等. 基于机器学习的城市游憩空间热度-情感分布与匹配性格局——以广州市为例 [J]. 热带地理, 2025, 45 (07): 1174-1188. DOI:10.13284/j.cnki.rddl.20240202.</w:t>
      </w:r>
      <w:bookmarkEnd w:id="37"/>
    </w:p>
    <w:bookmarkEnd w:id="34"/>
    <w:p w14:paraId="3413EA0C">
      <w:pPr>
        <w:wordWrap w:val="0"/>
        <w:overflowPunct w:val="0"/>
        <w:rPr>
          <w:rFonts w:hint="eastAsia" w:ascii="黑体" w:hAnsi="黑体" w:eastAsia="黑体" w:cs="黑体"/>
          <w:sz w:val="13"/>
          <w:szCs w:val="13"/>
          <w:lang w:eastAsia="zh-CN"/>
        </w:rPr>
      </w:pPr>
      <w:commentRangeStart w:id="3"/>
      <w:r>
        <w:rPr>
          <w:highlight w:val="yellow"/>
        </w:rPr>
        <w:t>Fuyuan Wang, Zhiyu Zhang, Yuanjing Xie, Xinyi Yang, Miao Sun. Urban Recreational Space Heat-Emotion Distribution and Matching Pattern Based on Machine Learning: A Case Study of Guangzhou City[J]. Tropical Geography, 2025, 45(7): 1174-1188 https://doi.org/10.13284/j.cnki.rddl.20240202</w:t>
      </w:r>
      <w:commentRangeEnd w:id="3"/>
      <w:r>
        <w:rPr>
          <w:rStyle w:val="CommentReference"/>
        </w:rPr>
        <w:commentReference w:id="3"/>
      </w:r>
    </w:p>
    <w:p w14:paraId="4A6BF081">
      <w:pPr>
        <w:numPr>
          <w:ilvl w:val="0"/>
          <w:numId w:val="2"/>
        </w:numPr>
        <w:wordWrap w:val="0"/>
        <w:overflowPunct w:val="0"/>
        <w:rPr>
          <w:rFonts w:hint="eastAsia" w:ascii="黑体" w:hAnsi="黑体" w:eastAsia="黑体" w:cs="黑体"/>
          <w:sz w:val="13"/>
          <w:szCs w:val="13"/>
          <w:lang w:eastAsia="zh-CN"/>
        </w:rPr>
      </w:pPr>
      <w:bookmarkStart w:id="40" w:name="_Ref8781"/>
      <w:r>
        <w:rPr>
          <w:rFonts w:hint="eastAsia" w:ascii="黑体" w:hAnsi="黑体" w:eastAsia="黑体" w:cs="黑体"/>
          <w:sz w:val="13"/>
          <w:szCs w:val="13"/>
          <w:lang w:eastAsia="zh-CN"/>
        </w:rPr>
        <w:t>汪川.基于在线评论情感分析的新疆旅游景点推荐[D].新疆大学,2023.DOI:10.27429/d.cnki.gxjdu.2023.001270.</w:t>
      </w:r>
      <w:bookmarkEnd w:id="38"/>
      <w:bookmarkEnd w:id="40"/>
    </w:p>
    <w:p w14:paraId="428C7632">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WANG Chuan. Recommendation of Tourist Attractions in Xinjiang Based on Sentiment Analysis of Online Reviews[D]. Xinjiang University, 2023. DOI:10.27429/d.cnki.gxjdu.2023.001270.</w:t>
      </w:r>
    </w:p>
    <w:bookmarkEnd w:id="39"/>
    <w:p w14:paraId="5E61DD9F">
      <w:pPr>
        <w:numPr>
          <w:ilvl w:val="0"/>
          <w:numId w:val="2"/>
        </w:numPr>
        <w:wordWrap w:val="0"/>
        <w:overflowPunct w:val="0"/>
        <w:rPr>
          <w:rFonts w:hint="eastAsia" w:ascii="黑体" w:hAnsi="黑体" w:eastAsia="黑体" w:cs="黑体"/>
          <w:sz w:val="13"/>
          <w:szCs w:val="13"/>
          <w:lang w:eastAsia="zh-CN"/>
        </w:rPr>
      </w:pPr>
      <w:bookmarkStart w:id="41" w:name="_Ref8787"/>
      <w:bookmarkStart w:id="42" w:name="_Ref20030"/>
      <w:bookmarkStart w:id="43" w:name="_Ref20035"/>
      <w:bookmarkStart w:id="44" w:name="_Ref6801"/>
      <w:r>
        <w:rPr>
          <w:rFonts w:hint="eastAsia" w:ascii="黑体" w:hAnsi="黑体" w:eastAsia="黑体" w:cs="黑体"/>
          <w:sz w:val="13"/>
          <w:szCs w:val="13"/>
          <w:lang w:eastAsia="zh-CN"/>
        </w:rPr>
        <w:t>姜芊孜,王广兴,梁雪原,等.基于网络评论数据分析的城市公园生态系统文化服务感知研究[J].景观设计学(中英文),2022,10(05):32-51.</w:t>
      </w:r>
      <w:bookmarkEnd w:id="41"/>
    </w:p>
    <w:p w14:paraId="4A714E06">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JIANG Qianzi, WANG Guangxing, LIANG Xueyuan, LIU Na. Research on the Perception of Cultural Ecosystem Services in Urban Parks via Analyses of Online Comment Data[J]. Landscape Architecture Frontiers, 2022, 10(5):32-51. DOI:10.15302/J-LAF-1-020072.</w:t>
      </w:r>
    </w:p>
    <w:p w14:paraId="30328F23">
      <w:pPr>
        <w:numPr>
          <w:ilvl w:val="0"/>
          <w:numId w:val="2"/>
        </w:numPr>
        <w:wordWrap w:val="0"/>
        <w:overflowPunct w:val="0"/>
        <w:rPr>
          <w:rFonts w:hint="eastAsia" w:ascii="黑体" w:hAnsi="黑体" w:eastAsia="黑体" w:cs="黑体"/>
          <w:sz w:val="13"/>
          <w:szCs w:val="13"/>
          <w:lang w:eastAsia="zh-CN"/>
        </w:rPr>
      </w:pPr>
      <w:bookmarkStart w:id="45" w:name="_Ref8791"/>
      <w:r>
        <w:rPr>
          <w:rFonts w:hint="eastAsia" w:ascii="黑体" w:hAnsi="黑体" w:eastAsia="黑体" w:cs="黑体"/>
          <w:sz w:val="13"/>
          <w:szCs w:val="13"/>
          <w:lang w:eastAsia="zh-CN"/>
        </w:rPr>
        <w:t>吴志峰,柴彦威,党安荣,等. 地理学碰上”大数据”:热反应与冷思考 [J]. 地理研究, 2015, 34 (12): 2207-2221.</w:t>
      </w:r>
      <w:bookmarkEnd w:id="42"/>
      <w:bookmarkEnd w:id="45"/>
    </w:p>
    <w:p w14:paraId="2064B342">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WU Zhifeng, CHAI Yanwei, DANG Anrong, et al. Geography interact with big data: Dialogue and reflection[J]. Geographical Research, 2015, 34(12):2207-2221. DOI:10.11821/dlyj20151200.</w:t>
      </w:r>
    </w:p>
    <w:bookmarkEnd w:id="43"/>
    <w:bookmarkEnd w:id="44"/>
    <w:p w14:paraId="3FF3AF9B">
      <w:pPr>
        <w:numPr>
          <w:ilvl w:val="0"/>
          <w:numId w:val="2"/>
        </w:numPr>
        <w:wordWrap w:val="0"/>
        <w:overflowPunct w:val="0"/>
        <w:rPr>
          <w:rFonts w:hint="eastAsia" w:ascii="黑体" w:hAnsi="黑体" w:eastAsia="黑体" w:cs="黑体"/>
          <w:sz w:val="13"/>
          <w:szCs w:val="13"/>
          <w:lang w:eastAsia="zh-CN"/>
        </w:rPr>
      </w:pPr>
      <w:bookmarkStart w:id="46" w:name="_Ref8794"/>
      <w:bookmarkStart w:id="47" w:name="_Ref28646"/>
      <w:bookmarkStart w:id="48" w:name="_Ref9974"/>
      <w:r>
        <w:rPr>
          <w:rFonts w:hint="eastAsia" w:ascii="黑体" w:hAnsi="黑体" w:eastAsia="黑体" w:cs="黑体"/>
          <w:sz w:val="13"/>
          <w:szCs w:val="13"/>
          <w:lang w:eastAsia="zh-CN"/>
        </w:rPr>
        <w:t>叶林,江伦,韩贵锋.基于文本情感分析的城市公园使用感知评价研究——以重庆36个公园为例[J].西部人居环境学刊,2022,37(04):147-154.DOI:10.13791/j.cnki.hsfwest.20220420.</w:t>
      </w:r>
      <w:bookmarkEnd w:id="46"/>
    </w:p>
    <w:p w14:paraId="572E9111">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YE Lin, JIANG Lun, HAN Gui-feng. Research on User Perception Evaluation of Urban Parks Based on Text Sentiment Analysis: Taking 36 Parks in Chongqing as an Example[J]. Journal of Human Settlements in West China, 2022, 37(04): 147-154. DOI:10.13791/j.cnki.hsfwest.20220420.</w:t>
      </w:r>
    </w:p>
    <w:p w14:paraId="5ED86056">
      <w:pPr>
        <w:numPr>
          <w:ilvl w:val="0"/>
          <w:numId w:val="2"/>
        </w:numPr>
        <w:wordWrap w:val="0"/>
        <w:overflowPunct w:val="0"/>
        <w:rPr>
          <w:rFonts w:hint="eastAsia" w:ascii="黑体" w:hAnsi="黑体" w:eastAsia="黑体" w:cs="黑体"/>
          <w:sz w:val="13"/>
          <w:szCs w:val="13"/>
          <w:lang w:eastAsia="zh-CN"/>
        </w:rPr>
      </w:pPr>
      <w:bookmarkStart w:id="49" w:name="_Ref8797"/>
      <w:r>
        <w:rPr>
          <w:rFonts w:hint="eastAsia" w:ascii="黑体" w:hAnsi="黑体" w:eastAsia="黑体" w:cs="黑体"/>
          <w:sz w:val="13"/>
          <w:szCs w:val="13"/>
          <w:lang w:eastAsia="zh-CN"/>
        </w:rPr>
        <w:t>邬超,邵秀英.基于UGC和问卷调查数据的古村落旅游形象感知研究——以碛口古镇为例[J].干旱区资源与环境,2020,34(12):195-200.DOI:10.13448/j.cnki.jalre.2020.349.</w:t>
      </w:r>
      <w:bookmarkEnd w:id="49"/>
    </w:p>
    <w:p w14:paraId="06426E08">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WU Chao, SHAO Xiu-ying. Tourism Image Perception of Traditional Villages Based on UGC and Questionnaire Data: A Case Study of Qikou Ancient Town[J]. Journal of Arid Land Resources and Environment, 2020, 34(12): 195-200. DOI:10.13448/j.cnki.jalre.2020.349.</w:t>
      </w:r>
    </w:p>
    <w:p w14:paraId="35710A04">
      <w:pPr>
        <w:numPr>
          <w:ilvl w:val="0"/>
          <w:numId w:val="2"/>
        </w:numPr>
        <w:wordWrap w:val="0"/>
        <w:overflowPunct w:val="0"/>
        <w:rPr>
          <w:rFonts w:hint="eastAsia" w:ascii="黑体" w:hAnsi="黑体" w:eastAsia="黑体" w:cs="黑体"/>
          <w:sz w:val="13"/>
          <w:szCs w:val="13"/>
          <w:lang w:eastAsia="zh-CN"/>
        </w:rPr>
      </w:pPr>
      <w:bookmarkStart w:id="50" w:name="_Ref9411"/>
      <w:r>
        <w:rPr>
          <w:rFonts w:hint="eastAsia" w:ascii="黑体" w:hAnsi="黑体" w:eastAsia="黑体" w:cs="黑体"/>
          <w:sz w:val="13"/>
          <w:szCs w:val="13"/>
          <w:lang w:eastAsia="zh-CN"/>
        </w:rPr>
        <w:t>谢秋逸,周年兴,轩源,等.基于百度AI开放平台的北京市共享住宿顾客满意度及需求层次研究[J].南京师大学报(自然科学版),2021,44(01):64-70.</w:t>
      </w:r>
      <w:bookmarkEnd w:id="50"/>
    </w:p>
    <w:p w14:paraId="36D31569">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XIE Qiu-yi, ZHOU Nian-xing, XUAN Yuan, et al. Research on the Degree of Customer Satisfaction and Hierarchy of Needs of Beijing Shared Accommodation Based on Baidu AI Open Platform[J]. Journal of Nanjing Normal University (Natural Science Edition), 2021, 44(01): 64-70.</w:t>
      </w:r>
    </w:p>
    <w:p w14:paraId="1EA58937">
      <w:pPr>
        <w:numPr>
          <w:ilvl w:val="0"/>
          <w:numId w:val="2"/>
        </w:numPr>
        <w:wordWrap w:val="0"/>
        <w:overflowPunct w:val="0"/>
        <w:ind w:left="0" w:leftChars="0" w:firstLine="0" w:firstLineChars="0"/>
        <w:rPr>
          <w:rFonts w:hint="eastAsia" w:ascii="黑体" w:hAnsi="黑体" w:eastAsia="黑体" w:cs="黑体"/>
          <w:sz w:val="13"/>
          <w:szCs w:val="13"/>
          <w:lang w:eastAsia="zh-CN"/>
        </w:rPr>
      </w:pPr>
      <w:r>
        <w:rPr>
          <w:rFonts w:hint="eastAsia" w:ascii="黑体" w:hAnsi="黑体" w:eastAsia="黑体" w:cs="黑体"/>
          <w:sz w:val="13"/>
          <w:szCs w:val="13"/>
        </w:rPr>
        <w:t>CHENG X, CHEN Y, WANG P, et al. A novel ChatGPT-based multimodel framework for tourism review mining: A case study on China’s five sacred mountains[J]. Journal of Hospitality and Tourism Technology, 2024, 15(4): 592-609. DOI:10.1108/JHTT-06-2023-0170.</w:t>
      </w:r>
    </w:p>
    <w:p w14:paraId="6935E8FF">
      <w:pPr>
        <w:numPr>
          <w:ilvl w:val="0"/>
          <w:numId w:val="2"/>
        </w:numPr>
        <w:wordWrap w:val="0"/>
        <w:overflowPunct w:val="0"/>
        <w:rPr>
          <w:rFonts w:hint="eastAsia" w:ascii="黑体" w:hAnsi="黑体" w:eastAsia="黑体" w:cs="黑体"/>
          <w:sz w:val="13"/>
          <w:szCs w:val="13"/>
          <w:lang w:eastAsia="zh-CN"/>
        </w:rPr>
      </w:pPr>
      <w:commentRangeStart w:id="27"/>
      <w:r>
        <w:rPr>
          <w:highlight w:val="yellow"/>
        </w:rPr>
        <w:t>GUO D Y, YANG D, ZHANG H W, et al. DeepSeek-R1 incentivizes reasoning in LLMs through reinforcement learning[J]. Nature, 2025, 645: 633-638. DOI:10.1038/s41586-025-09422-z.</w:t>
      </w:r>
      <w:commentRangeEnd w:id="27"/>
      <w:r>
        <w:rPr>
          <w:rStyle w:val="CommentReference"/>
        </w:rPr>
        <w:commentReference w:id="27"/>
      </w:r>
    </w:p>
    <w:p w14:paraId="03BA9D73">
      <w:pPr>
        <w:numPr>
          <w:ilvl w:val="0"/>
          <w:numId w:val="2"/>
        </w:num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rPr>
        <w:t>LUO H, ZHANG Z, ZHU Q, et al. Using large language models to investigate cultural ecosystem services perceptions: A few-shot and prompt method[J]. Landscape and Urban Planning, 2025, 258: 105323. DOI:10.1016/j.landurbplan.2025.105323.</w:t>
      </w:r>
    </w:p>
    <w:p w14:paraId="5563CAB2">
      <w:pPr>
        <w:numPr>
          <w:ilvl w:val="0"/>
          <w:numId w:val="2"/>
        </w:numPr>
        <w:wordWrap w:val="0"/>
        <w:overflowPunct w:val="0"/>
        <w:rPr>
          <w:rFonts w:hint="eastAsia" w:ascii="黑体" w:hAnsi="黑体" w:eastAsia="黑体" w:cs="黑体"/>
          <w:sz w:val="13"/>
          <w:szCs w:val="13"/>
          <w:lang w:eastAsia="zh-CN"/>
        </w:rPr>
      </w:pPr>
      <w:commentRangeStart w:id="28"/>
      <w:r>
        <w:rPr>
          <w:highlight w:val="yellow"/>
        </w:rPr>
        <w:t>HONG J Y, JEON J Y. Designing sound and visual components for enhancement of urban soundscapes[J]. The Journal of the Acoustical Society of America, 2013, 134(3): 2026-2036. DOI:10.1121/1.4817924.</w:t>
      </w:r>
      <w:commentRangeEnd w:id="28"/>
      <w:r>
        <w:rPr>
          <w:rStyle w:val="CommentReference"/>
        </w:rPr>
        <w:commentReference w:id="28"/>
      </w:r>
    </w:p>
    <w:p w14:paraId="3B3C947B">
      <w:pPr>
        <w:numPr>
          <w:ilvl w:val="0"/>
          <w:numId w:val="2"/>
        </w:numPr>
        <w:wordWrap w:val="0"/>
        <w:overflowPunct w:val="0"/>
        <w:rPr>
          <w:rFonts w:hint="eastAsia" w:ascii="黑体" w:hAnsi="黑体" w:eastAsia="黑体" w:cs="黑体"/>
          <w:sz w:val="13"/>
          <w:szCs w:val="13"/>
          <w:lang w:eastAsia="zh-CN"/>
        </w:rPr>
      </w:pPr>
      <w:bookmarkStart w:id="52" w:name="_Ref10456"/>
      <w:r>
        <w:rPr>
          <w:rFonts w:hint="eastAsia" w:ascii="黑体" w:hAnsi="黑体" w:eastAsia="黑体" w:cs="黑体"/>
          <w:sz w:val="13"/>
          <w:szCs w:val="13"/>
          <w:lang w:eastAsia="zh-CN"/>
        </w:rPr>
        <w:t>赵晓龙,邱璇,徐靖然,等.绿色空间中使用行为与环境认知研究方法综述[J].风景园林,2020,27(03):56-62.DOI:10.14085/j.fjyl.2020.03.0056.07.</w:t>
      </w:r>
      <w:bookmarkEnd w:id="47"/>
      <w:bookmarkEnd w:id="52"/>
    </w:p>
    <w:p w14:paraId="583C9411">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ZHAO Xiao-long, QIU Xuan, XU Jing-ran, et al. Review of Research Methods for Green Spatial Behavioral Activities and Environmental Cognition[J]. Landscape Architecture, 2020, 27(03): 56-62. DOI:10.14085/j.fjyl.2020.03.0056.07.</w:t>
      </w:r>
    </w:p>
    <w:p w14:paraId="10F14020">
      <w:pPr>
        <w:numPr>
          <w:ilvl w:val="0"/>
          <w:numId w:val="2"/>
        </w:numPr>
        <w:wordWrap w:val="0"/>
        <w:overflowPunct w:val="0"/>
        <w:rPr>
          <w:rFonts w:hint="eastAsia" w:ascii="黑体" w:hAnsi="黑体" w:eastAsia="黑体" w:cs="黑体"/>
          <w:sz w:val="13"/>
          <w:szCs w:val="13"/>
          <w:lang w:eastAsia="zh-CN"/>
        </w:rPr>
      </w:pPr>
      <w:bookmarkStart w:id="53" w:name="_Ref28665"/>
      <w:r>
        <w:rPr>
          <w:rFonts w:hint="eastAsia" w:ascii="黑体" w:hAnsi="黑体" w:eastAsia="黑体" w:cs="黑体"/>
          <w:sz w:val="13"/>
          <w:szCs w:val="13"/>
          <w:lang w:eastAsia="zh-CN"/>
        </w:rPr>
        <w:t>谭少华,杨春,李立峰,等.公园环境的健康恢复影响研究进展[J].中国园林,2020,36(02):53-58.DOI:10.19775/j.cla.2020.02.0053.</w:t>
      </w:r>
      <w:bookmarkEnd w:id="53"/>
    </w:p>
    <w:p w14:paraId="616E39D3">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TAN Shao-hua, YANG Chun, LI Li-feng, et al. Research Progress on the Restorative Health Effects of Park Environments[J]. Chinese Landscape Architecture, 2020, 36(02): 53-58. DOI:10.19775/j.cla.2020.02.0053.</w:t>
      </w:r>
    </w:p>
    <w:p w14:paraId="68F8E14B">
      <w:pPr>
        <w:numPr>
          <w:ilvl w:val="0"/>
          <w:numId w:val="2"/>
        </w:numPr>
        <w:wordWrap w:val="0"/>
        <w:overflowPunct w:val="0"/>
        <w:rPr>
          <w:rFonts w:hint="eastAsia" w:ascii="黑体" w:hAnsi="黑体" w:eastAsia="黑体" w:cs="黑体"/>
          <w:sz w:val="13"/>
          <w:szCs w:val="13"/>
          <w:lang w:eastAsia="zh-CN"/>
        </w:rPr>
      </w:pPr>
      <w:bookmarkStart w:id="54" w:name="_Ref10463"/>
      <w:r>
        <w:rPr>
          <w:rFonts w:hint="eastAsia" w:ascii="黑体" w:hAnsi="黑体" w:eastAsia="黑体" w:cs="黑体"/>
          <w:sz w:val="13"/>
          <w:szCs w:val="13"/>
          <w:lang w:eastAsia="zh-CN"/>
        </w:rPr>
        <w:t>翟宇佳,吴承照. 城市公园总体满意度主要影响因素识别——基于不同年龄组使用者的分析 [J]. 风景园林, 2021, 28 (05): 57-62. DOI:10.14085/j.fjyl.2021.05.0057.06.</w:t>
      </w:r>
      <w:bookmarkEnd w:id="54"/>
    </w:p>
    <w:p w14:paraId="6BD06F1E">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ZHAI Yu-jia, WU Cheng-zhao. Identification of Main Influencing Factors on Urban Park Overall Satisfaction: Based on Analysis of Users of Different Age Groups[J]. Landscape Architecture, 2021, 28(05): 57-62. DOI:10.14085/j.fjyl.2021.05.0057.06.</w:t>
      </w:r>
    </w:p>
    <w:p w14:paraId="729EB287">
      <w:pPr>
        <w:numPr>
          <w:ilvl w:val="0"/>
          <w:numId w:val="2"/>
        </w:numPr>
        <w:wordWrap w:val="0"/>
        <w:overflowPunct w:val="0"/>
        <w:rPr>
          <w:rFonts w:hint="eastAsia" w:ascii="黑体" w:hAnsi="黑体" w:eastAsia="黑体" w:cs="黑体"/>
          <w:sz w:val="13"/>
          <w:szCs w:val="13"/>
          <w:lang w:eastAsia="zh-CN"/>
        </w:rPr>
      </w:pPr>
      <w:bookmarkStart w:id="55" w:name="_Ref10476"/>
      <w:r>
        <w:rPr>
          <w:rFonts w:hint="eastAsia" w:ascii="黑体" w:hAnsi="黑体" w:eastAsia="黑体" w:cs="黑体"/>
          <w:sz w:val="13"/>
          <w:szCs w:val="13"/>
          <w:lang w:eastAsia="zh-CN"/>
        </w:rPr>
        <w:t>刘娟,殷豪,曹可心,等. 深圳市不同类型公园服务评价及提升策略 [J]. 深圳大学学报(理工版), 2021, 38 (04): 433-440.</w:t>
      </w:r>
      <w:bookmarkEnd w:id="55"/>
    </w:p>
    <w:p w14:paraId="2D0D9033">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LIU Juan, YIN Hao, CAO Ke-xin, et al. Service Evaluation and Promotion Strategies for Different Types of Parks in Shenzhen[J]. Journal of Shenzhen University Science and Engineering, 2021, 38(04): 433-440.</w:t>
      </w:r>
    </w:p>
    <w:p w14:paraId="37B12278">
      <w:pPr>
        <w:numPr>
          <w:ilvl w:val="0"/>
          <w:numId w:val="2"/>
        </w:numPr>
        <w:wordWrap w:val="0"/>
        <w:overflowPunct w:val="0"/>
        <w:rPr>
          <w:rFonts w:hint="eastAsia" w:ascii="黑体" w:hAnsi="黑体" w:eastAsia="黑体" w:cs="黑体"/>
          <w:sz w:val="13"/>
          <w:szCs w:val="13"/>
          <w:lang w:eastAsia="zh-CN"/>
        </w:rPr>
      </w:pPr>
      <w:bookmarkStart w:id="56" w:name="_Ref5557"/>
      <w:r>
        <w:rPr>
          <w:rFonts w:hint="eastAsia" w:ascii="黑体" w:hAnsi="黑体" w:eastAsia="黑体" w:cs="黑体"/>
          <w:sz w:val="13"/>
          <w:szCs w:val="13"/>
          <w:lang w:eastAsia="zh-CN"/>
        </w:rPr>
        <w:t>张一康,叶怀泽,李妍汀,等. 深圳公园服务管理协同提升策略 [J]. 风景园林, 2025, 32 (09): 114-120.</w:t>
      </w:r>
      <w:bookmarkEnd w:id="56"/>
    </w:p>
    <w:p w14:paraId="7E80005D">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ZHANG Yi-kang, YE Huai-ze, LI Yan-ting, et al. Strategies for Collaborative Enhancement of Park Service Management in Shenzhen[J]. Landscape Architecture, 2025, 32(09): 114-120.</w:t>
      </w:r>
    </w:p>
    <w:p w14:paraId="558ABA75">
      <w:pPr>
        <w:numPr>
          <w:ilvl w:val="0"/>
          <w:numId w:val="2"/>
        </w:numPr>
        <w:wordWrap w:val="0"/>
        <w:overflowPunct w:val="0"/>
        <w:rPr>
          <w:rFonts w:hint="eastAsia" w:ascii="黑体" w:hAnsi="黑体" w:eastAsia="黑体" w:cs="黑体"/>
          <w:sz w:val="13"/>
          <w:szCs w:val="13"/>
          <w:lang w:eastAsia="zh-CN"/>
        </w:rPr>
      </w:pPr>
      <w:bookmarkStart w:id="57" w:name="_Ref5560"/>
      <w:r>
        <w:rPr>
          <w:rFonts w:hint="eastAsia" w:ascii="黑体" w:hAnsi="黑体" w:eastAsia="黑体" w:cs="黑体"/>
          <w:sz w:val="13"/>
          <w:szCs w:val="13"/>
          <w:lang w:eastAsia="zh-CN"/>
        </w:rPr>
        <w:t>林敏慧,余劭祺,王雅君. 城市型自然公园游客拥挤感知与调适机制及其满意度研究 [J]. 自然资源学报, 2023, 38 (04): 1025-1039.</w:t>
      </w:r>
      <w:bookmarkEnd w:id="57"/>
    </w:p>
    <w:p w14:paraId="78ADE2D6">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LIN Min-hui, YU Shao-qi, WANG Ya-jun. Study on Visitors’ Crowding Perception, Adjustment Mechanism and Satisfaction in Urban Natural Parks[J]. Journal of Natural Resources, 2023, 38(04): 1025-1039.</w:t>
      </w:r>
    </w:p>
    <w:p w14:paraId="3C0F1A6D">
      <w:pPr>
        <w:numPr>
          <w:ilvl w:val="0"/>
          <w:numId w:val="2"/>
        </w:numPr>
        <w:wordWrap w:val="0"/>
        <w:overflowPunct w:val="0"/>
        <w:rPr>
          <w:rFonts w:hint="eastAsia" w:ascii="黑体" w:hAnsi="黑体" w:eastAsia="黑体" w:cs="黑体"/>
          <w:sz w:val="13"/>
          <w:szCs w:val="13"/>
          <w:lang w:eastAsia="zh-CN"/>
        </w:rPr>
      </w:pPr>
      <w:bookmarkStart w:id="58" w:name="_Ref9286"/>
      <w:r>
        <w:rPr>
          <w:rFonts w:hint="eastAsia" w:ascii="黑体" w:hAnsi="黑体" w:eastAsia="黑体" w:cs="黑体"/>
          <w:sz w:val="13"/>
          <w:szCs w:val="13"/>
          <w:lang w:eastAsia="zh-CN"/>
        </w:rPr>
        <w:t>深圳市市场监督管理局. 公园公共厕所管理规范: DB4403/T 66—2020[S]. 深圳, 2020.</w:t>
      </w:r>
      <w:bookmarkEnd w:id="58"/>
    </w:p>
    <w:p w14:paraId="2EEC1EA5">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Shenzhen Municipal Administration for Market Regulation. Management and Maintenance Specification for Public Toilets in the Park: DB4403/T 66—2020[S]. Shenzhen, 2020.</w:t>
      </w:r>
    </w:p>
    <w:p w14:paraId="6552FE46">
      <w:pPr>
        <w:numPr>
          <w:ilvl w:val="0"/>
          <w:numId w:val="2"/>
        </w:numPr>
        <w:wordWrap w:val="0"/>
        <w:overflowPunct w:val="0"/>
        <w:rPr>
          <w:rFonts w:hint="eastAsia" w:ascii="黑体" w:hAnsi="黑体" w:eastAsia="黑体" w:cs="黑体"/>
          <w:sz w:val="13"/>
          <w:szCs w:val="13"/>
          <w:lang w:eastAsia="zh-CN"/>
        </w:rPr>
      </w:pPr>
      <w:bookmarkStart w:id="59" w:name="_Ref9293"/>
      <w:r>
        <w:rPr>
          <w:rFonts w:hint="eastAsia" w:ascii="黑体" w:hAnsi="黑体" w:eastAsia="黑体" w:cs="黑体"/>
          <w:sz w:val="13"/>
          <w:szCs w:val="13"/>
          <w:lang w:eastAsia="zh-CN"/>
        </w:rPr>
        <w:t>刘颂,杨莹,贾虎,等. 基于多源数据的上海城市公园使用满意度关键影响因素 [J]. 中国城市林业, 2020, 18 (02): 51-56.</w:t>
      </w:r>
      <w:bookmarkEnd w:id="59"/>
    </w:p>
    <w:p w14:paraId="5F4B2D01">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LIU Song, YANG Ying, JIA Hu, et al. Key Influencing Factors of Urban Park Use Satisfaction in Shanghai Based on Multi-Source Data[J]. China Urban Forestry, 2020, 18(02): 51-56.</w:t>
      </w:r>
    </w:p>
    <w:p w14:paraId="76759F00">
      <w:pPr>
        <w:numPr>
          <w:ilvl w:val="0"/>
          <w:numId w:val="2"/>
        </w:numPr>
        <w:wordWrap w:val="0"/>
        <w:overflowPunct w:val="0"/>
        <w:rPr>
          <w:rFonts w:hint="eastAsia" w:ascii="黑体" w:hAnsi="黑体" w:eastAsia="黑体" w:cs="黑体"/>
          <w:sz w:val="13"/>
          <w:szCs w:val="13"/>
          <w:lang w:eastAsia="zh-CN"/>
        </w:rPr>
      </w:pPr>
      <w:bookmarkStart w:id="60" w:name="_Ref13662"/>
      <w:r>
        <w:rPr>
          <w:rFonts w:hint="eastAsia" w:ascii="黑体" w:hAnsi="黑体" w:eastAsia="黑体" w:cs="黑体"/>
          <w:sz w:val="13"/>
          <w:szCs w:val="13"/>
          <w:lang w:eastAsia="zh-CN"/>
        </w:rPr>
        <w:t>王敏,邱明,汪洁琼,等. 基于重要性——绩效表现分析的上海苏州河滨水空间文化性生态系统服务供需关系分析与优化 [J]. 风景园林, 2019, 26 (10): 107-112. DOI:10.14085/j.fjyl.2019.10.0107.06.</w:t>
      </w:r>
      <w:bookmarkEnd w:id="60"/>
    </w:p>
    <w:p w14:paraId="55ADA5D6">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WANG Min, QIU Ming, WANG Jie-qiong, et al. Supply–Demand Analysis and Optimization of Cultural Ecosystem Services in the Suzhou Creek Waterfront of Shanghai Based on Importance–Performance Analysis[J]. Landscape Architecture, 2019, 26(10): 107-112. DOI:10.14085/j.fjyl.2019.10.0107.06.</w:t>
      </w:r>
    </w:p>
    <w:p w14:paraId="3B4A299C">
      <w:pPr>
        <w:numPr>
          <w:ilvl w:val="0"/>
          <w:numId w:val="2"/>
        </w:numPr>
        <w:wordWrap w:val="0"/>
        <w:overflowPunct w:val="0"/>
        <w:rPr>
          <w:rFonts w:hint="eastAsia" w:ascii="黑体" w:hAnsi="黑体" w:eastAsia="黑体" w:cs="黑体"/>
          <w:sz w:val="13"/>
          <w:szCs w:val="13"/>
          <w:lang w:eastAsia="zh-CN"/>
        </w:rPr>
      </w:pPr>
      <w:bookmarkStart w:id="61" w:name="_Ref2491"/>
      <w:r>
        <w:rPr>
          <w:rFonts w:hint="eastAsia" w:ascii="黑体" w:hAnsi="黑体" w:eastAsia="黑体" w:cs="黑体"/>
          <w:sz w:val="13"/>
          <w:szCs w:val="13"/>
          <w:lang w:eastAsia="zh-CN"/>
        </w:rPr>
        <w:t>M</w:t>
      </w:r>
      <w:bookmarkStart w:id="62" w:name="_Ref14492"/>
      <w:r>
        <w:rPr>
          <w:rFonts w:hint="eastAsia" w:ascii="黑体" w:hAnsi="黑体" w:eastAsia="黑体" w:cs="黑体"/>
          <w:sz w:val="13"/>
          <w:szCs w:val="13"/>
          <w:lang w:eastAsia="zh-CN"/>
        </w:rPr>
        <w:t>ARTILLA J A, JAMES J C. Importance-performance analysis[J]. Journal of Marketing, 1977, 41(1): 77-79. DOI:10.1177/002224297704100112.</w:t>
      </w:r>
      <w:bookmarkEnd w:id="61"/>
    </w:p>
    <w:p w14:paraId="7A0570BA">
      <w:pPr>
        <w:numPr>
          <w:ilvl w:val="0"/>
          <w:numId w:val="2"/>
        </w:numPr>
        <w:wordWrap w:val="0"/>
        <w:overflowPunct w:val="0"/>
        <w:rPr>
          <w:rFonts w:hint="eastAsia" w:ascii="黑体" w:hAnsi="黑体" w:eastAsia="黑体" w:cs="黑体"/>
          <w:sz w:val="13"/>
          <w:szCs w:val="13"/>
          <w:lang w:eastAsia="zh-CN"/>
        </w:rPr>
      </w:pPr>
      <w:bookmarkStart w:id="63" w:name="_Ref2495"/>
      <w:r>
        <w:rPr>
          <w:rFonts w:hint="eastAsia" w:ascii="黑体" w:hAnsi="黑体" w:eastAsia="黑体" w:cs="黑体"/>
          <w:sz w:val="13"/>
          <w:szCs w:val="13"/>
          <w:lang w:eastAsia="zh-CN"/>
        </w:rPr>
        <w:t>舒心怡,沈晓萌,周昕蕾,等. 基于景观感知的自然教育环境设计策略与要素研究 [J]. 风景园林, 2019, 26 (10): 48-53. DOI:10.14085/j.fjyl.2019.10.0048.06.</w:t>
      </w:r>
      <w:bookmarkEnd w:id="62"/>
      <w:bookmarkEnd w:id="63"/>
    </w:p>
    <w:p w14:paraId="29C1A80B">
      <w:pPr>
        <w:wordWrap w:val="0"/>
        <w:overflowPunct w:val="0"/>
        <w:rPr>
          <w:rFonts w:hint="eastAsia" w:ascii="黑体" w:hAnsi="黑体" w:eastAsia="黑体" w:cs="黑体"/>
          <w:sz w:val="13"/>
          <w:szCs w:val="13"/>
          <w:lang w:eastAsia="zh-CN"/>
        </w:rPr>
      </w:pPr>
      <w:r>
        <w:rPr>
          <w:rFonts w:hint="eastAsia" w:ascii="黑体" w:hAnsi="黑体" w:eastAsia="黑体" w:cs="黑体"/>
          <w:sz w:val="13"/>
          <w:szCs w:val="13"/>
          <w:lang w:eastAsia="zh-CN"/>
        </w:rPr>
        <w:t>SHU Xin-yi, SHEN Xiao-meng, ZHOU Xin-lei, et al. Design Strategies and Key Elements of Natural Education Environments Based on Landscape Perception[J]. Landscape Architecture, 2019, 26(10): 48-53. DOI:10.14085/j.fjyl.2019.10.0048.06.</w:t>
      </w:r>
    </w:p>
    <w:p w14:paraId="5A427005">
      <w:pPr>
        <w:numPr>
          <w:ilvl w:val="0"/>
          <w:numId w:val="2"/>
        </w:numPr>
        <w:wordWrap w:val="0"/>
        <w:overflowPunct w:val="0"/>
        <w:rPr>
          <w:rFonts w:hint="eastAsia" w:ascii="黑体" w:hAnsi="黑体" w:eastAsia="黑体" w:cs="黑体"/>
          <w:sz w:val="13"/>
          <w:szCs w:val="13"/>
          <w:lang w:eastAsia="zh-CN"/>
        </w:rPr>
      </w:pPr>
      <w:bookmarkStart w:id="64" w:name="_Ref14916"/>
      <w:r>
        <w:rPr>
          <w:rFonts w:hint="eastAsia" w:ascii="黑体" w:hAnsi="黑体" w:eastAsia="黑体" w:cs="黑体"/>
          <w:sz w:val="13"/>
          <w:szCs w:val="13"/>
          <w:lang w:eastAsia="zh-CN"/>
        </w:rPr>
        <w:t>周素红,黄畅如,张琳. 城市公园环境对个体恢复性感知的影响及设计启示：以青少年活动环境感知为例 [J]. 风景园林, 2021, 28 (05): 16-22. DOI:10.14085/j.fjyl.2021.05.0016.07.</w:t>
      </w:r>
      <w:bookmarkEnd w:id="64"/>
    </w:p>
    <w:bookmarkEnd w:id="48"/>
    <w:p w14:paraId="05453A9A">
      <w:pPr>
        <w:wordWrap w:val="0"/>
        <w:overflowPunct w:val="0"/>
        <w:rPr>
          <w:rFonts w:hint="eastAsia" w:ascii="黑体" w:hAnsi="黑体" w:eastAsia="黑体" w:cs="黑体"/>
          <w:sz w:val="13"/>
          <w:szCs w:val="13"/>
          <w:lang w:eastAsia="ja-JP"/>
        </w:rPr>
      </w:pPr>
      <w:r>
        <w:rPr>
          <w:rFonts w:hint="eastAsia" w:ascii="黑体" w:hAnsi="黑体" w:eastAsia="黑体" w:cs="黑体"/>
          <w:sz w:val="13"/>
          <w:szCs w:val="13"/>
          <w:lang w:eastAsia="zh-CN"/>
        </w:rPr>
        <w:t>ZHOU Su-hong, HUANG Chang-ru, ZHANG Lin. Effects of Urban Park Environments on Individuals’ Perceived Restorativeness and Design Implications: Evidence from Adolescents’ Perception of Activity Environments[J]. Landscape Architecture, 2021, 28(05): 16-22. DOI:10.14085/j.fjyl.2021.05.0016.07.</w:t>
      </w:r>
    </w:p>
    <w:p>
      <w:pPr>
        <w:numPr>
          <w:ilvl w:val="0"/>
          <w:numId w:val="2"/>
        </w:numPr>
      </w:pPr>
      <w:commentRangeStart w:id="30"/>
      <w:r>
        <w:rPr>
          <w:highlight w:val="yellow"/>
        </w:rPr>
        <w:t>OPENAI. OpenAI GPT-4.5 system card[EB/OL]. (2025-02-27)[2026-06-01]. https://openai.com/index/gpt-4-5-system-card/.</w:t>
      </w:r>
      <w:commentRangeEnd w:id="30"/>
      <w:r>
        <w:rPr>
          <w:rStyle w:val="CommentReference"/>
        </w:rPr>
        <w:commentReference w:id="30"/>
      </w:r>
    </w:p>
    <w:p>
      <w:pPr>
        <w:numPr>
          <w:ilvl w:val="0"/>
          <w:numId w:val="2"/>
        </w:numPr>
      </w:pPr>
      <w:commentRangeStart w:id="31"/>
      <w:r>
        <w:rPr>
          <w:highlight w:val="yellow"/>
        </w:rPr>
        <w:t>BROWN T B, MANN B, RYDER N, et al. Language models are few-shot learners[C]//Advances in Neural Information Processing Systems. 2020, 33: 1877-1901.</w:t>
      </w:r>
      <w:commentRangeEnd w:id="31"/>
      <w:r>
        <w:rPr>
          <w:rStyle w:val="CommentReference"/>
        </w:rPr>
        <w:commentReference w:id="31"/>
      </w:r>
    </w:p>
    <w:p>
      <w:pPr>
        <w:numPr>
          <w:ilvl w:val="0"/>
          <w:numId w:val="2"/>
        </w:numPr>
      </w:pPr>
      <w:commentRangeStart w:id="32"/>
      <w:r>
        <w:rPr>
          <w:highlight w:val="yellow"/>
        </w:rPr>
        <w:t>ZHENG S W, REN Y Y, ZHU C Y, et al. Quantifying cultural ecosystem services in urban parks using social media and large language models: insights for Beijing's Garden City initiative[J]. Urban Forestry &amp; Urban Greening, 2026: 129263. DOI:10.1016/j.ufug.2026.129263.</w:t>
      </w:r>
      <w:commentRangeEnd w:id="32"/>
      <w:r>
        <w:rPr>
          <w:rStyle w:val="CommentReference"/>
        </w:rPr>
        <w:commentReference w:id="32"/>
      </w:r>
    </w:p>
    <w:p>
      <w:pPr>
        <w:numPr>
          <w:ilvl w:val="0"/>
          <w:numId w:val="2"/>
        </w:numPr>
      </w:pPr>
      <w:commentRangeStart w:id="33"/>
      <w:r>
        <w:rPr>
          <w:highlight w:val="yellow"/>
        </w:rPr>
        <w:t>ZHAO Z R, MA Z H, CHEN B Y, et al. Understanding public perceptions of cultural ecosystem services in urban coastal wetland ecological restoration areas: a social media-based large language model approach[J]. Journal of Environmental Management, 2026: 128816. DOI:10.1016/j.jenvman.2026.128816.</w:t>
      </w:r>
      <w:commentRangeEnd w:id="33"/>
      <w:r>
        <w:rPr>
          <w:rStyle w:val="CommentReference"/>
        </w:rPr>
        <w:commentReference w:id="33"/>
      </w:r>
    </w:p>
    <w:p>
      <w:pPr>
        <w:numPr>
          <w:ilvl w:val="0"/>
          <w:numId w:val="2"/>
        </w:numPr>
      </w:pPr>
      <w:commentRangeStart w:id="34"/>
      <w:r>
        <w:rPr>
          <w:highlight w:val="yellow"/>
        </w:rPr>
        <w:t>GHERMANDI A, et al. Digital windows into nature's values: a critical review of cultural ecosystem services research with social media data[J]. Ecosystem Services, 2026: 101839. DOI:10.1016/j.ecoser.2026.101839.</w:t>
      </w:r>
      <w:commentRangeEnd w:id="34"/>
      <w:r>
        <w:rPr>
          <w:rStyle w:val="CommentReference"/>
        </w:rPr>
        <w:commentReference w:id="34"/>
      </w:r>
    </w:p>
    <w:p>
      <w:pPr>
        <w:numPr>
          <w:ilvl w:val="0"/>
          <w:numId w:val="2"/>
        </w:numPr>
      </w:pPr>
      <w:commentRangeStart w:id="35"/>
      <w:r>
        <w:rPr>
          <w:highlight w:val="yellow"/>
        </w:rPr>
        <w:t>DANG A R, LI X. Supply-demand relationship and spatial flow of urban cultural ecosystem services: the case of Shenzhen, China[J]. Journal of Cleaner Production, 2023: 138765. DOI:10.1016/j.jclepro.2023.138765.</w:t>
      </w:r>
      <w:commentRangeEnd w:id="35"/>
      <w:r>
        <w:rPr>
          <w:rStyle w:val="CommentReference"/>
        </w:rPr>
        <w:commentReference w:id="35"/>
      </w:r>
    </w:p>
    <w:p>
      <w:pPr>
        <w:numPr>
          <w:ilvl w:val="0"/>
          <w:numId w:val="2"/>
        </w:numPr>
      </w:pPr>
      <w:commentRangeStart w:id="36"/>
      <w:r>
        <w:rPr>
          <w:highlight w:val="yellow"/>
        </w:rPr>
        <w:t>百度智能云. NLP-Python-SDK：情感倾向分析[EB/OL]. [2026-06-01]. https://cloud.baidu.com/doc/NLP/s/tk6z52b9z.</w:t>
      </w:r>
      <w:commentRangeEnd w:id="36"/>
      <w:r>
        <w:rPr>
          <w:rStyle w:val="CommentReference"/>
        </w:rPr>
        <w:commentReference w:id="36"/>
      </w:r>
    </w:p>
    <w:p>
      <w:pPr>
        <w:numPr>
          <w:ilvl w:val="0"/>
          <w:numId w:val="2"/>
        </w:numPr>
      </w:pPr>
      <w:commentRangeStart w:id="37"/>
      <w:r>
        <w:rPr>
          <w:highlight w:val="yellow"/>
        </w:rPr>
        <w:t>百度智能云. 情感倾向分析_情感倾向分析算法[EB/OL]. [2026-06-01]. https://cloud.baidu.com/product/nlp_apply/sentiment_classify.</w:t>
      </w:r>
      <w:commentRangeEnd w:id="37"/>
      <w:r>
        <w:rPr>
          <w:rStyle w:val="CommentReference"/>
        </w:rPr>
        <w:commentReference w:id="37"/>
      </w:r>
    </w:p>
    <w:p w14:paraId="063D7EDC">
      <w:pPr>
        <w:wordWrap w:val="0"/>
        <w:overflowPunct w:val="0"/>
        <w:rPr>
          <w:rFonts w:hint="eastAsia" w:ascii="黑体" w:hAnsi="黑体" w:eastAsia="黑体" w:cs="黑体"/>
          <w:sz w:val="13"/>
          <w:szCs w:val="13"/>
          <w:lang w:eastAsia="zh-CN"/>
        </w:rPr>
      </w:pPr>
      <w:commentRangeStart w:id="29"/>
      <w:r>
        <w:rPr>
          <w:highlight w:val="yellow"/>
        </w:rPr>
      </w:r>
      <w:commentRangeEnd w:id="29"/>
      <w:r>
        <w:rPr>
          <w:rStyle w:val="CommentReference"/>
        </w:rPr>
        <w:commentReference w:id="29"/>
      </w:r>
    </w:p>
    <w:sectPr>
      <w:type w:val="continuous"/>
      <w:pgSz w:w="11900" w:h="16840"/>
      <w:pgMar w:top="1985" w:right="851" w:bottom="1134" w:left="1134" w:header="709" w:footer="709" w:gutter="0"/>
      <w:cols w:space="708" w:num="2"/>
      <w:docGrid w:linePitch="360"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w:initials="CX" w:date="2026-06-01T08:15:43Z">
    <w:p>
      <w:pPr>
        <w:pStyle w:val="CommentText"/>
      </w:pPr>
      <w:r>
        <w:rPr>
          <w:rStyle w:val="CommentReference"/>
        </w:rPr>
        <w:annotationRef/>
      </w:r>
      <w:r>
        <w:t>清理不可见字符或不间断空格，避免投稿排版和查重系统误读。</w:t>
      </w:r>
    </w:p>
  </w:comment>
  <w:comment w:id="1" w:author="Codex" w:initials="CX" w:date="2026-06-01T08:15:43Z">
    <w:p>
      <w:pPr>
        <w:pStyle w:val="CommentText"/>
      </w:pPr>
      <w:r>
        <w:rPr>
          <w:rStyle w:val="CommentReference"/>
        </w:rPr>
        <w:annotationRef/>
      </w:r>
      <w:r>
        <w:t>清理不可见字符或不间断空格，避免投稿排版和查重系统误读。</w:t>
      </w:r>
    </w:p>
  </w:comment>
  <w:comment w:id="2" w:author="Codex" w:initials="CX" w:date="2026-06-01T08:15:43Z">
    <w:p>
      <w:pPr>
        <w:pStyle w:val="CommentText"/>
      </w:pPr>
      <w:r>
        <w:rPr>
          <w:rStyle w:val="CommentReference"/>
        </w:rPr>
        <w:annotationRef/>
      </w:r>
      <w:r>
        <w:t>清理不可见字符或不间断空格，避免投稿排版和查重系统误读。</w:t>
      </w:r>
    </w:p>
  </w:comment>
  <w:comment w:id="3" w:author="Codex" w:initials="CX" w:date="2026-06-01T08:15:43Z">
    <w:p>
      <w:pPr>
        <w:pStyle w:val="CommentText"/>
      </w:pPr>
      <w:r>
        <w:rPr>
          <w:rStyle w:val="CommentReference"/>
        </w:rPr>
        <w:annotationRef/>
      </w:r>
      <w:r>
        <w:t>清理不可见字符或不间断空格，避免投稿排版和查重系统误读。</w:t>
      </w:r>
    </w:p>
  </w:comment>
  <w:comment w:id="4" w:author="Codex" w:initials="CX" w:date="2026-06-01T08:15:43Z">
    <w:p>
      <w:pPr>
        <w:pStyle w:val="CommentText"/>
      </w:pPr>
      <w:r>
        <w:rPr>
          <w:rStyle w:val="CommentReference"/>
        </w:rPr>
        <w:annotationRef/>
      </w:r>
      <w:r>
        <w:t>清理不可见字符或不间断空格，避免投稿排版和查重系统误读。</w:t>
      </w:r>
    </w:p>
  </w:comment>
  <w:comment w:id="5" w:author="Codex" w:initials="CX" w:date="2026-06-01T08:15:43Z">
    <w:p>
      <w:pPr>
        <w:pStyle w:val="CommentText"/>
      </w:pPr>
      <w:r>
        <w:rPr>
          <w:rStyle w:val="CommentReference"/>
        </w:rPr>
        <w:annotationRef/>
      </w:r>
      <w:r>
        <w:t>清理不可见字符或不间断空格，避免投稿排版和查重系统误读。</w:t>
      </w:r>
    </w:p>
  </w:comment>
  <w:comment w:id="6" w:author="Codex" w:initials="CX" w:date="2026-06-01T08:15:43Z">
    <w:p>
      <w:pPr>
        <w:pStyle w:val="CommentText"/>
      </w:pPr>
      <w:r>
        <w:rPr>
          <w:rStyle w:val="CommentReference"/>
        </w:rPr>
        <w:annotationRef/>
      </w:r>
      <w:r>
        <w:t>清理不可见字符或不间断空格，避免投稿排版和查重系统误读。</w:t>
      </w:r>
    </w:p>
  </w:comment>
  <w:comment w:id="7" w:author="Codex" w:initials="CX" w:date="2026-06-01T08:15:43Z">
    <w:p>
      <w:pPr>
        <w:pStyle w:val="CommentText"/>
      </w:pPr>
      <w:r>
        <w:rPr>
          <w:rStyle w:val="CommentReference"/>
        </w:rPr>
        <w:annotationRef/>
      </w:r>
      <w:r>
        <w:t>清理不可见字符或不间断空格，避免投稿排版和查重系统误读。</w:t>
      </w:r>
    </w:p>
  </w:comment>
  <w:comment w:id="8" w:author="Codex" w:initials="CX" w:date="2026-06-01T08:15:43Z">
    <w:p>
      <w:pPr>
        <w:pStyle w:val="CommentText"/>
      </w:pPr>
      <w:r>
        <w:rPr>
          <w:rStyle w:val="CommentReference"/>
        </w:rPr>
        <w:annotationRef/>
      </w:r>
      <w:r>
        <w:t>清理不可见字符或不间断空格，避免投稿排版和查重系统误读。</w:t>
      </w:r>
    </w:p>
  </w:comment>
  <w:comment w:id="9" w:author="Codex" w:initials="CX" w:date="2026-06-01T08:15:43Z">
    <w:p>
      <w:pPr>
        <w:pStyle w:val="CommentText"/>
      </w:pPr>
      <w:r>
        <w:rPr>
          <w:rStyle w:val="CommentReference"/>
        </w:rPr>
        <w:annotationRef/>
      </w:r>
      <w:r>
        <w:t>英文关键词冒号后缺空格，按英文摘要格式补齐。</w:t>
      </w:r>
    </w:p>
  </w:comment>
  <w:comment w:id="10" w:author="Codex" w:initials="CX" w:date="2026-06-01T08:15:43Z">
    <w:p>
      <w:pPr>
        <w:pStyle w:val="CommentText"/>
      </w:pPr>
      <w:r>
        <w:rPr>
          <w:rStyle w:val="CommentReference"/>
        </w:rPr>
        <w:annotationRef/>
      </w:r>
      <w:r>
        <w:t>补齐一级小节编号，并与第二篇格式统一。</w:t>
      </w:r>
    </w:p>
  </w:comment>
  <w:comment w:id="11" w:author="Codex" w:initials="CX" w:date="2026-06-01T08:15:43Z">
    <w:p>
      <w:pPr>
        <w:pStyle w:val="CommentText"/>
      </w:pPr>
      <w:r>
        <w:rPr>
          <w:rStyle w:val="CommentReference"/>
        </w:rPr>
        <w:annotationRef/>
      </w:r>
      <w:r>
        <w:t>图表题名中表号与题名之间应留空格。</w:t>
      </w:r>
    </w:p>
  </w:comment>
  <w:comment w:id="12" w:author="Codex" w:initials="CX" w:date="2026-06-01T08:15:43Z">
    <w:p>
      <w:pPr>
        <w:pStyle w:val="CommentText"/>
      </w:pPr>
      <w:r>
        <w:rPr>
          <w:rStyle w:val="CommentReference"/>
        </w:rPr>
        <w:annotationRef/>
      </w:r>
      <w:r>
        <w:t>图号与题名之间应留空格。</w:t>
      </w:r>
    </w:p>
  </w:comment>
  <w:comment w:id="13" w:author="Codex" w:initials="CX" w:date="2026-06-01T08:15:43Z">
    <w:p>
      <w:pPr>
        <w:pStyle w:val="CommentText"/>
      </w:pPr>
      <w:r>
        <w:rPr>
          <w:rStyle w:val="CommentReference"/>
        </w:rPr>
        <w:annotationRef/>
      </w:r>
      <w:r>
        <w:t>作者引用格式不规范，Mónica 是名不是规范学术引用姓氏。</w:t>
      </w:r>
    </w:p>
  </w:comment>
  <w:comment w:id="14" w:author="Codex" w:initials="CX" w:date="2026-06-01T08:15:43Z">
    <w:p>
      <w:pPr>
        <w:pStyle w:val="CommentText"/>
      </w:pPr>
      <w:r>
        <w:rPr>
          <w:rStyle w:val="CommentReference"/>
        </w:rPr>
        <w:annotationRef/>
      </w:r>
      <w:r>
        <w:t>表号与题名之间应留空格。</w:t>
      </w:r>
    </w:p>
  </w:comment>
  <w:comment w:id="15" w:author="Codex" w:initials="CX" w:date="2026-06-01T08:15:43Z">
    <w:p>
      <w:pPr>
        <w:pStyle w:val="CommentText"/>
      </w:pPr>
      <w:r>
        <w:rPr>
          <w:rStyle w:val="CommentReference"/>
        </w:rPr>
        <w:annotationRef/>
      </w:r>
      <w:r>
        <w:t>原公式在 Word 公式对象中缺少除号，已改为提及次数除以评论总数。</w:t>
      </w:r>
    </w:p>
  </w:comment>
  <w:comment w:id="16" w:author="Codex" w:initials="CX" w:date="2026-06-01T08:15:43Z">
    <w:p>
      <w:pPr>
        <w:pStyle w:val="CommentText"/>
      </w:pPr>
      <w:r>
        <w:rPr>
          <w:rStyle w:val="CommentReference"/>
        </w:rPr>
        <w:annotationRef/>
      </w:r>
      <w:r>
        <w:t>原句把平台通用能力等同于本文语料准确率，证据不足；改为官方接口参数说明，并提示需要本地验证。</w:t>
      </w:r>
    </w:p>
  </w:comment>
  <w:comment w:id="17" w:author="Codex" w:initials="CX" w:date="2026-06-01T08:15:43Z">
    <w:p>
      <w:pPr>
        <w:pStyle w:val="CommentText"/>
      </w:pPr>
      <w:r>
        <w:rPr>
          <w:rStyle w:val="CommentReference"/>
        </w:rPr>
        <w:annotationRef/>
      </w:r>
      <w:r>
        <w:t>新增 GPT-4.5、少样本提示、LLM+CES 近作引用，补强方法来源和创新性边界。</w:t>
      </w:r>
    </w:p>
  </w:comment>
  <w:comment w:id="18" w:author="Codex" w:initials="CX" w:date="2026-06-01T08:15:43Z">
    <w:p>
      <w:pPr>
        <w:pStyle w:val="CommentText"/>
      </w:pPr>
      <w:r>
        <w:rPr>
          <w:rStyle w:val="CommentReference"/>
        </w:rPr>
        <w:annotationRef/>
      </w:r>
      <w:r>
        <w:t>新增社交媒体 CES 综述和深圳供需研究，支撑平台偏差与地方案例背景。</w:t>
      </w:r>
    </w:p>
  </w:comment>
  <w:comment w:id="19" w:author="Codex" w:initials="CX" w:date="2026-06-01T08:15:43Z">
    <w:p>
      <w:pPr>
        <w:pStyle w:val="CommentText"/>
      </w:pPr>
      <w:r>
        <w:rPr>
          <w:rStyle w:val="CommentReference"/>
        </w:rPr>
        <w:annotationRef/>
      </w:r>
      <w:r>
        <w:t>该样本量与后文“不少于5%的候选句复核”口径不一致，需作者说明两者分别对应数据有效性抽查、候选句复核还是验证集。</w:t>
      </w:r>
    </w:p>
  </w:comment>
  <w:comment w:id="20" w:author="Codex" w:initials="CX" w:date="2026-06-01T08:15:43Z">
    <w:p>
      <w:pPr>
        <w:pStyle w:val="CommentText"/>
      </w:pPr>
      <w:r>
        <w:rPr>
          <w:rStyle w:val="CommentReference"/>
        </w:rPr>
        <w:annotationRef/>
      </w:r>
      <w:r>
        <w:t>请补充候选句总量或实际复核数量，避免与 97 条样本冲突。</w:t>
      </w:r>
    </w:p>
  </w:comment>
  <w:comment w:id="21" w:author="Codex" w:initials="CX" w:date="2026-06-01T08:15:43Z">
    <w:p>
      <w:pPr>
        <w:pStyle w:val="CommentText"/>
      </w:pPr>
      <w:r>
        <w:rPr>
          <w:rStyle w:val="CommentReference"/>
        </w:rPr>
        <w:annotationRef/>
      </w:r>
      <w:r>
        <w:t>低需低供与回归显著正向结果需要解释时间尺度差异：当前不是短板，但可能是长期增益方向。</w:t>
      </w:r>
    </w:p>
  </w:comment>
  <w:comment w:id="22" w:author="Codex" w:initials="CX" w:date="2026-06-01T08:15:43Z">
    <w:p>
      <w:pPr>
        <w:pStyle w:val="CommentText"/>
      </w:pPr>
      <w:r>
        <w:rPr>
          <w:rStyle w:val="CommentReference"/>
        </w:rPr>
        <w:annotationRef/>
      </w:r>
      <w:r>
        <w:t>请核对表 1 三类公园类别特点是否重复或错填。</w:t>
      </w:r>
    </w:p>
  </w:comment>
  <w:comment w:id="23" w:author="Codex" w:initials="CX" w:date="2026-06-01T08:15:43Z">
    <w:p>
      <w:pPr>
        <w:pStyle w:val="CommentText"/>
      </w:pPr>
      <w:r>
        <w:rPr>
          <w:rStyle w:val="CommentReference"/>
        </w:rPr>
        <w:annotationRef/>
      </w:r>
      <w:r>
        <w:t>空白模板字段不能代填；若期刊系统自动生成，投稿前建议删除或留给编辑部。</w:t>
      </w:r>
    </w:p>
  </w:comment>
  <w:comment w:id="24" w:author="Codex" w:initials="CX" w:date="2026-06-01T08:15:43Z">
    <w:p>
      <w:pPr>
        <w:pStyle w:val="CommentText"/>
      </w:pPr>
      <w:r>
        <w:rPr>
          <w:rStyle w:val="CommentReference"/>
        </w:rPr>
        <w:annotationRef/>
      </w:r>
      <w:r>
        <w:t>空白 DOI 不能代填；若期刊系统自动生成，投稿前建议删除或留给编辑部。</w:t>
      </w:r>
    </w:p>
  </w:comment>
  <w:comment w:id="25" w:author="Codex" w:initials="CX" w:date="2026-06-01T08:15:43Z">
    <w:p>
      <w:pPr>
        <w:pStyle w:val="CommentText"/>
      </w:pPr>
      <w:r>
        <w:rPr>
          <w:rStyle w:val="CommentReference"/>
        </w:rPr>
        <w:annotationRef/>
      </w:r>
      <w:r>
        <w:t>收稿日期需由期刊流程确定，不能自动填写。</w:t>
      </w:r>
    </w:p>
  </w:comment>
  <w:comment w:id="26" w:author="Codex" w:initials="CX" w:date="2026-06-01T08:15:43Z">
    <w:p>
      <w:pPr>
        <w:pStyle w:val="CommentText"/>
      </w:pPr>
      <w:r>
        <w:rPr>
          <w:rStyle w:val="CommentReference"/>
        </w:rPr>
        <w:annotationRef/>
      </w:r>
      <w:r>
        <w:t>修回日期需由期刊流程确定，不能自动填写。</w:t>
      </w:r>
    </w:p>
  </w:comment>
  <w:comment w:id="27" w:author="Codex" w:initials="CX" w:date="2026-06-01T08:15:43Z">
    <w:p>
      <w:pPr>
        <w:pStyle w:val="CommentText"/>
      </w:pPr>
      <w:r>
        <w:rPr>
          <w:rStyle w:val="CommentReference"/>
        </w:rPr>
        <w:annotationRef/>
      </w:r>
      <w:r>
        <w:t>DeepSeek-R1 已有 Nature 正式论文，优先用正式发表来源替换 arXiv 预印本。</w:t>
      </w:r>
    </w:p>
  </w:comment>
  <w:comment w:id="28" w:author="Codex" w:initials="CX" w:date="2026-06-01T08:15:43Z">
    <w:p>
      <w:pPr>
        <w:pStyle w:val="CommentText"/>
      </w:pPr>
      <w:r>
        <w:rPr>
          <w:rStyle w:val="CommentReference"/>
        </w:rPr>
        <w:annotationRef/>
      </w:r>
      <w:r>
        <w:t>原作者名写法错误，按 DOI 元数据修正为 HONG J Y, JEON J Y。</w:t>
      </w:r>
    </w:p>
  </w:comment>
  <w:comment w:id="29" w:author="Codex" w:initials="CX" w:date="2026-06-01T08:15:43Z">
    <w:p>
      <w:pPr>
        <w:pStyle w:val="CommentText"/>
      </w:pPr>
      <w:r>
        <w:rPr>
          <w:rStyle w:val="CommentReference"/>
        </w:rPr>
        <w:annotationRef/>
      </w:r>
      <w:r>
        <w:t>删除编辑占位符，避免投稿稿件残留模板标记。</w:t>
      </w:r>
    </w:p>
  </w:comment>
  <w:comment w:id="30" w:author="Codex" w:initials="CX" w:date="2026-06-01T08:15:43Z">
    <w:p>
      <w:pPr>
        <w:pStyle w:val="CommentText"/>
      </w:pPr>
      <w:r>
        <w:rPr>
          <w:rStyle w:val="CommentReference"/>
        </w:rPr>
        <w:annotationRef/>
      </w:r>
      <w:r>
        <w:t>新增参考文献，采用 GB/T 7714-2025 预排格式；正式投稿仍需按期刊模板复核编号。</w:t>
      </w:r>
    </w:p>
  </w:comment>
  <w:comment w:id="31" w:author="Codex" w:initials="CX" w:date="2026-06-01T08:15:43Z">
    <w:p>
      <w:pPr>
        <w:pStyle w:val="CommentText"/>
      </w:pPr>
      <w:r>
        <w:rPr>
          <w:rStyle w:val="CommentReference"/>
        </w:rPr>
        <w:annotationRef/>
      </w:r>
      <w:r>
        <w:t>新增参考文献，采用 GB/T 7714-2025 预排格式；正式投稿仍需按期刊模板复核编号。</w:t>
      </w:r>
    </w:p>
  </w:comment>
  <w:comment w:id="32" w:author="Codex" w:initials="CX" w:date="2026-06-01T08:15:43Z">
    <w:p>
      <w:pPr>
        <w:pStyle w:val="CommentText"/>
      </w:pPr>
      <w:r>
        <w:rPr>
          <w:rStyle w:val="CommentReference"/>
        </w:rPr>
        <w:annotationRef/>
      </w:r>
      <w:r>
        <w:t>新增参考文献，采用 GB/T 7714-2025 预排格式；正式投稿仍需按期刊模板复核编号。</w:t>
      </w:r>
    </w:p>
  </w:comment>
  <w:comment w:id="33" w:author="Codex" w:initials="CX" w:date="2026-06-01T08:15:43Z">
    <w:p>
      <w:pPr>
        <w:pStyle w:val="CommentText"/>
      </w:pPr>
      <w:r>
        <w:rPr>
          <w:rStyle w:val="CommentReference"/>
        </w:rPr>
        <w:annotationRef/>
      </w:r>
      <w:r>
        <w:t>新增参考文献，采用 GB/T 7714-2025 预排格式；正式投稿仍需按期刊模板复核编号。</w:t>
      </w:r>
    </w:p>
  </w:comment>
  <w:comment w:id="34" w:author="Codex" w:initials="CX" w:date="2026-06-01T08:15:43Z">
    <w:p>
      <w:pPr>
        <w:pStyle w:val="CommentText"/>
      </w:pPr>
      <w:r>
        <w:rPr>
          <w:rStyle w:val="CommentReference"/>
        </w:rPr>
        <w:annotationRef/>
      </w:r>
      <w:r>
        <w:t>新增参考文献，采用 GB/T 7714-2025 预排格式；正式投稿仍需按期刊模板复核编号。</w:t>
      </w:r>
    </w:p>
  </w:comment>
  <w:comment w:id="35" w:author="Codex" w:initials="CX" w:date="2026-06-01T08:15:43Z">
    <w:p>
      <w:pPr>
        <w:pStyle w:val="CommentText"/>
      </w:pPr>
      <w:r>
        <w:rPr>
          <w:rStyle w:val="CommentReference"/>
        </w:rPr>
        <w:annotationRef/>
      </w:r>
      <w:r>
        <w:t>新增参考文献，采用 GB/T 7714-2025 预排格式；正式投稿仍需按期刊模板复核编号。</w:t>
      </w:r>
    </w:p>
  </w:comment>
  <w:comment w:id="36" w:author="Codex" w:initials="CX" w:date="2026-06-01T08:15:43Z">
    <w:p>
      <w:pPr>
        <w:pStyle w:val="CommentText"/>
      </w:pPr>
      <w:r>
        <w:rPr>
          <w:rStyle w:val="CommentReference"/>
        </w:rPr>
        <w:annotationRef/>
      </w:r>
      <w:r>
        <w:t>新增参考文献，采用 GB/T 7714-2025 预排格式；正式投稿仍需按期刊模板复核编号。</w:t>
      </w:r>
    </w:p>
  </w:comment>
  <w:comment w:id="37" w:author="Codex" w:initials="CX" w:date="2026-06-01T08:15:43Z">
    <w:p>
      <w:pPr>
        <w:pStyle w:val="CommentText"/>
      </w:pPr>
      <w:r>
        <w:rPr>
          <w:rStyle w:val="CommentReference"/>
        </w:rPr>
        <w:annotationRef/>
      </w:r>
      <w:r>
        <w:t>新增参考文献，采用 GB/T 7714-2025 预排格式；正式投稿仍需按期刊模板复核编号。</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937926F-FBCB-42C0-8142-D122F296314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EEE603CB-22C2-454E-B414-95FDC531CDF1}"/>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方正兰亭中黑_GBK">
    <w:altName w:val="黑体"/>
    <w:panose1 w:val="00000000000000000000"/>
    <w:charset w:val="86"/>
    <w:family w:val="auto"/>
    <w:pitch w:val="default"/>
    <w:sig w:usb0="00000000" w:usb1="00000000" w:usb2="00082016" w:usb3="00000000" w:csb0="00040000" w:csb1="00000000"/>
    <w:embedRegular r:id="rId3" w:fontKey="{2E4F710C-9FEB-427B-BDF2-44309C7A66F1}"/>
  </w:font>
  <w:font w:name="Arial Unicode MS">
    <w:panose1 w:val="020B0604020202020204"/>
    <w:charset w:val="86"/>
    <w:family w:val="swiss"/>
    <w:pitch w:val="default"/>
    <w:sig w:usb0="F7FFAEFF" w:usb1="F9DFFFFF" w:usb2="0000007F" w:usb3="00000000" w:csb0="203F01FF" w:csb1="DFFF0000"/>
  </w:font>
  <w:font w:name="等线">
    <w:panose1 w:val="02010600030101010101"/>
    <w:charset w:val="86"/>
    <w:family w:val="auto"/>
    <w:pitch w:val="default"/>
    <w:sig w:usb0="A00002BF" w:usb1="38CF7CFA" w:usb2="00000016" w:usb3="00000000" w:csb0="0004000F" w:csb1="00000000"/>
    <w:embedRegular r:id="rId4" w:fontKey="{FC8C7E7F-05AF-43D0-BBD2-35C9052551C8}"/>
  </w:font>
  <w:font w:name="华文黑体 Light">
    <w:altName w:val="黑体"/>
    <w:panose1 w:val="00000000000000000000"/>
    <w:charset w:val="86"/>
    <w:family w:val="auto"/>
    <w:pitch w:val="default"/>
    <w:sig w:usb0="00000000" w:usb1="00000000" w:usb2="00000010" w:usb3="00000000" w:csb0="00040000" w:csb1="00000000"/>
    <w:embedRegular r:id="rId5" w:fontKey="{18F05800-59A7-4610-B135-9F7F1C1EED48}"/>
  </w:font>
  <w:font w:name="方正纤雅宋_GBK">
    <w:panose1 w:val="02000500000000000000"/>
    <w:charset w:val="86"/>
    <w:family w:val="auto"/>
    <w:pitch w:val="default"/>
    <w:sig w:usb0="A00002BF" w:usb1="38CF7CFA" w:usb2="00000016" w:usb3="00000000" w:csb0="00040001" w:csb1="00000000"/>
  </w:font>
  <w:font w:name="HelveticaNeueLT Pro 45 Lt">
    <w:altName w:val="Arial"/>
    <w:panose1 w:val="00000000000000000000"/>
    <w:charset w:val="00"/>
    <w:family w:val="swiss"/>
    <w:pitch w:val="default"/>
    <w:sig w:usb0="00000000" w:usb1="00000000" w:usb2="00000000" w:usb3="00000000" w:csb0="0000009B" w:csb1="00000000"/>
    <w:embedRegular r:id="rId6" w:fontKey="{2FE21C32-D6A5-4A63-9A62-887A9379F247}"/>
  </w:font>
  <w:font w:name="方正兰亭纤黑_GBK">
    <w:altName w:val="微软雅黑"/>
    <w:panose1 w:val="00000000000000000000"/>
    <w:charset w:val="86"/>
    <w:family w:val="auto"/>
    <w:pitch w:val="default"/>
    <w:sig w:usb0="00000000" w:usb1="00000000" w:usb2="00000010" w:usb3="00000000" w:csb0="00040000" w:csb1="00000000"/>
    <w:embedRegular r:id="rId7" w:fontKey="{E79EA531-D4C3-4363-8705-16684722D061}"/>
  </w:font>
  <w:font w:name="微软雅黑">
    <w:panose1 w:val="020B0503020204020204"/>
    <w:charset w:val="86"/>
    <w:family w:val="auto"/>
    <w:pitch w:val="default"/>
    <w:sig w:usb0="80000287" w:usb1="2ACF3C50" w:usb2="00000016" w:usb3="00000000" w:csb0="0004001F" w:csb1="00000000"/>
  </w:font>
  <w:font w:name="方正兰亭准黑_GBK">
    <w:altName w:val="黑体"/>
    <w:panose1 w:val="00000000000000000000"/>
    <w:charset w:val="86"/>
    <w:family w:val="auto"/>
    <w:pitch w:val="default"/>
    <w:sig w:usb0="00000000" w:usb1="00000000" w:usb2="00082016" w:usb3="00000000" w:csb0="00040000" w:csb1="00000000"/>
    <w:embedRegular r:id="rId8" w:fontKey="{C841B8AA-A01C-4405-AA6F-5028058BB6C9}"/>
  </w:font>
  <w:font w:name="方正中等线_GBK">
    <w:panose1 w:val="02000000000000000000"/>
    <w:charset w:val="86"/>
    <w:family w:val="script"/>
    <w:pitch w:val="default"/>
    <w:sig w:usb0="A00002BF" w:usb1="38CF7CFA" w:usb2="00000016" w:usb3="00000000" w:csb0="00040001" w:csb1="00000000"/>
  </w:font>
  <w:font w:name="Adobe 宋体 Std L">
    <w:panose1 w:val="02020300000000000000"/>
    <w:charset w:val="86"/>
    <w:family w:val="roman"/>
    <w:pitch w:val="default"/>
    <w:sig w:usb0="00000001" w:usb1="0A0F1810" w:usb2="00000016" w:usb3="00000000" w:csb0="00060007" w:csb1="00000000"/>
  </w:font>
  <w:font w:name="Segoe UI">
    <w:panose1 w:val="020B0502040204020203"/>
    <w:charset w:val="00"/>
    <w:family w:val="swiss"/>
    <w:pitch w:val="default"/>
    <w:sig w:usb0="E4002EFF" w:usb1="C000E47F" w:usb2="00000009" w:usb3="00000000" w:csb0="200001FF" w:csb1="00000000"/>
    <w:embedRegular r:id="rId9" w:fontKey="{5AD12AAC-1228-4C32-B571-9B79227B6C16}"/>
  </w:font>
  <w:font w:name="楷体_GB2312">
    <w:panose1 w:val="02010609030101010101"/>
    <w:charset w:val="86"/>
    <w:family w:val="roman"/>
    <w:pitch w:val="default"/>
    <w:sig w:usb0="00000001" w:usb1="080E0000" w:usb2="00000000" w:usb3="00000000" w:csb0="00040000" w:csb1="00000000"/>
  </w:font>
  <w:font w:name="方正中等线简体">
    <w:altName w:val="宋体"/>
    <w:panose1 w:val="00000000000000000000"/>
    <w:charset w:val="86"/>
    <w:family w:val="script"/>
    <w:pitch w:val="default"/>
    <w:sig w:usb0="00000000" w:usb1="00000000" w:usb2="00000010" w:usb3="00000000" w:csb0="00040000" w:csb1="00000000"/>
  </w:font>
  <w:font w:name="方正纤雅宋简体">
    <w:altName w:val="微软雅黑"/>
    <w:panose1 w:val="00000000000000000000"/>
    <w:charset w:val="86"/>
    <w:family w:val="auto"/>
    <w:pitch w:val="default"/>
    <w:sig w:usb0="00000000" w:usb1="00000000" w:usb2="00000010" w:usb3="00000000" w:csb0="00040000" w:csb1="00000000"/>
    <w:embedRegular r:id="rId10" w:fontKey="{FD1AA82C-E6B8-47F4-BFD3-949645260CEB}"/>
  </w:font>
  <w:font w:name="方正粗雅宋_GBK">
    <w:panose1 w:val="02000500000000000000"/>
    <w:charset w:val="86"/>
    <w:family w:val="auto"/>
    <w:pitch w:val="default"/>
    <w:sig w:usb0="A00002BF" w:usb1="38CF7CFA" w:usb2="00000016" w:usb3="00000000" w:csb0="00040001" w:csb1="00000000"/>
    <w:embedRegular r:id="rId11" w:fontKey="{B9FC65FE-3888-4C38-BA75-2FB05B7B25CC}"/>
  </w:font>
  <w:font w:name="Cambria Math">
    <w:panose1 w:val="02040503050406030204"/>
    <w:charset w:val="00"/>
    <w:family w:val="roman"/>
    <w:pitch w:val="default"/>
    <w:sig w:usb0="E00006FF" w:usb1="420024FF" w:usb2="02000000" w:usb3="00000000" w:csb0="2000019F" w:csb1="00000000"/>
    <w:embedRegular r:id="rId12" w:fontKey="{D813ECA6-3472-440F-9023-70B406B4E73B}"/>
  </w:font>
  <w:font w:name="方正兰亭准黑简体">
    <w:altName w:val="微软雅黑"/>
    <w:panose1 w:val="00000000000000000000"/>
    <w:charset w:val="86"/>
    <w:family w:val="auto"/>
    <w:pitch w:val="default"/>
    <w:sig w:usb0="00000000" w:usb1="00000000" w:usb2="00000010" w:usb3="00000000" w:csb0="00040000" w:csb1="00000000"/>
    <w:embedRegular r:id="rId13" w:fontKey="{13C5CB8D-BA7C-4FF2-88F8-79B4E90CFC1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28948854"/>
    </w:sdtPr>
    <w:sdtContent>
      <w:sdt>
        <w:sdtPr>
          <w:id w:val="-895194927"/>
        </w:sdtPr>
        <w:sdtContent>
          <w:p w14:paraId="0D3A37C5">
            <w:pPr>
              <w:pStyle w:val="10"/>
              <w:jc w:val="right"/>
            </w:pPr>
            <w:r>
              <w:rPr>
                <w:b/>
                <w:bCs/>
                <w:sz w:val="24"/>
                <w:szCs w:val="24"/>
              </w:rPr>
              <w:fldChar w:fldCharType="begin"/>
            </w:r>
            <w:r>
              <w:rPr>
                <w:b/>
                <w:bCs/>
              </w:rPr>
              <w:instrText xml:space="preserve">PAGE</w:instrText>
            </w:r>
            <w:r>
              <w:rPr>
                <w:b/>
                <w:bCs/>
                <w:sz w:val="24"/>
                <w:szCs w:val="24"/>
              </w:rPr>
              <w:fldChar w:fldCharType="separate"/>
            </w:r>
            <w:r>
              <w:rPr>
                <w:b/>
                <w:bCs/>
              </w:rPr>
              <w:t>4</w:t>
            </w:r>
            <w:r>
              <w:rPr>
                <w:b/>
                <w:bCs/>
                <w:sz w:val="24"/>
                <w:szCs w:val="24"/>
              </w:rPr>
              <w:fldChar w:fldCharType="end"/>
            </w:r>
            <w:r>
              <w:rPr>
                <w:lang w:val="zh-CN" w:eastAsia="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5</w:t>
            </w:r>
            <w:r>
              <w:rPr>
                <w:b/>
                <w:bCs/>
                <w:sz w:val="24"/>
                <w:szCs w:val="24"/>
              </w:rPr>
              <w:fldChar w:fldCharType="end"/>
            </w:r>
          </w:p>
        </w:sdtContent>
      </w:sdt>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A91D6A"/>
    <w:multiLevelType w:val="singleLevel"/>
    <w:tmpl w:val="C5A91D6A"/>
    <w:lvl w:ilvl="0" w:tentative="0">
      <w:start w:val="1"/>
      <w:numFmt w:val="decimal"/>
      <w:suff w:val="nothing"/>
      <w:lvlText w:val="[%1]"/>
      <w:lvlJc w:val="left"/>
      <w:pPr>
        <w:ind w:left="0" w:firstLine="0"/>
      </w:pPr>
      <w:rPr>
        <w:rFonts w:hint="default" w:ascii="Times New Roman" w:hAnsi="Times New Roman" w:cs="Times New Roman"/>
      </w:rPr>
    </w:lvl>
  </w:abstractNum>
  <w:abstractNum w:abstractNumId="1">
    <w:nsid w:val="E8E3F24D"/>
    <w:multiLevelType w:val="multilevel"/>
    <w:tmpl w:val="E8E3F24D"/>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E3OGU4MzMyNzFkOTc2MjJkMDY0OGIwMTYwMjM4M2MifQ=="/>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0vd5zr9w2298es9ae50d0utwffpx9z25va&quot;&gt;My EndNote Library&lt;record-ids&gt;&lt;item&gt;1&lt;/item&gt;&lt;item&gt;2&lt;/item&gt;&lt;item&gt;4&lt;/item&gt;&lt;item&gt;5&lt;/item&gt;&lt;item&gt;6&lt;/item&gt;&lt;item&gt;7&lt;/item&gt;&lt;item&gt;8&lt;/item&gt;&lt;item&gt;9&lt;/item&gt;&lt;item&gt;10&lt;/item&gt;&lt;item&gt;11&lt;/item&gt;&lt;item&gt;12&lt;/item&gt;&lt;item&gt;14&lt;/item&gt;&lt;item&gt;15&lt;/item&gt;&lt;item&gt;16&lt;/item&gt;&lt;/record-ids&gt;&lt;/item&gt;&lt;/Libraries&gt;"/>
  </w:docVars>
  <w:rsids>
    <w:rsidRoot w:val="003A14D8"/>
    <w:rsid w:val="00001FDF"/>
    <w:rsid w:val="00005084"/>
    <w:rsid w:val="00011A3F"/>
    <w:rsid w:val="000127A9"/>
    <w:rsid w:val="00015A75"/>
    <w:rsid w:val="00035708"/>
    <w:rsid w:val="00040A17"/>
    <w:rsid w:val="0004138C"/>
    <w:rsid w:val="0004232A"/>
    <w:rsid w:val="000448F5"/>
    <w:rsid w:val="00045523"/>
    <w:rsid w:val="0004650B"/>
    <w:rsid w:val="000471CB"/>
    <w:rsid w:val="0005011A"/>
    <w:rsid w:val="00050E21"/>
    <w:rsid w:val="0005562E"/>
    <w:rsid w:val="000559D5"/>
    <w:rsid w:val="000609FA"/>
    <w:rsid w:val="0006104E"/>
    <w:rsid w:val="00063A15"/>
    <w:rsid w:val="00063DF1"/>
    <w:rsid w:val="00066758"/>
    <w:rsid w:val="000740A6"/>
    <w:rsid w:val="0007529A"/>
    <w:rsid w:val="00075A58"/>
    <w:rsid w:val="00077273"/>
    <w:rsid w:val="00080869"/>
    <w:rsid w:val="000823AA"/>
    <w:rsid w:val="0008548B"/>
    <w:rsid w:val="000862BB"/>
    <w:rsid w:val="00092C7F"/>
    <w:rsid w:val="000952C9"/>
    <w:rsid w:val="00095C85"/>
    <w:rsid w:val="000A4D4F"/>
    <w:rsid w:val="000A7987"/>
    <w:rsid w:val="000B2CD8"/>
    <w:rsid w:val="000B76C6"/>
    <w:rsid w:val="000C1C58"/>
    <w:rsid w:val="000C20F9"/>
    <w:rsid w:val="000C28B6"/>
    <w:rsid w:val="000C7759"/>
    <w:rsid w:val="000C793A"/>
    <w:rsid w:val="000D4F21"/>
    <w:rsid w:val="000D7CA3"/>
    <w:rsid w:val="000E0510"/>
    <w:rsid w:val="000E2D9C"/>
    <w:rsid w:val="000E4666"/>
    <w:rsid w:val="000E7420"/>
    <w:rsid w:val="000F3B5F"/>
    <w:rsid w:val="000F7142"/>
    <w:rsid w:val="00101CF9"/>
    <w:rsid w:val="00101D15"/>
    <w:rsid w:val="00105FB7"/>
    <w:rsid w:val="00110C8B"/>
    <w:rsid w:val="00113D0D"/>
    <w:rsid w:val="00116214"/>
    <w:rsid w:val="001205CA"/>
    <w:rsid w:val="0012584E"/>
    <w:rsid w:val="00134D25"/>
    <w:rsid w:val="00135F15"/>
    <w:rsid w:val="00136DCD"/>
    <w:rsid w:val="00144BE3"/>
    <w:rsid w:val="001458E8"/>
    <w:rsid w:val="00147B58"/>
    <w:rsid w:val="00154B8F"/>
    <w:rsid w:val="00160545"/>
    <w:rsid w:val="00171957"/>
    <w:rsid w:val="00174D7F"/>
    <w:rsid w:val="001824FB"/>
    <w:rsid w:val="00182D87"/>
    <w:rsid w:val="0018320E"/>
    <w:rsid w:val="0018585C"/>
    <w:rsid w:val="00186B79"/>
    <w:rsid w:val="001916D3"/>
    <w:rsid w:val="00192CE1"/>
    <w:rsid w:val="00194CBF"/>
    <w:rsid w:val="001A5268"/>
    <w:rsid w:val="001A53DC"/>
    <w:rsid w:val="001B0036"/>
    <w:rsid w:val="001B65B8"/>
    <w:rsid w:val="001C55DF"/>
    <w:rsid w:val="001D601C"/>
    <w:rsid w:val="001D6742"/>
    <w:rsid w:val="001E405D"/>
    <w:rsid w:val="001E498A"/>
    <w:rsid w:val="001E5598"/>
    <w:rsid w:val="001F1D9B"/>
    <w:rsid w:val="001F2685"/>
    <w:rsid w:val="001F3D3D"/>
    <w:rsid w:val="001F708C"/>
    <w:rsid w:val="001F7441"/>
    <w:rsid w:val="001F7BB0"/>
    <w:rsid w:val="00200EA1"/>
    <w:rsid w:val="00202FA9"/>
    <w:rsid w:val="00204422"/>
    <w:rsid w:val="00215868"/>
    <w:rsid w:val="00215ED4"/>
    <w:rsid w:val="00223D95"/>
    <w:rsid w:val="00230333"/>
    <w:rsid w:val="0023121F"/>
    <w:rsid w:val="00235A12"/>
    <w:rsid w:val="00237982"/>
    <w:rsid w:val="002404E3"/>
    <w:rsid w:val="00245F4D"/>
    <w:rsid w:val="00253A57"/>
    <w:rsid w:val="002544F2"/>
    <w:rsid w:val="00254555"/>
    <w:rsid w:val="00255A5D"/>
    <w:rsid w:val="002613F7"/>
    <w:rsid w:val="0026250F"/>
    <w:rsid w:val="00264E41"/>
    <w:rsid w:val="002704D0"/>
    <w:rsid w:val="00272C5A"/>
    <w:rsid w:val="0027331F"/>
    <w:rsid w:val="00274B0B"/>
    <w:rsid w:val="00276BEA"/>
    <w:rsid w:val="00282357"/>
    <w:rsid w:val="00285085"/>
    <w:rsid w:val="00293E62"/>
    <w:rsid w:val="002955FA"/>
    <w:rsid w:val="002A6CD8"/>
    <w:rsid w:val="002B105C"/>
    <w:rsid w:val="002B2431"/>
    <w:rsid w:val="002B255F"/>
    <w:rsid w:val="002B56C6"/>
    <w:rsid w:val="002C05AD"/>
    <w:rsid w:val="002C061F"/>
    <w:rsid w:val="002C6B0D"/>
    <w:rsid w:val="002D40B0"/>
    <w:rsid w:val="002D4B5C"/>
    <w:rsid w:val="002E10A8"/>
    <w:rsid w:val="002E1251"/>
    <w:rsid w:val="002E1B4B"/>
    <w:rsid w:val="002E2FA3"/>
    <w:rsid w:val="002E3802"/>
    <w:rsid w:val="002E3A95"/>
    <w:rsid w:val="002F121F"/>
    <w:rsid w:val="002F4DE1"/>
    <w:rsid w:val="002F6834"/>
    <w:rsid w:val="002F7AAB"/>
    <w:rsid w:val="003011F2"/>
    <w:rsid w:val="00305AC1"/>
    <w:rsid w:val="0031541D"/>
    <w:rsid w:val="00315F18"/>
    <w:rsid w:val="0031766A"/>
    <w:rsid w:val="00323BE9"/>
    <w:rsid w:val="003254AE"/>
    <w:rsid w:val="003261E8"/>
    <w:rsid w:val="00331649"/>
    <w:rsid w:val="00341849"/>
    <w:rsid w:val="003510A7"/>
    <w:rsid w:val="0035773B"/>
    <w:rsid w:val="003645CB"/>
    <w:rsid w:val="00364D7C"/>
    <w:rsid w:val="003655A7"/>
    <w:rsid w:val="003673FF"/>
    <w:rsid w:val="003701F8"/>
    <w:rsid w:val="00372782"/>
    <w:rsid w:val="00375B95"/>
    <w:rsid w:val="00384E19"/>
    <w:rsid w:val="003A14D8"/>
    <w:rsid w:val="003A7A34"/>
    <w:rsid w:val="003B17C4"/>
    <w:rsid w:val="003B2468"/>
    <w:rsid w:val="003B51C0"/>
    <w:rsid w:val="003B6670"/>
    <w:rsid w:val="003C258A"/>
    <w:rsid w:val="003C49C4"/>
    <w:rsid w:val="003C4C74"/>
    <w:rsid w:val="003C5AC7"/>
    <w:rsid w:val="003D309F"/>
    <w:rsid w:val="003E1519"/>
    <w:rsid w:val="003E29C8"/>
    <w:rsid w:val="003E5A5C"/>
    <w:rsid w:val="003E6269"/>
    <w:rsid w:val="003F0404"/>
    <w:rsid w:val="003F2680"/>
    <w:rsid w:val="003F2EA1"/>
    <w:rsid w:val="003F74CC"/>
    <w:rsid w:val="00403382"/>
    <w:rsid w:val="00405D88"/>
    <w:rsid w:val="00407C67"/>
    <w:rsid w:val="00410409"/>
    <w:rsid w:val="00413AD8"/>
    <w:rsid w:val="00415CB5"/>
    <w:rsid w:val="00416C57"/>
    <w:rsid w:val="0042204C"/>
    <w:rsid w:val="00424882"/>
    <w:rsid w:val="00424EB8"/>
    <w:rsid w:val="00424FB7"/>
    <w:rsid w:val="00426D72"/>
    <w:rsid w:val="00430F15"/>
    <w:rsid w:val="004321C1"/>
    <w:rsid w:val="00434FCC"/>
    <w:rsid w:val="0044287E"/>
    <w:rsid w:val="00452D0B"/>
    <w:rsid w:val="00455B20"/>
    <w:rsid w:val="004560A6"/>
    <w:rsid w:val="0045685E"/>
    <w:rsid w:val="0046663A"/>
    <w:rsid w:val="0046694C"/>
    <w:rsid w:val="004743A1"/>
    <w:rsid w:val="00482797"/>
    <w:rsid w:val="004846BC"/>
    <w:rsid w:val="0048471B"/>
    <w:rsid w:val="0049183F"/>
    <w:rsid w:val="004B39AC"/>
    <w:rsid w:val="004B4258"/>
    <w:rsid w:val="004D2943"/>
    <w:rsid w:val="004D5B2D"/>
    <w:rsid w:val="004E230F"/>
    <w:rsid w:val="004E2BD3"/>
    <w:rsid w:val="004E71AD"/>
    <w:rsid w:val="004F369D"/>
    <w:rsid w:val="00503EAC"/>
    <w:rsid w:val="0050438C"/>
    <w:rsid w:val="005056E0"/>
    <w:rsid w:val="005115E1"/>
    <w:rsid w:val="00517B64"/>
    <w:rsid w:val="005340F6"/>
    <w:rsid w:val="00535104"/>
    <w:rsid w:val="0054190D"/>
    <w:rsid w:val="00541D14"/>
    <w:rsid w:val="00542EA7"/>
    <w:rsid w:val="0054685E"/>
    <w:rsid w:val="00550324"/>
    <w:rsid w:val="00556959"/>
    <w:rsid w:val="005572C6"/>
    <w:rsid w:val="0056204C"/>
    <w:rsid w:val="00563530"/>
    <w:rsid w:val="0056624B"/>
    <w:rsid w:val="0057074D"/>
    <w:rsid w:val="00571585"/>
    <w:rsid w:val="00573C19"/>
    <w:rsid w:val="00575860"/>
    <w:rsid w:val="005814C2"/>
    <w:rsid w:val="00583932"/>
    <w:rsid w:val="00583ED8"/>
    <w:rsid w:val="005850F5"/>
    <w:rsid w:val="00592828"/>
    <w:rsid w:val="00592EF6"/>
    <w:rsid w:val="00593656"/>
    <w:rsid w:val="00595C69"/>
    <w:rsid w:val="005A15A2"/>
    <w:rsid w:val="005A2E4F"/>
    <w:rsid w:val="005A4A98"/>
    <w:rsid w:val="005B119B"/>
    <w:rsid w:val="005B2074"/>
    <w:rsid w:val="005B242D"/>
    <w:rsid w:val="005B25DB"/>
    <w:rsid w:val="005B28F8"/>
    <w:rsid w:val="005B36BF"/>
    <w:rsid w:val="005B45CD"/>
    <w:rsid w:val="005B4D8C"/>
    <w:rsid w:val="005B6490"/>
    <w:rsid w:val="005C0547"/>
    <w:rsid w:val="005C0933"/>
    <w:rsid w:val="005C22DB"/>
    <w:rsid w:val="005C3166"/>
    <w:rsid w:val="005C5ADC"/>
    <w:rsid w:val="005D0E31"/>
    <w:rsid w:val="005E1183"/>
    <w:rsid w:val="005E3954"/>
    <w:rsid w:val="005E4B2F"/>
    <w:rsid w:val="005F66BE"/>
    <w:rsid w:val="005F706A"/>
    <w:rsid w:val="005F79EA"/>
    <w:rsid w:val="00603035"/>
    <w:rsid w:val="00614D1A"/>
    <w:rsid w:val="00616462"/>
    <w:rsid w:val="006212C8"/>
    <w:rsid w:val="0062186D"/>
    <w:rsid w:val="006273AD"/>
    <w:rsid w:val="00632644"/>
    <w:rsid w:val="00632E56"/>
    <w:rsid w:val="00634524"/>
    <w:rsid w:val="00646D21"/>
    <w:rsid w:val="0066213C"/>
    <w:rsid w:val="00667854"/>
    <w:rsid w:val="00670517"/>
    <w:rsid w:val="00671C3F"/>
    <w:rsid w:val="00676BC5"/>
    <w:rsid w:val="00680463"/>
    <w:rsid w:val="0068137E"/>
    <w:rsid w:val="00682835"/>
    <w:rsid w:val="00683086"/>
    <w:rsid w:val="00683A26"/>
    <w:rsid w:val="0068474F"/>
    <w:rsid w:val="00684D90"/>
    <w:rsid w:val="00691071"/>
    <w:rsid w:val="00693115"/>
    <w:rsid w:val="00694030"/>
    <w:rsid w:val="006970F3"/>
    <w:rsid w:val="006A0172"/>
    <w:rsid w:val="006A37A1"/>
    <w:rsid w:val="006B4251"/>
    <w:rsid w:val="006B6FB6"/>
    <w:rsid w:val="006B7058"/>
    <w:rsid w:val="006C5B6A"/>
    <w:rsid w:val="006D24B3"/>
    <w:rsid w:val="006D2C03"/>
    <w:rsid w:val="006D6948"/>
    <w:rsid w:val="006E09BB"/>
    <w:rsid w:val="006F4708"/>
    <w:rsid w:val="00706B07"/>
    <w:rsid w:val="00711B8F"/>
    <w:rsid w:val="0073584F"/>
    <w:rsid w:val="007424B0"/>
    <w:rsid w:val="00744AF1"/>
    <w:rsid w:val="00744D0E"/>
    <w:rsid w:val="0074665B"/>
    <w:rsid w:val="0074669B"/>
    <w:rsid w:val="007608FA"/>
    <w:rsid w:val="0076106A"/>
    <w:rsid w:val="007618E0"/>
    <w:rsid w:val="00764919"/>
    <w:rsid w:val="00771247"/>
    <w:rsid w:val="00784940"/>
    <w:rsid w:val="00787D68"/>
    <w:rsid w:val="00790B54"/>
    <w:rsid w:val="00794F04"/>
    <w:rsid w:val="0079515E"/>
    <w:rsid w:val="007B107C"/>
    <w:rsid w:val="007B5948"/>
    <w:rsid w:val="007B6868"/>
    <w:rsid w:val="007C1F8A"/>
    <w:rsid w:val="007C4E7F"/>
    <w:rsid w:val="007C5168"/>
    <w:rsid w:val="007D400E"/>
    <w:rsid w:val="007D6F4B"/>
    <w:rsid w:val="007E1609"/>
    <w:rsid w:val="007F6096"/>
    <w:rsid w:val="00800C56"/>
    <w:rsid w:val="008021C2"/>
    <w:rsid w:val="008031C3"/>
    <w:rsid w:val="0081532C"/>
    <w:rsid w:val="00817168"/>
    <w:rsid w:val="008219F7"/>
    <w:rsid w:val="00825B4C"/>
    <w:rsid w:val="00834746"/>
    <w:rsid w:val="0084142A"/>
    <w:rsid w:val="0084397F"/>
    <w:rsid w:val="00844E1A"/>
    <w:rsid w:val="00845568"/>
    <w:rsid w:val="008527AD"/>
    <w:rsid w:val="0085793C"/>
    <w:rsid w:val="00860B82"/>
    <w:rsid w:val="008612AC"/>
    <w:rsid w:val="008642A3"/>
    <w:rsid w:val="00864EDE"/>
    <w:rsid w:val="008660A3"/>
    <w:rsid w:val="00872A89"/>
    <w:rsid w:val="0087716C"/>
    <w:rsid w:val="00880ADE"/>
    <w:rsid w:val="0088124F"/>
    <w:rsid w:val="0088502F"/>
    <w:rsid w:val="00886974"/>
    <w:rsid w:val="00893197"/>
    <w:rsid w:val="008947B7"/>
    <w:rsid w:val="008A308D"/>
    <w:rsid w:val="008A36F2"/>
    <w:rsid w:val="008A521D"/>
    <w:rsid w:val="008A5FEF"/>
    <w:rsid w:val="008A71ED"/>
    <w:rsid w:val="008B0E4F"/>
    <w:rsid w:val="008B23FA"/>
    <w:rsid w:val="008B672E"/>
    <w:rsid w:val="008B7FE1"/>
    <w:rsid w:val="008C1316"/>
    <w:rsid w:val="008C1364"/>
    <w:rsid w:val="008C309E"/>
    <w:rsid w:val="008C7392"/>
    <w:rsid w:val="008D3B2D"/>
    <w:rsid w:val="008D5B49"/>
    <w:rsid w:val="008D5B86"/>
    <w:rsid w:val="008D65F0"/>
    <w:rsid w:val="008D773A"/>
    <w:rsid w:val="008F2BFE"/>
    <w:rsid w:val="008F3010"/>
    <w:rsid w:val="0090111C"/>
    <w:rsid w:val="00901A05"/>
    <w:rsid w:val="00902C2A"/>
    <w:rsid w:val="00905758"/>
    <w:rsid w:val="009073C0"/>
    <w:rsid w:val="00907F80"/>
    <w:rsid w:val="00914148"/>
    <w:rsid w:val="0093011D"/>
    <w:rsid w:val="009369B1"/>
    <w:rsid w:val="00940548"/>
    <w:rsid w:val="009448DF"/>
    <w:rsid w:val="00945DCD"/>
    <w:rsid w:val="0095484F"/>
    <w:rsid w:val="00957841"/>
    <w:rsid w:val="00964437"/>
    <w:rsid w:val="00975719"/>
    <w:rsid w:val="00976322"/>
    <w:rsid w:val="00987C21"/>
    <w:rsid w:val="0099350A"/>
    <w:rsid w:val="009A408A"/>
    <w:rsid w:val="009A7FC7"/>
    <w:rsid w:val="009B3A73"/>
    <w:rsid w:val="009B422D"/>
    <w:rsid w:val="009C0032"/>
    <w:rsid w:val="009C27F0"/>
    <w:rsid w:val="009C51FB"/>
    <w:rsid w:val="009C6857"/>
    <w:rsid w:val="009C6B6A"/>
    <w:rsid w:val="009C6E8B"/>
    <w:rsid w:val="009C6EEF"/>
    <w:rsid w:val="009D1381"/>
    <w:rsid w:val="009D2FB3"/>
    <w:rsid w:val="009D798F"/>
    <w:rsid w:val="009E5942"/>
    <w:rsid w:val="009E5C91"/>
    <w:rsid w:val="009E604C"/>
    <w:rsid w:val="009E6C4B"/>
    <w:rsid w:val="009F2B35"/>
    <w:rsid w:val="009F446C"/>
    <w:rsid w:val="009F5583"/>
    <w:rsid w:val="009F7736"/>
    <w:rsid w:val="00A01C98"/>
    <w:rsid w:val="00A04EE4"/>
    <w:rsid w:val="00A167EE"/>
    <w:rsid w:val="00A20B90"/>
    <w:rsid w:val="00A21400"/>
    <w:rsid w:val="00A23769"/>
    <w:rsid w:val="00A255E1"/>
    <w:rsid w:val="00A274A5"/>
    <w:rsid w:val="00A30119"/>
    <w:rsid w:val="00A35A2A"/>
    <w:rsid w:val="00A44321"/>
    <w:rsid w:val="00A52207"/>
    <w:rsid w:val="00A5329F"/>
    <w:rsid w:val="00A53E99"/>
    <w:rsid w:val="00A563A4"/>
    <w:rsid w:val="00A56DA7"/>
    <w:rsid w:val="00A57970"/>
    <w:rsid w:val="00A64527"/>
    <w:rsid w:val="00A64967"/>
    <w:rsid w:val="00A70739"/>
    <w:rsid w:val="00A83089"/>
    <w:rsid w:val="00A85093"/>
    <w:rsid w:val="00A90F00"/>
    <w:rsid w:val="00A9230F"/>
    <w:rsid w:val="00AA271C"/>
    <w:rsid w:val="00AA2F63"/>
    <w:rsid w:val="00AA6EE2"/>
    <w:rsid w:val="00AB725E"/>
    <w:rsid w:val="00AB72B2"/>
    <w:rsid w:val="00AC1E73"/>
    <w:rsid w:val="00AC3372"/>
    <w:rsid w:val="00AC4D5C"/>
    <w:rsid w:val="00AD3D89"/>
    <w:rsid w:val="00AD63BD"/>
    <w:rsid w:val="00AE1C85"/>
    <w:rsid w:val="00AE4BB4"/>
    <w:rsid w:val="00AE534B"/>
    <w:rsid w:val="00AE666D"/>
    <w:rsid w:val="00AF5504"/>
    <w:rsid w:val="00AF5FE5"/>
    <w:rsid w:val="00AF61BE"/>
    <w:rsid w:val="00B20480"/>
    <w:rsid w:val="00B244B8"/>
    <w:rsid w:val="00B246ED"/>
    <w:rsid w:val="00B322EF"/>
    <w:rsid w:val="00B3681E"/>
    <w:rsid w:val="00B42C77"/>
    <w:rsid w:val="00B43584"/>
    <w:rsid w:val="00B43747"/>
    <w:rsid w:val="00B45250"/>
    <w:rsid w:val="00B4577A"/>
    <w:rsid w:val="00B62F7E"/>
    <w:rsid w:val="00B63153"/>
    <w:rsid w:val="00B6334E"/>
    <w:rsid w:val="00B642C1"/>
    <w:rsid w:val="00B64FF3"/>
    <w:rsid w:val="00B7555F"/>
    <w:rsid w:val="00B76585"/>
    <w:rsid w:val="00B77E21"/>
    <w:rsid w:val="00B83FB1"/>
    <w:rsid w:val="00B90E34"/>
    <w:rsid w:val="00B913EA"/>
    <w:rsid w:val="00BA14CE"/>
    <w:rsid w:val="00BA1C1E"/>
    <w:rsid w:val="00BA3437"/>
    <w:rsid w:val="00BA3D63"/>
    <w:rsid w:val="00BA7139"/>
    <w:rsid w:val="00BA7993"/>
    <w:rsid w:val="00BB0F45"/>
    <w:rsid w:val="00BB5C17"/>
    <w:rsid w:val="00BB6DD3"/>
    <w:rsid w:val="00BC5F4B"/>
    <w:rsid w:val="00BD4DD0"/>
    <w:rsid w:val="00BD7F83"/>
    <w:rsid w:val="00BE2173"/>
    <w:rsid w:val="00BE30B8"/>
    <w:rsid w:val="00BE394C"/>
    <w:rsid w:val="00BE4906"/>
    <w:rsid w:val="00BE66A3"/>
    <w:rsid w:val="00BE7375"/>
    <w:rsid w:val="00BF16CC"/>
    <w:rsid w:val="00BF5454"/>
    <w:rsid w:val="00BF5B0A"/>
    <w:rsid w:val="00C0472A"/>
    <w:rsid w:val="00C05058"/>
    <w:rsid w:val="00C1058B"/>
    <w:rsid w:val="00C111C4"/>
    <w:rsid w:val="00C15677"/>
    <w:rsid w:val="00C21E9D"/>
    <w:rsid w:val="00C223EB"/>
    <w:rsid w:val="00C24348"/>
    <w:rsid w:val="00C2525A"/>
    <w:rsid w:val="00C26DE4"/>
    <w:rsid w:val="00C301D5"/>
    <w:rsid w:val="00C31896"/>
    <w:rsid w:val="00C36BF8"/>
    <w:rsid w:val="00C40C89"/>
    <w:rsid w:val="00C43570"/>
    <w:rsid w:val="00C4385B"/>
    <w:rsid w:val="00C43F96"/>
    <w:rsid w:val="00C50117"/>
    <w:rsid w:val="00C52323"/>
    <w:rsid w:val="00C525DC"/>
    <w:rsid w:val="00C52760"/>
    <w:rsid w:val="00C5567F"/>
    <w:rsid w:val="00C6714A"/>
    <w:rsid w:val="00C70165"/>
    <w:rsid w:val="00C8017E"/>
    <w:rsid w:val="00C8555F"/>
    <w:rsid w:val="00C86433"/>
    <w:rsid w:val="00C9047A"/>
    <w:rsid w:val="00C917D6"/>
    <w:rsid w:val="00C96A6F"/>
    <w:rsid w:val="00CA1DA3"/>
    <w:rsid w:val="00CA4496"/>
    <w:rsid w:val="00CA6F20"/>
    <w:rsid w:val="00CB15C5"/>
    <w:rsid w:val="00CB5688"/>
    <w:rsid w:val="00CB590B"/>
    <w:rsid w:val="00CB6A3C"/>
    <w:rsid w:val="00CC0FF5"/>
    <w:rsid w:val="00CC525D"/>
    <w:rsid w:val="00CC6094"/>
    <w:rsid w:val="00CC7599"/>
    <w:rsid w:val="00CD0378"/>
    <w:rsid w:val="00CD3BBB"/>
    <w:rsid w:val="00CE2152"/>
    <w:rsid w:val="00CE5AE2"/>
    <w:rsid w:val="00CF40BA"/>
    <w:rsid w:val="00CF41A5"/>
    <w:rsid w:val="00D01524"/>
    <w:rsid w:val="00D0652C"/>
    <w:rsid w:val="00D069E8"/>
    <w:rsid w:val="00D142BD"/>
    <w:rsid w:val="00D14FEE"/>
    <w:rsid w:val="00D1580F"/>
    <w:rsid w:val="00D15A41"/>
    <w:rsid w:val="00D166A0"/>
    <w:rsid w:val="00D2214A"/>
    <w:rsid w:val="00D2379B"/>
    <w:rsid w:val="00D23FFE"/>
    <w:rsid w:val="00D248BE"/>
    <w:rsid w:val="00D257E8"/>
    <w:rsid w:val="00D26889"/>
    <w:rsid w:val="00D26F30"/>
    <w:rsid w:val="00D379EC"/>
    <w:rsid w:val="00D4628E"/>
    <w:rsid w:val="00D55A4F"/>
    <w:rsid w:val="00D6443B"/>
    <w:rsid w:val="00D6690A"/>
    <w:rsid w:val="00D73B50"/>
    <w:rsid w:val="00D73B8E"/>
    <w:rsid w:val="00D74AA1"/>
    <w:rsid w:val="00D7624A"/>
    <w:rsid w:val="00D80D9C"/>
    <w:rsid w:val="00D91580"/>
    <w:rsid w:val="00D93FA1"/>
    <w:rsid w:val="00DA5987"/>
    <w:rsid w:val="00DB4B9D"/>
    <w:rsid w:val="00DC58C1"/>
    <w:rsid w:val="00DD1CA9"/>
    <w:rsid w:val="00DD4DCF"/>
    <w:rsid w:val="00DE6A67"/>
    <w:rsid w:val="00DF251B"/>
    <w:rsid w:val="00DF42E3"/>
    <w:rsid w:val="00DF7748"/>
    <w:rsid w:val="00E035CC"/>
    <w:rsid w:val="00E050E8"/>
    <w:rsid w:val="00E12539"/>
    <w:rsid w:val="00E1328C"/>
    <w:rsid w:val="00E1448D"/>
    <w:rsid w:val="00E20D10"/>
    <w:rsid w:val="00E22EE4"/>
    <w:rsid w:val="00E239F9"/>
    <w:rsid w:val="00E23D29"/>
    <w:rsid w:val="00E25D78"/>
    <w:rsid w:val="00E31FD0"/>
    <w:rsid w:val="00E35FD8"/>
    <w:rsid w:val="00E40770"/>
    <w:rsid w:val="00E421A1"/>
    <w:rsid w:val="00E44B8C"/>
    <w:rsid w:val="00E4610B"/>
    <w:rsid w:val="00E468A8"/>
    <w:rsid w:val="00E51FFE"/>
    <w:rsid w:val="00E53A38"/>
    <w:rsid w:val="00E5436E"/>
    <w:rsid w:val="00E67422"/>
    <w:rsid w:val="00E7652E"/>
    <w:rsid w:val="00E854D6"/>
    <w:rsid w:val="00E86828"/>
    <w:rsid w:val="00E902AE"/>
    <w:rsid w:val="00E918B1"/>
    <w:rsid w:val="00E93B99"/>
    <w:rsid w:val="00EA77BD"/>
    <w:rsid w:val="00EB3B00"/>
    <w:rsid w:val="00EB49A4"/>
    <w:rsid w:val="00EC19DB"/>
    <w:rsid w:val="00EC548A"/>
    <w:rsid w:val="00EC615B"/>
    <w:rsid w:val="00ED06BB"/>
    <w:rsid w:val="00ED07EA"/>
    <w:rsid w:val="00ED4802"/>
    <w:rsid w:val="00ED6D40"/>
    <w:rsid w:val="00ED70D2"/>
    <w:rsid w:val="00EE28C4"/>
    <w:rsid w:val="00EE5468"/>
    <w:rsid w:val="00EE70A2"/>
    <w:rsid w:val="00F100E6"/>
    <w:rsid w:val="00F106FF"/>
    <w:rsid w:val="00F1263C"/>
    <w:rsid w:val="00F12847"/>
    <w:rsid w:val="00F144C4"/>
    <w:rsid w:val="00F232ED"/>
    <w:rsid w:val="00F24C93"/>
    <w:rsid w:val="00F2514D"/>
    <w:rsid w:val="00F25FC9"/>
    <w:rsid w:val="00F2760E"/>
    <w:rsid w:val="00F3563F"/>
    <w:rsid w:val="00F3567F"/>
    <w:rsid w:val="00F36A35"/>
    <w:rsid w:val="00F417FC"/>
    <w:rsid w:val="00F43C31"/>
    <w:rsid w:val="00F45A2B"/>
    <w:rsid w:val="00F46109"/>
    <w:rsid w:val="00F46EBE"/>
    <w:rsid w:val="00F47438"/>
    <w:rsid w:val="00F475AB"/>
    <w:rsid w:val="00F478A2"/>
    <w:rsid w:val="00F52DBD"/>
    <w:rsid w:val="00F5652B"/>
    <w:rsid w:val="00F60F4A"/>
    <w:rsid w:val="00F6656D"/>
    <w:rsid w:val="00F67DC1"/>
    <w:rsid w:val="00F733FC"/>
    <w:rsid w:val="00F73AC3"/>
    <w:rsid w:val="00F74235"/>
    <w:rsid w:val="00F74695"/>
    <w:rsid w:val="00F77059"/>
    <w:rsid w:val="00F853AF"/>
    <w:rsid w:val="00F9103A"/>
    <w:rsid w:val="00F95EE3"/>
    <w:rsid w:val="00FA7287"/>
    <w:rsid w:val="00FC2761"/>
    <w:rsid w:val="00FC336A"/>
    <w:rsid w:val="00FC4287"/>
    <w:rsid w:val="00FC4EAA"/>
    <w:rsid w:val="00FE6581"/>
    <w:rsid w:val="00FF1E0B"/>
    <w:rsid w:val="00FF285B"/>
    <w:rsid w:val="00FF3389"/>
    <w:rsid w:val="00FF415D"/>
    <w:rsid w:val="00FF442D"/>
    <w:rsid w:val="013C246A"/>
    <w:rsid w:val="01B93EE0"/>
    <w:rsid w:val="0302517C"/>
    <w:rsid w:val="04CD5502"/>
    <w:rsid w:val="04CE0F70"/>
    <w:rsid w:val="05150472"/>
    <w:rsid w:val="05C56ED2"/>
    <w:rsid w:val="06141CF1"/>
    <w:rsid w:val="07911A78"/>
    <w:rsid w:val="07BE2CB0"/>
    <w:rsid w:val="08D17E86"/>
    <w:rsid w:val="09793D1F"/>
    <w:rsid w:val="098B1CEF"/>
    <w:rsid w:val="0A484412"/>
    <w:rsid w:val="0B424B21"/>
    <w:rsid w:val="0B5D7BAD"/>
    <w:rsid w:val="0C1D53EF"/>
    <w:rsid w:val="0CA646FB"/>
    <w:rsid w:val="0CCB201F"/>
    <w:rsid w:val="0CD143AE"/>
    <w:rsid w:val="0D600EFE"/>
    <w:rsid w:val="0D6A1BAC"/>
    <w:rsid w:val="0DC61144"/>
    <w:rsid w:val="0E0B3200"/>
    <w:rsid w:val="0E1B6961"/>
    <w:rsid w:val="0E403DF0"/>
    <w:rsid w:val="0EBC30FA"/>
    <w:rsid w:val="0F2B249C"/>
    <w:rsid w:val="0FB029A1"/>
    <w:rsid w:val="10022AD1"/>
    <w:rsid w:val="101657D1"/>
    <w:rsid w:val="10566E6E"/>
    <w:rsid w:val="10743EB7"/>
    <w:rsid w:val="10832D25"/>
    <w:rsid w:val="10BA31FF"/>
    <w:rsid w:val="1134315E"/>
    <w:rsid w:val="116B5C47"/>
    <w:rsid w:val="117D411C"/>
    <w:rsid w:val="117F2AF1"/>
    <w:rsid w:val="11C433F8"/>
    <w:rsid w:val="121C2E46"/>
    <w:rsid w:val="123C0392"/>
    <w:rsid w:val="12521748"/>
    <w:rsid w:val="13712452"/>
    <w:rsid w:val="145002AE"/>
    <w:rsid w:val="149C080F"/>
    <w:rsid w:val="14A6361A"/>
    <w:rsid w:val="14D27DA7"/>
    <w:rsid w:val="15054F9B"/>
    <w:rsid w:val="157707EC"/>
    <w:rsid w:val="15B036FB"/>
    <w:rsid w:val="16B014D8"/>
    <w:rsid w:val="16F81A18"/>
    <w:rsid w:val="1716356E"/>
    <w:rsid w:val="173B6FF4"/>
    <w:rsid w:val="17797B1C"/>
    <w:rsid w:val="177A49A1"/>
    <w:rsid w:val="17E56F60"/>
    <w:rsid w:val="184A3267"/>
    <w:rsid w:val="184C2CDC"/>
    <w:rsid w:val="18B84674"/>
    <w:rsid w:val="18CD0120"/>
    <w:rsid w:val="19306172"/>
    <w:rsid w:val="197E141A"/>
    <w:rsid w:val="198E4704"/>
    <w:rsid w:val="19F83716"/>
    <w:rsid w:val="1A654388"/>
    <w:rsid w:val="1A980C31"/>
    <w:rsid w:val="1A9C69AF"/>
    <w:rsid w:val="1AFA7273"/>
    <w:rsid w:val="1B754A9E"/>
    <w:rsid w:val="1B9C027D"/>
    <w:rsid w:val="1C220468"/>
    <w:rsid w:val="1D811B10"/>
    <w:rsid w:val="1E113539"/>
    <w:rsid w:val="1E162408"/>
    <w:rsid w:val="1F5F5F93"/>
    <w:rsid w:val="1FA140B4"/>
    <w:rsid w:val="201D6D3F"/>
    <w:rsid w:val="204358FA"/>
    <w:rsid w:val="20B120D5"/>
    <w:rsid w:val="20F04B19"/>
    <w:rsid w:val="216F585B"/>
    <w:rsid w:val="222114DC"/>
    <w:rsid w:val="222A359C"/>
    <w:rsid w:val="2244052A"/>
    <w:rsid w:val="225C5615"/>
    <w:rsid w:val="22A4003B"/>
    <w:rsid w:val="22C715A7"/>
    <w:rsid w:val="22CF2CE6"/>
    <w:rsid w:val="22F453DF"/>
    <w:rsid w:val="22F664C5"/>
    <w:rsid w:val="23687260"/>
    <w:rsid w:val="237027E2"/>
    <w:rsid w:val="238D5CE3"/>
    <w:rsid w:val="23F70746"/>
    <w:rsid w:val="25BA5ED0"/>
    <w:rsid w:val="26EA2865"/>
    <w:rsid w:val="27047F48"/>
    <w:rsid w:val="2759091B"/>
    <w:rsid w:val="2778394C"/>
    <w:rsid w:val="281F026C"/>
    <w:rsid w:val="28A6247E"/>
    <w:rsid w:val="2A6B010C"/>
    <w:rsid w:val="2A8439CB"/>
    <w:rsid w:val="2B084FE7"/>
    <w:rsid w:val="2DC72F38"/>
    <w:rsid w:val="2DF91D28"/>
    <w:rsid w:val="2E1E4B22"/>
    <w:rsid w:val="2E7A5550"/>
    <w:rsid w:val="2E827062"/>
    <w:rsid w:val="2F044E1C"/>
    <w:rsid w:val="2F520F27"/>
    <w:rsid w:val="300C1C12"/>
    <w:rsid w:val="30826B57"/>
    <w:rsid w:val="310E2855"/>
    <w:rsid w:val="315259E6"/>
    <w:rsid w:val="31A11CF2"/>
    <w:rsid w:val="321F6F3E"/>
    <w:rsid w:val="32C64185"/>
    <w:rsid w:val="32F747FD"/>
    <w:rsid w:val="3355548A"/>
    <w:rsid w:val="33822291"/>
    <w:rsid w:val="33FE6DB1"/>
    <w:rsid w:val="34380EB8"/>
    <w:rsid w:val="34390F98"/>
    <w:rsid w:val="34CA155F"/>
    <w:rsid w:val="34DB551B"/>
    <w:rsid w:val="354A743D"/>
    <w:rsid w:val="355323F8"/>
    <w:rsid w:val="36C91572"/>
    <w:rsid w:val="36E96615"/>
    <w:rsid w:val="36F870D6"/>
    <w:rsid w:val="37060F75"/>
    <w:rsid w:val="37691503"/>
    <w:rsid w:val="378C0D4E"/>
    <w:rsid w:val="37A7369F"/>
    <w:rsid w:val="386E302B"/>
    <w:rsid w:val="38A1398B"/>
    <w:rsid w:val="38C9005A"/>
    <w:rsid w:val="38FB00BC"/>
    <w:rsid w:val="395C2285"/>
    <w:rsid w:val="3969383E"/>
    <w:rsid w:val="39B5458C"/>
    <w:rsid w:val="3A692962"/>
    <w:rsid w:val="3A777A93"/>
    <w:rsid w:val="3A7F4B06"/>
    <w:rsid w:val="3A921388"/>
    <w:rsid w:val="3B4677B8"/>
    <w:rsid w:val="3B4B1FAB"/>
    <w:rsid w:val="3C295CD0"/>
    <w:rsid w:val="3C491519"/>
    <w:rsid w:val="3CA408E8"/>
    <w:rsid w:val="3CCB0CB7"/>
    <w:rsid w:val="3D803939"/>
    <w:rsid w:val="3EBC6CF0"/>
    <w:rsid w:val="3EF75647"/>
    <w:rsid w:val="3FB833DA"/>
    <w:rsid w:val="3FC302DF"/>
    <w:rsid w:val="40073668"/>
    <w:rsid w:val="400E6DA6"/>
    <w:rsid w:val="40447056"/>
    <w:rsid w:val="40684194"/>
    <w:rsid w:val="408467AF"/>
    <w:rsid w:val="40CE4185"/>
    <w:rsid w:val="40F523F9"/>
    <w:rsid w:val="41932688"/>
    <w:rsid w:val="419E1DAA"/>
    <w:rsid w:val="41AE4F3C"/>
    <w:rsid w:val="42B555FD"/>
    <w:rsid w:val="43240113"/>
    <w:rsid w:val="43EB387E"/>
    <w:rsid w:val="44186EB6"/>
    <w:rsid w:val="441A7E0D"/>
    <w:rsid w:val="445A2BB2"/>
    <w:rsid w:val="449D459A"/>
    <w:rsid w:val="44A616A1"/>
    <w:rsid w:val="44AE0556"/>
    <w:rsid w:val="450C6879"/>
    <w:rsid w:val="45430D6A"/>
    <w:rsid w:val="4554734F"/>
    <w:rsid w:val="46475DC6"/>
    <w:rsid w:val="464A0DDF"/>
    <w:rsid w:val="468477C0"/>
    <w:rsid w:val="46DE7C33"/>
    <w:rsid w:val="47392CA0"/>
    <w:rsid w:val="475A6773"/>
    <w:rsid w:val="4796630B"/>
    <w:rsid w:val="483F7F95"/>
    <w:rsid w:val="48B16B24"/>
    <w:rsid w:val="49431DC1"/>
    <w:rsid w:val="494B6B26"/>
    <w:rsid w:val="49843F7B"/>
    <w:rsid w:val="49DA05ED"/>
    <w:rsid w:val="49FB10AC"/>
    <w:rsid w:val="4ABB799D"/>
    <w:rsid w:val="4B0238B0"/>
    <w:rsid w:val="4C152FF1"/>
    <w:rsid w:val="4CC0471F"/>
    <w:rsid w:val="4CCA7EF7"/>
    <w:rsid w:val="4D2B308B"/>
    <w:rsid w:val="4EF02A66"/>
    <w:rsid w:val="5020391B"/>
    <w:rsid w:val="50312EB1"/>
    <w:rsid w:val="5086682B"/>
    <w:rsid w:val="50EF74D3"/>
    <w:rsid w:val="5125662C"/>
    <w:rsid w:val="512B4EA3"/>
    <w:rsid w:val="519228EA"/>
    <w:rsid w:val="536270DB"/>
    <w:rsid w:val="53EC33B3"/>
    <w:rsid w:val="545215C9"/>
    <w:rsid w:val="547846DC"/>
    <w:rsid w:val="54B46546"/>
    <w:rsid w:val="54D31219"/>
    <w:rsid w:val="54F2623D"/>
    <w:rsid w:val="55762246"/>
    <w:rsid w:val="55E02539"/>
    <w:rsid w:val="55EE2EA8"/>
    <w:rsid w:val="56B7773E"/>
    <w:rsid w:val="56FE0B98"/>
    <w:rsid w:val="57716B51"/>
    <w:rsid w:val="57BD0D84"/>
    <w:rsid w:val="57E75E01"/>
    <w:rsid w:val="57E815F1"/>
    <w:rsid w:val="57FC2EEA"/>
    <w:rsid w:val="58757C4B"/>
    <w:rsid w:val="589521CA"/>
    <w:rsid w:val="58B8154B"/>
    <w:rsid w:val="58E42D1D"/>
    <w:rsid w:val="58F03289"/>
    <w:rsid w:val="590C7CEE"/>
    <w:rsid w:val="590D7AE9"/>
    <w:rsid w:val="59376914"/>
    <w:rsid w:val="594828CF"/>
    <w:rsid w:val="595062C0"/>
    <w:rsid w:val="597C0A1D"/>
    <w:rsid w:val="59A87812"/>
    <w:rsid w:val="59E7033A"/>
    <w:rsid w:val="5A2A0227"/>
    <w:rsid w:val="5A4C5D9B"/>
    <w:rsid w:val="5A9273F9"/>
    <w:rsid w:val="5AF26F96"/>
    <w:rsid w:val="5B180C4A"/>
    <w:rsid w:val="5B730F17"/>
    <w:rsid w:val="5C0A3DEC"/>
    <w:rsid w:val="5C4F0D56"/>
    <w:rsid w:val="5D286E1D"/>
    <w:rsid w:val="5DF545AF"/>
    <w:rsid w:val="5F3B5A4A"/>
    <w:rsid w:val="5FBE38EB"/>
    <w:rsid w:val="60257635"/>
    <w:rsid w:val="60453EF3"/>
    <w:rsid w:val="60471B32"/>
    <w:rsid w:val="605F2313"/>
    <w:rsid w:val="60D142E5"/>
    <w:rsid w:val="61377DF9"/>
    <w:rsid w:val="61826B9A"/>
    <w:rsid w:val="619A3EE4"/>
    <w:rsid w:val="62755297"/>
    <w:rsid w:val="62EF3411"/>
    <w:rsid w:val="62FD297C"/>
    <w:rsid w:val="63130619"/>
    <w:rsid w:val="6321796C"/>
    <w:rsid w:val="6364711E"/>
    <w:rsid w:val="637B1AF3"/>
    <w:rsid w:val="63B15515"/>
    <w:rsid w:val="63D749A7"/>
    <w:rsid w:val="64300B2F"/>
    <w:rsid w:val="644A7E43"/>
    <w:rsid w:val="64F4683D"/>
    <w:rsid w:val="65D43A20"/>
    <w:rsid w:val="65D75707"/>
    <w:rsid w:val="65F00576"/>
    <w:rsid w:val="65FF44E4"/>
    <w:rsid w:val="68213264"/>
    <w:rsid w:val="68D96F88"/>
    <w:rsid w:val="698C6808"/>
    <w:rsid w:val="6A1B2D1F"/>
    <w:rsid w:val="6A1F77B4"/>
    <w:rsid w:val="6A740236"/>
    <w:rsid w:val="6AA10091"/>
    <w:rsid w:val="6B2C02A3"/>
    <w:rsid w:val="6BD87968"/>
    <w:rsid w:val="6BE04BE9"/>
    <w:rsid w:val="6C132D80"/>
    <w:rsid w:val="6C2D7293"/>
    <w:rsid w:val="6CCB5899"/>
    <w:rsid w:val="6D035033"/>
    <w:rsid w:val="6D1D39ED"/>
    <w:rsid w:val="6E6A45B3"/>
    <w:rsid w:val="6F364F80"/>
    <w:rsid w:val="70082960"/>
    <w:rsid w:val="700D58CC"/>
    <w:rsid w:val="707B3132"/>
    <w:rsid w:val="711772FF"/>
    <w:rsid w:val="714F4CEB"/>
    <w:rsid w:val="71C12079"/>
    <w:rsid w:val="72062BA0"/>
    <w:rsid w:val="72087912"/>
    <w:rsid w:val="72571E77"/>
    <w:rsid w:val="7265409A"/>
    <w:rsid w:val="726E73F3"/>
    <w:rsid w:val="72916C3D"/>
    <w:rsid w:val="73897499"/>
    <w:rsid w:val="740B6C81"/>
    <w:rsid w:val="74493EB4"/>
    <w:rsid w:val="75C116C2"/>
    <w:rsid w:val="765C023B"/>
    <w:rsid w:val="76D92194"/>
    <w:rsid w:val="77484C94"/>
    <w:rsid w:val="77905715"/>
    <w:rsid w:val="77BE7089"/>
    <w:rsid w:val="780879A1"/>
    <w:rsid w:val="783764D9"/>
    <w:rsid w:val="78975968"/>
    <w:rsid w:val="79C76340"/>
    <w:rsid w:val="79D51B05"/>
    <w:rsid w:val="7A020420"/>
    <w:rsid w:val="7A1C72C4"/>
    <w:rsid w:val="7A3F4E90"/>
    <w:rsid w:val="7AA64929"/>
    <w:rsid w:val="7AF04842"/>
    <w:rsid w:val="7B830293"/>
    <w:rsid w:val="7BBD0AA3"/>
    <w:rsid w:val="7C3612D6"/>
    <w:rsid w:val="7CDD4B13"/>
    <w:rsid w:val="7D2840E2"/>
    <w:rsid w:val="7E3F4F2E"/>
    <w:rsid w:val="7EB0669D"/>
    <w:rsid w:val="7F212F6F"/>
    <w:rsid w:val="7F461EDE"/>
    <w:rsid w:val="7F4771C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uiPriority="99" w:name="page number"/>
    <w:lsdException w:uiPriority="99"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eastAsia="宋体" w:asciiTheme="minorHAnsi" w:hAnsiTheme="minorHAnsi" w:cstheme="minorBidi"/>
      <w:sz w:val="24"/>
      <w:szCs w:val="24"/>
      <w:lang w:val="en-US" w:eastAsia="en-US" w:bidi="ar-SA"/>
    </w:rPr>
  </w:style>
  <w:style w:type="paragraph" w:styleId="2">
    <w:name w:val="heading 1"/>
    <w:basedOn w:val="1"/>
    <w:next w:val="1"/>
    <w:link w:val="2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9">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35"/>
    <w:pPr>
      <w:widowControl w:val="0"/>
      <w:autoSpaceDE w:val="0"/>
      <w:autoSpaceDN w:val="0"/>
      <w:adjustRightInd w:val="0"/>
      <w:spacing w:line="324" w:lineRule="auto"/>
      <w:jc w:val="both"/>
      <w:textAlignment w:val="center"/>
    </w:pPr>
    <w:rPr>
      <w:rFonts w:ascii="黑体" w:hAnsi="黑体" w:eastAsia="黑体" w:cs="方正兰亭中黑_GBK"/>
      <w:color w:val="000000"/>
      <w:sz w:val="14"/>
      <w:szCs w:val="14"/>
      <w:lang w:val="zh-CN" w:eastAsia="zh-CN"/>
    </w:rPr>
  </w:style>
  <w:style w:type="paragraph" w:styleId="5">
    <w:name w:val="annotation text"/>
    <w:basedOn w:val="1"/>
    <w:link w:val="34"/>
    <w:unhideWhenUsed/>
    <w:qFormat/>
    <w:uiPriority w:val="99"/>
  </w:style>
  <w:style w:type="paragraph" w:styleId="6">
    <w:name w:val="Body Text"/>
    <w:basedOn w:val="1"/>
    <w:qFormat/>
    <w:uiPriority w:val="0"/>
    <w:rPr>
      <w:rFonts w:ascii="Times New Roman" w:hAnsi="Times New Roman" w:eastAsia="Times New Roman" w:cs="Times New Roman"/>
      <w:sz w:val="18"/>
      <w:szCs w:val="18"/>
    </w:rPr>
  </w:style>
  <w:style w:type="paragraph" w:styleId="7">
    <w:name w:val="Plain Text"/>
    <w:basedOn w:val="1"/>
    <w:link w:val="42"/>
    <w:unhideWhenUsed/>
    <w:qFormat/>
    <w:uiPriority w:val="99"/>
    <w:pPr>
      <w:widowControl w:val="0"/>
      <w:jc w:val="both"/>
    </w:pPr>
    <w:rPr>
      <w:rFonts w:ascii="宋体" w:hAnsi="Courier New" w:cs="Courier New"/>
      <w:kern w:val="2"/>
      <w:sz w:val="21"/>
      <w:szCs w:val="21"/>
      <w:lang w:eastAsia="zh-CN"/>
    </w:rPr>
  </w:style>
  <w:style w:type="paragraph" w:styleId="8">
    <w:name w:val="endnote text"/>
    <w:basedOn w:val="1"/>
    <w:link w:val="43"/>
    <w:unhideWhenUsed/>
    <w:qFormat/>
    <w:uiPriority w:val="99"/>
    <w:pPr>
      <w:snapToGrid w:val="0"/>
    </w:pPr>
    <w:rPr>
      <w:rFonts w:ascii="Arial Unicode MS" w:hAnsi="Arial Unicode MS" w:eastAsia="Arial Unicode MS" w:cs="Arial Unicode MS"/>
      <w:color w:val="000000"/>
      <w:sz w:val="22"/>
      <w:u w:color="000000"/>
      <w:lang w:val="zh-TW" w:eastAsia="zh-TW"/>
    </w:rPr>
  </w:style>
  <w:style w:type="paragraph" w:styleId="9">
    <w:name w:val="Balloon Text"/>
    <w:basedOn w:val="1"/>
    <w:link w:val="33"/>
    <w:unhideWhenUsed/>
    <w:qFormat/>
    <w:uiPriority w:val="99"/>
    <w:rPr>
      <w:sz w:val="18"/>
      <w:szCs w:val="18"/>
    </w:rPr>
  </w:style>
  <w:style w:type="paragraph" w:styleId="10">
    <w:name w:val="footer"/>
    <w:basedOn w:val="1"/>
    <w:link w:val="37"/>
    <w:unhideWhenUsed/>
    <w:qFormat/>
    <w:uiPriority w:val="99"/>
    <w:pPr>
      <w:tabs>
        <w:tab w:val="center" w:pos="4153"/>
        <w:tab w:val="right" w:pos="8306"/>
      </w:tabs>
      <w:snapToGrid w:val="0"/>
    </w:pPr>
    <w:rPr>
      <w:sz w:val="18"/>
      <w:szCs w:val="18"/>
    </w:rPr>
  </w:style>
  <w:style w:type="paragraph" w:styleId="11">
    <w:name w:val="header"/>
    <w:basedOn w:val="1"/>
    <w:link w:val="36"/>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9"/>
    <w:unhideWhenUsed/>
    <w:qFormat/>
    <w:uiPriority w:val="99"/>
    <w:pPr>
      <w:snapToGrid w:val="0"/>
    </w:pPr>
    <w:rPr>
      <w:sz w:val="18"/>
      <w:szCs w:val="18"/>
    </w:r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cs="Times New Roman"/>
    </w:rPr>
  </w:style>
  <w:style w:type="paragraph" w:styleId="14">
    <w:name w:val="Normal (Web)"/>
    <w:basedOn w:val="1"/>
    <w:unhideWhenUsed/>
    <w:qFormat/>
    <w:uiPriority w:val="99"/>
    <w:pPr>
      <w:spacing w:before="100" w:beforeAutospacing="1" w:after="100" w:afterAutospacing="1"/>
    </w:pPr>
    <w:rPr>
      <w:rFonts w:ascii="宋体" w:hAnsi="宋体" w:cs="宋体"/>
      <w:lang w:eastAsia="zh-CN"/>
    </w:rPr>
  </w:style>
  <w:style w:type="paragraph" w:styleId="15">
    <w:name w:val="annotation subject"/>
    <w:basedOn w:val="5"/>
    <w:next w:val="5"/>
    <w:link w:val="35"/>
    <w:unhideWhenUsed/>
    <w:qFormat/>
    <w:uiPriority w:val="99"/>
    <w:rPr>
      <w:b/>
      <w:bCs/>
    </w:rPr>
  </w:style>
  <w:style w:type="table" w:styleId="17">
    <w:name w:val="Table Grid"/>
    <w:basedOn w:val="16"/>
    <w:qFormat/>
    <w:uiPriority w:val="59"/>
    <w:rPr>
      <w:rFonts w:eastAsiaTheme="minorEastAsia"/>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8">
    <w:name w:val="Medium Shading 2 Accent 5"/>
    <w:basedOn w:val="16"/>
    <w:qFormat/>
    <w:uiPriority w:val="64"/>
    <w:rPr>
      <w:rFonts w:eastAsiaTheme="minorEastAsia"/>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20">
    <w:name w:val="Strong"/>
    <w:basedOn w:val="19"/>
    <w:qFormat/>
    <w:uiPriority w:val="22"/>
    <w:rPr>
      <w:b/>
      <w:bCs/>
    </w:rPr>
  </w:style>
  <w:style w:type="character" w:styleId="21">
    <w:name w:val="Emphasis"/>
    <w:basedOn w:val="19"/>
    <w:qFormat/>
    <w:uiPriority w:val="20"/>
    <w:rPr>
      <w:i/>
      <w:iCs/>
    </w:rPr>
  </w:style>
  <w:style w:type="character" w:styleId="22">
    <w:name w:val="Hyperlink"/>
    <w:basedOn w:val="19"/>
    <w:unhideWhenUsed/>
    <w:qFormat/>
    <w:uiPriority w:val="99"/>
    <w:rPr>
      <w:color w:val="0563C1" w:themeColor="hyperlink"/>
      <w:u w:val="single"/>
      <w14:textFill>
        <w14:solidFill>
          <w14:schemeClr w14:val="hlink"/>
        </w14:solidFill>
      </w14:textFill>
    </w:rPr>
  </w:style>
  <w:style w:type="character" w:styleId="23">
    <w:name w:val="annotation reference"/>
    <w:basedOn w:val="19"/>
    <w:unhideWhenUsed/>
    <w:qFormat/>
    <w:uiPriority w:val="99"/>
    <w:rPr>
      <w:sz w:val="21"/>
      <w:szCs w:val="21"/>
    </w:rPr>
  </w:style>
  <w:style w:type="character" w:styleId="24">
    <w:name w:val="footnote reference"/>
    <w:basedOn w:val="19"/>
    <w:unhideWhenUsed/>
    <w:qFormat/>
    <w:uiPriority w:val="99"/>
    <w:rPr>
      <w:vertAlign w:val="superscript"/>
    </w:rPr>
  </w:style>
  <w:style w:type="paragraph" w:styleId="25">
    <w:name w:val="List Paragraph"/>
    <w:basedOn w:val="1"/>
    <w:qFormat/>
    <w:uiPriority w:val="34"/>
    <w:pPr>
      <w:ind w:left="720"/>
      <w:contextualSpacing/>
    </w:pPr>
  </w:style>
  <w:style w:type="table" w:customStyle="1" w:styleId="26">
    <w:name w:val="无格式表格 21"/>
    <w:basedOn w:val="16"/>
    <w:qFormat/>
    <w:uiPriority w:val="42"/>
    <w:rPr>
      <w:rFonts w:eastAsiaTheme="minorEastAsia"/>
      <w:kern w:val="2"/>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27">
    <w:name w:val="标题 2 字符"/>
    <w:basedOn w:val="19"/>
    <w:link w:val="3"/>
    <w:qFormat/>
    <w:uiPriority w:val="9"/>
    <w:rPr>
      <w:rFonts w:asciiTheme="majorHAnsi" w:hAnsiTheme="majorHAnsi" w:eastAsiaTheme="majorEastAsia" w:cstheme="majorBidi"/>
      <w:b/>
      <w:bCs/>
      <w:sz w:val="32"/>
      <w:szCs w:val="32"/>
    </w:rPr>
  </w:style>
  <w:style w:type="character" w:customStyle="1" w:styleId="28">
    <w:name w:val="标题 1 字符"/>
    <w:basedOn w:val="19"/>
    <w:link w:val="2"/>
    <w:qFormat/>
    <w:uiPriority w:val="9"/>
    <w:rPr>
      <w:b/>
      <w:bCs/>
      <w:kern w:val="44"/>
      <w:sz w:val="44"/>
      <w:szCs w:val="44"/>
    </w:rPr>
  </w:style>
  <w:style w:type="paragraph" w:customStyle="1" w:styleId="29">
    <w:name w:val="EndNote Bibliography Title"/>
    <w:basedOn w:val="1"/>
    <w:link w:val="30"/>
    <w:qFormat/>
    <w:uiPriority w:val="0"/>
    <w:pPr>
      <w:jc w:val="center"/>
    </w:pPr>
    <w:rPr>
      <w:rFonts w:ascii="Calibri" w:hAnsi="Calibri"/>
    </w:rPr>
  </w:style>
  <w:style w:type="character" w:customStyle="1" w:styleId="30">
    <w:name w:val="EndNote Bibliography Title Char"/>
    <w:basedOn w:val="19"/>
    <w:link w:val="29"/>
    <w:qFormat/>
    <w:uiPriority w:val="0"/>
    <w:rPr>
      <w:rFonts w:ascii="Calibri" w:hAnsi="Calibri"/>
    </w:rPr>
  </w:style>
  <w:style w:type="paragraph" w:customStyle="1" w:styleId="31">
    <w:name w:val="EndNote Bibliography"/>
    <w:basedOn w:val="1"/>
    <w:link w:val="32"/>
    <w:qFormat/>
    <w:uiPriority w:val="0"/>
    <w:rPr>
      <w:rFonts w:ascii="Calibri" w:hAnsi="Calibri"/>
    </w:rPr>
  </w:style>
  <w:style w:type="character" w:customStyle="1" w:styleId="32">
    <w:name w:val="EndNote Bibliography Char"/>
    <w:basedOn w:val="19"/>
    <w:link w:val="31"/>
    <w:qFormat/>
    <w:uiPriority w:val="0"/>
    <w:rPr>
      <w:rFonts w:ascii="Calibri" w:hAnsi="Calibri"/>
    </w:rPr>
  </w:style>
  <w:style w:type="character" w:customStyle="1" w:styleId="33">
    <w:name w:val="批注框文本 字符"/>
    <w:basedOn w:val="19"/>
    <w:link w:val="9"/>
    <w:semiHidden/>
    <w:qFormat/>
    <w:uiPriority w:val="99"/>
    <w:rPr>
      <w:sz w:val="18"/>
      <w:szCs w:val="18"/>
    </w:rPr>
  </w:style>
  <w:style w:type="character" w:customStyle="1" w:styleId="34">
    <w:name w:val="批注文字 字符"/>
    <w:basedOn w:val="19"/>
    <w:link w:val="5"/>
    <w:semiHidden/>
    <w:qFormat/>
    <w:uiPriority w:val="99"/>
  </w:style>
  <w:style w:type="character" w:customStyle="1" w:styleId="35">
    <w:name w:val="批注主题 字符"/>
    <w:basedOn w:val="34"/>
    <w:link w:val="15"/>
    <w:semiHidden/>
    <w:qFormat/>
    <w:uiPriority w:val="99"/>
    <w:rPr>
      <w:b/>
      <w:bCs/>
    </w:rPr>
  </w:style>
  <w:style w:type="character" w:customStyle="1" w:styleId="36">
    <w:name w:val="页眉 字符"/>
    <w:basedOn w:val="19"/>
    <w:link w:val="11"/>
    <w:qFormat/>
    <w:uiPriority w:val="99"/>
    <w:rPr>
      <w:sz w:val="18"/>
      <w:szCs w:val="18"/>
    </w:rPr>
  </w:style>
  <w:style w:type="character" w:customStyle="1" w:styleId="37">
    <w:name w:val="页脚 字符"/>
    <w:basedOn w:val="19"/>
    <w:link w:val="10"/>
    <w:qFormat/>
    <w:uiPriority w:val="99"/>
    <w:rPr>
      <w:sz w:val="18"/>
      <w:szCs w:val="18"/>
    </w:rPr>
  </w:style>
  <w:style w:type="character" w:customStyle="1" w:styleId="38">
    <w:name w:val="op_dict_text2"/>
    <w:basedOn w:val="19"/>
    <w:qFormat/>
    <w:uiPriority w:val="0"/>
  </w:style>
  <w:style w:type="character" w:customStyle="1" w:styleId="39">
    <w:name w:val="脚注文本 字符"/>
    <w:basedOn w:val="19"/>
    <w:link w:val="12"/>
    <w:qFormat/>
    <w:uiPriority w:val="99"/>
    <w:rPr>
      <w:sz w:val="18"/>
      <w:szCs w:val="18"/>
    </w:rPr>
  </w:style>
  <w:style w:type="paragraph" w:customStyle="1" w:styleId="40">
    <w:name w:val="[基本段落]"/>
    <w:basedOn w:val="1"/>
    <w:qFormat/>
    <w:uiPriority w:val="99"/>
    <w:pPr>
      <w:widowControl w:val="0"/>
      <w:autoSpaceDE w:val="0"/>
      <w:autoSpaceDN w:val="0"/>
      <w:adjustRightInd w:val="0"/>
      <w:spacing w:line="288" w:lineRule="auto"/>
      <w:jc w:val="both"/>
      <w:textAlignment w:val="center"/>
    </w:pPr>
    <w:rPr>
      <w:rFonts w:ascii="华文黑体 Light" w:hAnsi="Times New Roman" w:eastAsia="华文黑体 Light" w:cs="华文黑体 Light"/>
      <w:color w:val="000000"/>
      <w:lang w:val="zh-CN" w:eastAsia="zh-CN"/>
    </w:rPr>
  </w:style>
  <w:style w:type="character" w:customStyle="1" w:styleId="41">
    <w:name w:val="apple-converted-space"/>
    <w:basedOn w:val="19"/>
    <w:qFormat/>
    <w:uiPriority w:val="0"/>
  </w:style>
  <w:style w:type="character" w:customStyle="1" w:styleId="42">
    <w:name w:val="纯文本 字符"/>
    <w:basedOn w:val="19"/>
    <w:link w:val="7"/>
    <w:qFormat/>
    <w:uiPriority w:val="99"/>
    <w:rPr>
      <w:rFonts w:ascii="宋体" w:hAnsi="Courier New" w:cs="Courier New"/>
      <w:kern w:val="2"/>
      <w:sz w:val="21"/>
      <w:szCs w:val="21"/>
      <w:lang w:eastAsia="zh-CN"/>
    </w:rPr>
  </w:style>
  <w:style w:type="character" w:customStyle="1" w:styleId="43">
    <w:name w:val="尾注文本 字符"/>
    <w:link w:val="8"/>
    <w:qFormat/>
    <w:uiPriority w:val="99"/>
    <w:rPr>
      <w:rFonts w:ascii="Arial Unicode MS" w:hAnsi="Arial Unicode MS" w:eastAsia="Arial Unicode MS" w:cs="Arial Unicode MS"/>
      <w:color w:val="000000"/>
      <w:sz w:val="22"/>
      <w:u w:color="000000"/>
      <w:lang w:val="zh-TW" w:eastAsia="zh-TW"/>
    </w:rPr>
  </w:style>
  <w:style w:type="character" w:customStyle="1" w:styleId="44">
    <w:name w:val="尾注文本 Char"/>
    <w:basedOn w:val="19"/>
    <w:semiHidden/>
    <w:qFormat/>
    <w:uiPriority w:val="99"/>
  </w:style>
  <w:style w:type="character" w:customStyle="1" w:styleId="45">
    <w:name w:val="apple-style-span"/>
    <w:basedOn w:val="19"/>
    <w:qFormat/>
    <w:uiPriority w:val="0"/>
  </w:style>
  <w:style w:type="paragraph" w:customStyle="1" w:styleId="46">
    <w:name w:val="大标题"/>
    <w:basedOn w:val="1"/>
    <w:qFormat/>
    <w:uiPriority w:val="99"/>
    <w:pPr>
      <w:widowControl w:val="0"/>
      <w:autoSpaceDE w:val="0"/>
      <w:autoSpaceDN w:val="0"/>
      <w:adjustRightInd w:val="0"/>
      <w:spacing w:line="400" w:lineRule="atLeast"/>
      <w:jc w:val="both"/>
      <w:textAlignment w:val="center"/>
    </w:pPr>
    <w:rPr>
      <w:rFonts w:ascii="方正兰亭中黑_GBK" w:eastAsia="方正兰亭中黑_GBK" w:cs="方正兰亭中黑_GBK"/>
      <w:color w:val="000000"/>
      <w:spacing w:val="-10"/>
      <w:sz w:val="32"/>
      <w:szCs w:val="32"/>
      <w:lang w:val="zh-CN" w:eastAsia="zh-CN"/>
    </w:rPr>
  </w:style>
  <w:style w:type="paragraph" w:customStyle="1" w:styleId="47">
    <w:name w:val="英文标题"/>
    <w:basedOn w:val="1"/>
    <w:qFormat/>
    <w:uiPriority w:val="99"/>
    <w:pPr>
      <w:widowControl w:val="0"/>
      <w:autoSpaceDE w:val="0"/>
      <w:autoSpaceDN w:val="0"/>
      <w:adjustRightInd w:val="0"/>
      <w:spacing w:line="260" w:lineRule="atLeast"/>
      <w:jc w:val="both"/>
      <w:textAlignment w:val="center"/>
    </w:pPr>
    <w:rPr>
      <w:rFonts w:ascii="Times New Roman" w:hAnsi="Times New Roman" w:eastAsia="华文黑体 Light" w:cs="Times New Roman"/>
      <w:color w:val="000000"/>
      <w:spacing w:val="-2"/>
      <w:sz w:val="20"/>
      <w:szCs w:val="20"/>
      <w:lang w:val="zh-CN" w:eastAsia="zh-CN"/>
    </w:rPr>
  </w:style>
  <w:style w:type="paragraph" w:customStyle="1" w:styleId="48">
    <w:name w:val="中文标题"/>
    <w:basedOn w:val="1"/>
    <w:qFormat/>
    <w:uiPriority w:val="99"/>
    <w:pPr>
      <w:widowControl w:val="0"/>
      <w:autoSpaceDE w:val="0"/>
      <w:autoSpaceDN w:val="0"/>
      <w:adjustRightInd w:val="0"/>
      <w:spacing w:line="300" w:lineRule="atLeast"/>
      <w:jc w:val="both"/>
      <w:textAlignment w:val="center"/>
    </w:pPr>
    <w:rPr>
      <w:rFonts w:ascii="方正纤雅宋_GBK" w:eastAsia="方正纤雅宋_GBK" w:cs="方正纤雅宋_GBK"/>
      <w:color w:val="000000"/>
      <w:sz w:val="20"/>
      <w:szCs w:val="20"/>
      <w:lang w:val="zh-CN" w:eastAsia="zh-CN"/>
    </w:rPr>
  </w:style>
  <w:style w:type="paragraph" w:customStyle="1" w:styleId="49">
    <w:name w:val="英文作者"/>
    <w:basedOn w:val="1"/>
    <w:qFormat/>
    <w:uiPriority w:val="99"/>
    <w:pPr>
      <w:widowControl w:val="0"/>
      <w:autoSpaceDE w:val="0"/>
      <w:autoSpaceDN w:val="0"/>
      <w:adjustRightInd w:val="0"/>
      <w:spacing w:line="260" w:lineRule="atLeast"/>
      <w:jc w:val="both"/>
      <w:textAlignment w:val="center"/>
    </w:pPr>
    <w:rPr>
      <w:rFonts w:ascii="Times New Roman" w:hAnsi="Times New Roman" w:cs="Times New Roman"/>
      <w:color w:val="000000"/>
      <w:sz w:val="17"/>
      <w:szCs w:val="17"/>
      <w:lang w:val="zh-CN" w:eastAsia="zh-CN"/>
    </w:rPr>
  </w:style>
  <w:style w:type="character" w:customStyle="1" w:styleId="50">
    <w:name w:val="作者英文"/>
    <w:qFormat/>
    <w:uiPriority w:val="99"/>
    <w:rPr>
      <w:rFonts w:ascii="HelveticaNeueLT Pro 45 Lt" w:hAnsi="HelveticaNeueLT Pro 45 Lt" w:cs="HelveticaNeueLT Pro 45 Lt"/>
      <w:sz w:val="17"/>
      <w:szCs w:val="17"/>
    </w:rPr>
  </w:style>
  <w:style w:type="paragraph" w:customStyle="1" w:styleId="51">
    <w:name w:val="内文"/>
    <w:basedOn w:val="1"/>
    <w:qFormat/>
    <w:uiPriority w:val="99"/>
    <w:pPr>
      <w:widowControl w:val="0"/>
      <w:autoSpaceDE w:val="0"/>
      <w:autoSpaceDN w:val="0"/>
      <w:adjustRightInd w:val="0"/>
      <w:spacing w:line="360" w:lineRule="atLeast"/>
      <w:ind w:firstLine="340"/>
      <w:jc w:val="both"/>
      <w:textAlignment w:val="center"/>
    </w:pPr>
    <w:rPr>
      <w:rFonts w:ascii="方正兰亭纤黑_GBK" w:eastAsia="方正兰亭纤黑_GBK" w:cs="方正兰亭纤黑_GBK"/>
      <w:color w:val="000000"/>
      <w:sz w:val="18"/>
      <w:szCs w:val="18"/>
      <w:lang w:val="zh-CN" w:eastAsia="zh-CN"/>
    </w:rPr>
  </w:style>
  <w:style w:type="paragraph" w:customStyle="1" w:styleId="52">
    <w:name w:val="一级标题"/>
    <w:basedOn w:val="51"/>
    <w:qFormat/>
    <w:uiPriority w:val="99"/>
    <w:pPr>
      <w:ind w:firstLine="0"/>
    </w:pPr>
    <w:rPr>
      <w:rFonts w:ascii="方正兰亭准黑_GBK" w:eastAsia="方正兰亭准黑_GBK" w:cs="方正兰亭准黑_GBK"/>
      <w:sz w:val="20"/>
      <w:szCs w:val="20"/>
    </w:rPr>
  </w:style>
  <w:style w:type="paragraph" w:customStyle="1" w:styleId="53">
    <w:name w:val="二级标题"/>
    <w:basedOn w:val="52"/>
    <w:qFormat/>
    <w:uiPriority w:val="99"/>
    <w:rPr>
      <w:sz w:val="18"/>
      <w:szCs w:val="18"/>
    </w:rPr>
  </w:style>
  <w:style w:type="paragraph" w:customStyle="1" w:styleId="54">
    <w:name w:val="注"/>
    <w:basedOn w:val="51"/>
    <w:qFormat/>
    <w:uiPriority w:val="99"/>
    <w:rPr>
      <w:sz w:val="14"/>
      <w:szCs w:val="14"/>
    </w:rPr>
  </w:style>
  <w:style w:type="paragraph" w:customStyle="1" w:styleId="55">
    <w:name w:val="图注"/>
    <w:basedOn w:val="1"/>
    <w:qFormat/>
    <w:uiPriority w:val="99"/>
    <w:pPr>
      <w:widowControl w:val="0"/>
      <w:autoSpaceDE w:val="0"/>
      <w:autoSpaceDN w:val="0"/>
      <w:adjustRightInd w:val="0"/>
      <w:spacing w:line="180" w:lineRule="atLeast"/>
      <w:jc w:val="both"/>
      <w:textAlignment w:val="center"/>
    </w:pPr>
    <w:rPr>
      <w:rFonts w:ascii="方正兰亭纤黑_GBK" w:eastAsia="方正兰亭纤黑_GBK" w:cs="方正兰亭纤黑_GBK"/>
      <w:color w:val="000000"/>
      <w:sz w:val="13"/>
      <w:szCs w:val="13"/>
      <w:lang w:val="zh-CN" w:eastAsia="zh-CN"/>
    </w:rPr>
  </w:style>
  <w:style w:type="paragraph" w:customStyle="1" w:styleId="56">
    <w:name w:val="参考文献"/>
    <w:basedOn w:val="1"/>
    <w:qFormat/>
    <w:uiPriority w:val="99"/>
    <w:pPr>
      <w:widowControl w:val="0"/>
      <w:autoSpaceDE w:val="0"/>
      <w:autoSpaceDN w:val="0"/>
      <w:adjustRightInd w:val="0"/>
      <w:spacing w:line="220" w:lineRule="atLeast"/>
      <w:ind w:left="510" w:hanging="510"/>
      <w:textAlignment w:val="center"/>
    </w:pPr>
    <w:rPr>
      <w:rFonts w:ascii="方正兰亭纤黑_GBK" w:eastAsia="方正兰亭纤黑_GBK" w:cs="方正兰亭纤黑_GBK"/>
      <w:color w:val="000000"/>
      <w:spacing w:val="-3"/>
      <w:sz w:val="13"/>
      <w:szCs w:val="13"/>
      <w:lang w:val="zh-CN" w:eastAsia="zh-CN"/>
    </w:rPr>
  </w:style>
  <w:style w:type="paragraph" w:customStyle="1" w:styleId="57">
    <w:name w:val="Decimal Aligned"/>
    <w:basedOn w:val="1"/>
    <w:qFormat/>
    <w:uiPriority w:val="40"/>
    <w:pPr>
      <w:tabs>
        <w:tab w:val="decimal" w:pos="360"/>
      </w:tabs>
      <w:spacing w:after="200" w:line="276" w:lineRule="auto"/>
    </w:pPr>
    <w:rPr>
      <w:rFonts w:eastAsiaTheme="minorHAnsi"/>
      <w:sz w:val="22"/>
      <w:szCs w:val="22"/>
      <w:lang w:eastAsia="zh-CN"/>
    </w:rPr>
  </w:style>
  <w:style w:type="character" w:customStyle="1" w:styleId="58">
    <w:name w:val="不明显强调1"/>
    <w:basedOn w:val="19"/>
    <w:qFormat/>
    <w:uiPriority w:val="19"/>
    <w:rPr>
      <w:i/>
      <w:iCs/>
      <w:color w:val="808080" w:themeColor="text1" w:themeTint="80"/>
      <w14:textFill>
        <w14:solidFill>
          <w14:schemeClr w14:val="tx1">
            <w14:lumMod w14:val="50000"/>
            <w14:lumOff w14:val="50000"/>
          </w14:schemeClr>
        </w14:solidFill>
      </w14:textFill>
    </w:rPr>
  </w:style>
  <w:style w:type="paragraph" w:customStyle="1" w:styleId="59">
    <w:name w:val="表文字"/>
    <w:basedOn w:val="1"/>
    <w:qFormat/>
    <w:uiPriority w:val="99"/>
    <w:pPr>
      <w:widowControl w:val="0"/>
      <w:suppressAutoHyphens/>
      <w:autoSpaceDE w:val="0"/>
      <w:autoSpaceDN w:val="0"/>
      <w:adjustRightInd w:val="0"/>
      <w:spacing w:line="240" w:lineRule="atLeast"/>
      <w:textAlignment w:val="center"/>
    </w:pPr>
    <w:rPr>
      <w:rFonts w:ascii="方正中等线_GBK" w:eastAsia="方正中等线_GBK" w:cs="方正中等线_GBK"/>
      <w:color w:val="000000"/>
      <w:sz w:val="14"/>
      <w:szCs w:val="14"/>
      <w:lang w:val="zh-CN" w:eastAsia="zh-CN"/>
    </w:rPr>
  </w:style>
  <w:style w:type="paragraph" w:customStyle="1" w:styleId="60">
    <w:name w:val="[无段落样式]"/>
    <w:qFormat/>
    <w:uiPriority w:val="0"/>
    <w:pPr>
      <w:widowControl w:val="0"/>
      <w:autoSpaceDE w:val="0"/>
      <w:autoSpaceDN w:val="0"/>
      <w:adjustRightInd w:val="0"/>
      <w:spacing w:line="288" w:lineRule="auto"/>
      <w:textAlignment w:val="center"/>
    </w:pPr>
    <w:rPr>
      <w:rFonts w:ascii="Adobe 宋体 Std L" w:eastAsia="Adobe 宋体 Std L" w:cs="Adobe 宋体 Std L" w:hAnsiTheme="minorHAnsi"/>
      <w:color w:val="000000"/>
      <w:sz w:val="24"/>
      <w:szCs w:val="24"/>
      <w:lang w:val="en-US" w:eastAsia="zh-CN" w:bidi="ar-SA"/>
    </w:rPr>
  </w:style>
  <w:style w:type="paragraph" w:customStyle="1" w:styleId="61">
    <w:name w:val="三级标题"/>
    <w:basedOn w:val="51"/>
    <w:qFormat/>
    <w:uiPriority w:val="99"/>
    <w:pPr>
      <w:spacing w:line="320" w:lineRule="atLeast"/>
      <w:ind w:firstLine="0"/>
    </w:pPr>
    <w:rPr>
      <w:sz w:val="17"/>
      <w:szCs w:val="17"/>
    </w:rPr>
  </w:style>
  <w:style w:type="paragraph" w:customStyle="1" w:styleId="62">
    <w:name w:val="中文作者"/>
    <w:basedOn w:val="60"/>
    <w:qFormat/>
    <w:uiPriority w:val="99"/>
    <w:pPr>
      <w:spacing w:line="300" w:lineRule="atLeast"/>
      <w:jc w:val="both"/>
    </w:pPr>
    <w:rPr>
      <w:rFonts w:ascii="方正纤雅宋_GBK" w:eastAsia="方正纤雅宋_GBK" w:cs="方正纤雅宋_GBK"/>
      <w:sz w:val="20"/>
      <w:szCs w:val="20"/>
      <w:lang w:val="zh-CN"/>
    </w:rPr>
  </w:style>
  <w:style w:type="character" w:customStyle="1" w:styleId="63">
    <w:name w:val="未处理的提及1"/>
    <w:basedOn w:val="19"/>
    <w:semiHidden/>
    <w:unhideWhenUsed/>
    <w:qFormat/>
    <w:uiPriority w:val="99"/>
    <w:rPr>
      <w:color w:val="605E5C"/>
      <w:shd w:val="clear" w:color="auto" w:fill="E1DFDD"/>
    </w:rPr>
  </w:style>
  <w:style w:type="paragraph" w:customStyle="1" w:styleId="64">
    <w:name w:val="列出段落1"/>
    <w:basedOn w:val="1"/>
    <w:autoRedefine/>
    <w:qFormat/>
    <w:uiPriority w:val="34"/>
    <w:pPr>
      <w:widowControl w:val="0"/>
      <w:ind w:firstLine="420" w:firstLineChars="200"/>
      <w:jc w:val="both"/>
    </w:pPr>
    <w:rPr>
      <w:rFonts w:ascii="Calibri" w:hAnsi="Calibri" w:cs="Times New Roman"/>
      <w:kern w:val="2"/>
      <w:sz w:val="21"/>
      <w:szCs w:val="22"/>
      <w:lang w:eastAsia="zh-CN"/>
    </w:rPr>
  </w:style>
  <w:style w:type="paragraph" w:customStyle="1" w:styleId="65">
    <w:name w:val="修订1"/>
    <w:hidden/>
    <w:semiHidden/>
    <w:qFormat/>
    <w:uiPriority w:val="99"/>
    <w:rPr>
      <w:rFonts w:eastAsia="宋体" w:asciiTheme="minorHAnsi" w:hAnsiTheme="minorHAnsi" w:cstheme="minorBidi"/>
      <w:sz w:val="24"/>
      <w:szCs w:val="24"/>
      <w:lang w:val="en-US" w:eastAsia="en-US" w:bidi="ar-SA"/>
    </w:rPr>
  </w:style>
  <w:style w:type="character" w:customStyle="1" w:styleId="66">
    <w:name w:val="font31"/>
    <w:basedOn w:val="19"/>
    <w:qFormat/>
    <w:uiPriority w:val="0"/>
    <w:rPr>
      <w:rFonts w:hint="eastAsia" w:ascii="宋体" w:hAnsi="宋体" w:eastAsia="宋体" w:cs="宋体"/>
      <w:color w:val="000000"/>
      <w:sz w:val="24"/>
      <w:szCs w:val="24"/>
      <w:u w:val="none"/>
    </w:rPr>
  </w:style>
  <w:style w:type="character" w:customStyle="1" w:styleId="67">
    <w:name w:val="font21"/>
    <w:basedOn w:val="19"/>
    <w:qFormat/>
    <w:uiPriority w:val="0"/>
    <w:rPr>
      <w:rFonts w:hint="default" w:ascii="Segoe UI" w:hAnsi="Segoe UI" w:eastAsia="Segoe UI" w:cs="Segoe UI"/>
      <w:color w:val="000000"/>
      <w:sz w:val="24"/>
      <w:szCs w:val="24"/>
      <w:u w:val="none"/>
    </w:rPr>
  </w:style>
  <w:style w:type="character" w:customStyle="1" w:styleId="68">
    <w:name w:val="font51"/>
    <w:basedOn w:val="19"/>
    <w:qFormat/>
    <w:uiPriority w:val="0"/>
    <w:rPr>
      <w:rFonts w:hint="eastAsia" w:ascii="宋体" w:hAnsi="宋体" w:eastAsia="宋体" w:cs="宋体"/>
      <w:color w:val="000000"/>
      <w:sz w:val="23"/>
      <w:szCs w:val="23"/>
      <w:u w:val="none"/>
    </w:rPr>
  </w:style>
  <w:style w:type="character" w:customStyle="1" w:styleId="69">
    <w:name w:val="font61"/>
    <w:basedOn w:val="19"/>
    <w:qFormat/>
    <w:uiPriority w:val="0"/>
    <w:rPr>
      <w:rFonts w:hint="default" w:ascii="Segoe UI" w:hAnsi="Segoe UI" w:eastAsia="Segoe UI" w:cs="Segoe UI"/>
      <w:color w:val="000000"/>
      <w:sz w:val="23"/>
      <w:szCs w:val="23"/>
      <w:u w:val="none"/>
    </w:rPr>
  </w:style>
  <w:style w:type="character" w:customStyle="1" w:styleId="70">
    <w:name w:val="font71"/>
    <w:basedOn w:val="19"/>
    <w:qFormat/>
    <w:uiPriority w:val="0"/>
    <w:rPr>
      <w:rFonts w:hint="default" w:ascii="Times New Roman" w:hAnsi="Times New Roman" w:cs="Times New Roman"/>
      <w:color w:val="000000"/>
      <w:sz w:val="23"/>
      <w:szCs w:val="23"/>
      <w:u w:val="none"/>
    </w:rPr>
  </w:style>
  <w:style w:type="character" w:customStyle="1" w:styleId="71">
    <w:name w:val="font11"/>
    <w:basedOn w:val="19"/>
    <w:qFormat/>
    <w:uiPriority w:val="0"/>
    <w:rPr>
      <w:rFonts w:hint="default" w:ascii="Segoe UI" w:hAnsi="Segoe UI" w:eastAsia="Segoe UI" w:cs="Segoe UI"/>
      <w:color w:val="000000"/>
      <w:sz w:val="22"/>
      <w:szCs w:val="22"/>
      <w:u w:val="none"/>
    </w:rPr>
  </w:style>
  <w:style w:type="character" w:customStyle="1" w:styleId="72">
    <w:name w:val="font01"/>
    <w:basedOn w:val="19"/>
    <w:qFormat/>
    <w:uiPriority w:val="0"/>
    <w:rPr>
      <w:rFonts w:hint="eastAsia" w:ascii="宋体" w:hAnsi="宋体" w:eastAsia="宋体" w:cs="宋体"/>
      <w:color w:val="000000"/>
      <w:sz w:val="22"/>
      <w:szCs w:val="22"/>
      <w:u w:val="none"/>
    </w:rPr>
  </w:style>
  <w:style w:type="paragraph" w:customStyle="1" w:styleId="73">
    <w:name w:val="北林正文"/>
    <w:basedOn w:val="1"/>
    <w:qFormat/>
    <w:uiPriority w:val="0"/>
    <w:pPr>
      <w:spacing w:line="264" w:lineRule="auto"/>
      <w:ind w:firstLine="400" w:firstLineChars="200"/>
    </w:pPr>
    <w:rPr>
      <w:rFonts w:cs="Times New Roman"/>
      <w:sz w:val="20"/>
      <w:szCs w:val="20"/>
      <w:lang w:val="zh-TW" w:eastAsia="zh-CN"/>
    </w:rPr>
  </w:style>
  <w:style w:type="paragraph" w:customStyle="1" w:styleId="74">
    <w:name w:val="北林一级"/>
    <w:basedOn w:val="1"/>
    <w:link w:val="83"/>
    <w:qFormat/>
    <w:uiPriority w:val="0"/>
    <w:pPr>
      <w:spacing w:before="120" w:after="120" w:line="264" w:lineRule="auto"/>
    </w:pPr>
    <w:rPr>
      <w:rFonts w:hint="eastAsia" w:ascii="宋体" w:hAnsi="宋体" w:cs="Times New Roman"/>
      <w:lang w:eastAsia="zh-CN"/>
    </w:rPr>
  </w:style>
  <w:style w:type="paragraph" w:customStyle="1" w:styleId="75">
    <w:name w:val="中国园林正文"/>
    <w:basedOn w:val="1"/>
    <w:link w:val="82"/>
    <w:qFormat/>
    <w:uiPriority w:val="0"/>
    <w:pPr>
      <w:widowControl w:val="0"/>
      <w:autoSpaceDE w:val="0"/>
      <w:autoSpaceDN w:val="0"/>
      <w:adjustRightInd w:val="0"/>
      <w:spacing w:line="324" w:lineRule="auto"/>
      <w:ind w:firstLine="340" w:firstLineChars="200"/>
      <w:jc w:val="both"/>
      <w:textAlignment w:val="center"/>
    </w:pPr>
    <w:rPr>
      <w:rFonts w:hint="eastAsia" w:ascii="黑体" w:hAnsi="黑体" w:eastAsia="黑体" w:cs="方正兰亭纤黑_GBK"/>
      <w:color w:val="000000"/>
      <w:sz w:val="17"/>
      <w:szCs w:val="17"/>
      <w:lang w:eastAsia="zh-CN"/>
    </w:rPr>
  </w:style>
  <w:style w:type="paragraph" w:customStyle="1" w:styleId="76">
    <w:name w:val="北林三级"/>
    <w:basedOn w:val="1"/>
    <w:qFormat/>
    <w:uiPriority w:val="0"/>
    <w:pPr>
      <w:spacing w:line="264" w:lineRule="auto"/>
    </w:pPr>
    <w:rPr>
      <w:rFonts w:hint="eastAsia" w:ascii="楷体_GB2312" w:hAnsi="楷体_GB2312" w:eastAsia="楷体_GB2312" w:cs="Times New Roman"/>
      <w:lang w:eastAsia="zh-CN"/>
    </w:rPr>
  </w:style>
  <w:style w:type="paragraph" w:customStyle="1" w:styleId="77">
    <w:name w:val="南方建筑表名"/>
    <w:basedOn w:val="1"/>
    <w:qFormat/>
    <w:uiPriority w:val="0"/>
    <w:rPr>
      <w:rFonts w:ascii="宋体" w:hAnsi="宋体" w:cs="黑体"/>
      <w:b/>
      <w:sz w:val="15"/>
      <w:szCs w:val="15"/>
      <w:lang w:val="zh-TW" w:eastAsia="zh-CN"/>
    </w:rPr>
  </w:style>
  <w:style w:type="paragraph" w:customStyle="1" w:styleId="78">
    <w:name w:val="南方建筑正文"/>
    <w:basedOn w:val="1"/>
    <w:qFormat/>
    <w:uiPriority w:val="0"/>
    <w:pPr>
      <w:ind w:firstLine="480" w:firstLineChars="200"/>
    </w:pPr>
    <w:rPr>
      <w:rFonts w:ascii="宋体" w:hAnsi="宋体" w:cs="方正中等线简体"/>
      <w:u w:color="FF0000"/>
      <w:lang w:val="zh-TW" w:eastAsia="zh-CN"/>
    </w:rPr>
  </w:style>
  <w:style w:type="paragraph" w:customStyle="1" w:styleId="79">
    <w:name w:val="北林二级"/>
    <w:basedOn w:val="1"/>
    <w:qFormat/>
    <w:uiPriority w:val="0"/>
    <w:pPr>
      <w:spacing w:line="264" w:lineRule="auto"/>
    </w:pPr>
    <w:rPr>
      <w:rFonts w:hint="eastAsia" w:ascii="黑体" w:hAnsi="黑体" w:eastAsia="黑体" w:cs="Times New Roman"/>
      <w:lang w:eastAsia="zh-CN"/>
    </w:rPr>
  </w:style>
  <w:style w:type="paragraph" w:customStyle="1" w:styleId="80">
    <w:name w:val="南方建筑图名"/>
    <w:basedOn w:val="1"/>
    <w:qFormat/>
    <w:uiPriority w:val="0"/>
    <w:rPr>
      <w:rFonts w:hint="eastAsia" w:ascii="宋体" w:hAnsi="宋体"/>
      <w:sz w:val="15"/>
      <w:szCs w:val="15"/>
      <w:lang w:eastAsia="zh-CN"/>
    </w:rPr>
  </w:style>
  <w:style w:type="paragraph" w:customStyle="1" w:styleId="81">
    <w:name w:val="南方建筑表内容"/>
    <w:basedOn w:val="1"/>
    <w:qFormat/>
    <w:uiPriority w:val="0"/>
    <w:pPr>
      <w:spacing w:line="360" w:lineRule="auto"/>
      <w:jc w:val="center"/>
    </w:pPr>
    <w:rPr>
      <w:rFonts w:ascii="宋体" w:hAnsi="宋体" w:cs="宋体"/>
      <w:sz w:val="15"/>
      <w:szCs w:val="15"/>
    </w:rPr>
  </w:style>
  <w:style w:type="character" w:customStyle="1" w:styleId="82">
    <w:name w:val="中国园林正文 Char"/>
    <w:link w:val="75"/>
    <w:qFormat/>
    <w:uiPriority w:val="0"/>
    <w:rPr>
      <w:rFonts w:hint="eastAsia" w:ascii="黑体" w:hAnsi="黑体" w:eastAsia="黑体" w:cs="方正兰亭纤黑_GBK"/>
      <w:color w:val="000000"/>
      <w:sz w:val="17"/>
      <w:szCs w:val="17"/>
      <w:lang w:eastAsia="zh-CN"/>
    </w:rPr>
  </w:style>
  <w:style w:type="character" w:customStyle="1" w:styleId="83">
    <w:name w:val="北林一级 Char"/>
    <w:link w:val="74"/>
    <w:qFormat/>
    <w:uiPriority w:val="0"/>
    <w:rPr>
      <w:rFonts w:hint="eastAsia" w:ascii="宋体" w:hAnsi="宋体" w:eastAsia="宋体" w:cs="Times New Roman"/>
      <w:sz w:val="24"/>
      <w:szCs w:val="24"/>
      <w:lang w:eastAsia="zh-CN"/>
    </w:rPr>
  </w:style>
  <w:style w:type="paragraph" w:customStyle="1" w:styleId="84">
    <w:name w:val="风园正文"/>
    <w:basedOn w:val="1"/>
    <w:uiPriority w:val="0"/>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 Id="rId14" Type="http://schemas.openxmlformats.org/officeDocument/2006/relationships/comments" Target="comment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36AC12-10C7-4570-89BF-6FD75D6F07D8}">
  <ds:schemaRefs/>
</ds:datastoreItem>
</file>

<file path=docProps/app.xml><?xml version="1.0" encoding="utf-8"?>
<Properties xmlns="http://schemas.openxmlformats.org/officeDocument/2006/extended-properties" xmlns:vt="http://schemas.openxmlformats.org/officeDocument/2006/docPropsVTypes">
  <Template>Normal</Template>
  <Company>Tsinghua University</Company>
  <Pages>8</Pages>
  <Words>13252</Words>
  <Characters>24952</Characters>
  <Lines>834</Lines>
  <Paragraphs>459</Paragraphs>
  <TotalTime>109</TotalTime>
  <ScaleCrop>false</ScaleCrop>
  <LinksUpToDate>false</LinksUpToDate>
  <CharactersWithSpaces>26762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2024-12-29T02:00:00Z</dcterms:created>
  <dc:creator>tongda xu</dc:creator>
  <cp:lastModifiedBy>小方</cp:lastModifiedBy>
  <cp:lastPrinted>2024-12-28T06:04:00Z</cp:lastPrinted>
  <dcterms:modified xsi:type="dcterms:W3CDTF">2026-06-01T07:57:30Z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3428045C76AB4F579BB54C8C592A648B_13</vt:lpwstr>
  </property>
  <property fmtid="{D5CDD505-2E9C-101B-9397-08002B2CF9AE}" pid="4" name="KSOTemplateDocerSaveRecord">
    <vt:lpwstr>eyJoZGlkIjoiYmMzZDljYTk0YTg2NWQzY2YyZjM5MDcxODIxNGIyYzUiLCJ1c2VySWQiOiIyNTAyNjU3NjYifQ==</vt:lpwstr>
  </property>
</Properties>
</file>