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81F" w:rsidRPr="00256175" w:rsidRDefault="000D5529">
      <w:pPr>
        <w:rPr>
          <w:rFonts w:ascii="Helvetica" w:hAnsi="Helvetica" w:cs="Helvetica" w:hint="eastAsia"/>
          <w:szCs w:val="24"/>
          <w:shd w:val="clear" w:color="auto" w:fill="FFFFFF"/>
        </w:rPr>
      </w:pPr>
      <w:r w:rsidRPr="00256175">
        <w:rPr>
          <w:rFonts w:hint="eastAsia"/>
          <w:szCs w:val="24"/>
        </w:rPr>
        <w:t>有關蘇清泉</w:t>
      </w:r>
      <w:r w:rsidRPr="00256175">
        <w:rPr>
          <w:rFonts w:ascii="Helvetica" w:hAnsi="Helvetica" w:cs="Helvetica" w:hint="eastAsia"/>
          <w:szCs w:val="24"/>
          <w:shd w:val="clear" w:color="auto" w:fill="FFFFFF"/>
        </w:rPr>
        <w:t>對於</w:t>
      </w:r>
      <w:r w:rsidRPr="00256175">
        <w:rPr>
          <w:rFonts w:ascii="Helvetica" w:hAnsi="Helvetica" w:cs="Helvetica"/>
          <w:szCs w:val="24"/>
          <w:shd w:val="clear" w:color="auto" w:fill="FFFFFF"/>
        </w:rPr>
        <w:t>台大醫院涉違法器官捐贈</w:t>
      </w:r>
      <w:r w:rsidRPr="00256175">
        <w:rPr>
          <w:rFonts w:ascii="Helvetica" w:hAnsi="Helvetica" w:cs="Helvetica" w:hint="eastAsia"/>
          <w:szCs w:val="24"/>
          <w:shd w:val="clear" w:color="auto" w:fill="FFFFFF"/>
        </w:rPr>
        <w:t>之言論，引發以</w:t>
      </w:r>
      <w:proofErr w:type="gramStart"/>
      <w:r w:rsidRPr="00256175">
        <w:rPr>
          <w:rFonts w:ascii="Helvetica" w:hAnsi="Helvetica" w:cs="Helvetica" w:hint="eastAsia"/>
          <w:szCs w:val="24"/>
          <w:shd w:val="clear" w:color="auto" w:fill="FFFFFF"/>
        </w:rPr>
        <w:t>醫勞</w:t>
      </w:r>
      <w:proofErr w:type="gramEnd"/>
      <w:r w:rsidRPr="00256175">
        <w:rPr>
          <w:rFonts w:ascii="Helvetica" w:hAnsi="Helvetica" w:cs="Helvetica" w:hint="eastAsia"/>
          <w:szCs w:val="24"/>
          <w:shd w:val="clear" w:color="auto" w:fill="FFFFFF"/>
        </w:rPr>
        <w:t>盟為首等許多</w:t>
      </w:r>
      <w:proofErr w:type="gramStart"/>
      <w:r w:rsidRPr="00256175">
        <w:rPr>
          <w:rFonts w:ascii="Helvetica" w:hAnsi="Helvetica" w:cs="Helvetica" w:hint="eastAsia"/>
          <w:szCs w:val="24"/>
          <w:shd w:val="clear" w:color="auto" w:fill="FFFFFF"/>
        </w:rPr>
        <w:t>醫</w:t>
      </w:r>
      <w:proofErr w:type="gramEnd"/>
      <w:r w:rsidRPr="00256175">
        <w:rPr>
          <w:rFonts w:ascii="Helvetica" w:hAnsi="Helvetica" w:cs="Helvetica" w:hint="eastAsia"/>
          <w:szCs w:val="24"/>
          <w:shd w:val="clear" w:color="auto" w:fill="FFFFFF"/>
        </w:rPr>
        <w:t>界人士之反彈。</w:t>
      </w:r>
      <w:r w:rsidR="000443CF" w:rsidRPr="00256175">
        <w:rPr>
          <w:rFonts w:ascii="Helvetica" w:hAnsi="Helvetica" w:cs="Helvetica" w:hint="eastAsia"/>
          <w:szCs w:val="24"/>
          <w:shd w:val="clear" w:color="auto" w:fill="FFFFFF"/>
        </w:rPr>
        <w:t>經</w:t>
      </w:r>
      <w:r w:rsidRPr="00256175">
        <w:rPr>
          <w:rFonts w:ascii="Helvetica" w:hAnsi="Helvetica" w:cs="Helvetica"/>
          <w:szCs w:val="24"/>
          <w:shd w:val="clear" w:color="auto" w:fill="FFFFFF"/>
        </w:rPr>
        <w:t>中華民國醫師公會全國聯合會</w:t>
      </w:r>
      <w:r w:rsidR="000443CF" w:rsidRPr="00256175">
        <w:rPr>
          <w:rFonts w:ascii="Arial" w:hAnsi="Arial" w:cs="Arial"/>
          <w:szCs w:val="24"/>
          <w:shd w:val="clear" w:color="auto" w:fill="FFFFFF"/>
        </w:rPr>
        <w:t>召開醫學倫理暨紀律委員會</w:t>
      </w:r>
      <w:r w:rsidR="000443CF" w:rsidRPr="00256175">
        <w:rPr>
          <w:rFonts w:ascii="Arial" w:hAnsi="Arial" w:cs="Arial" w:hint="eastAsia"/>
          <w:szCs w:val="24"/>
          <w:shd w:val="clear" w:color="auto" w:fill="FFFFFF"/>
        </w:rPr>
        <w:t>後，認為</w:t>
      </w:r>
      <w:r w:rsidR="000443CF" w:rsidRPr="00256175">
        <w:rPr>
          <w:rFonts w:asciiTheme="minorEastAsia" w:hAnsiTheme="minorEastAsia" w:cs="Arial" w:hint="eastAsia"/>
          <w:szCs w:val="24"/>
          <w:shd w:val="clear" w:color="auto" w:fill="FFFFFF"/>
        </w:rPr>
        <w:t>「</w:t>
      </w:r>
      <w:r w:rsidR="000443CF" w:rsidRPr="00256175">
        <w:rPr>
          <w:rFonts w:ascii="Helvetica" w:hAnsi="Helvetica" w:cs="Helvetica"/>
          <w:szCs w:val="24"/>
          <w:shd w:val="clear" w:color="auto" w:fill="FFFFFF"/>
        </w:rPr>
        <w:t>蘇清泉因身為立委有言論免責權，非醫師公會醫學倫理暨紀律委員會可評論</w:t>
      </w:r>
      <w:r w:rsidR="000443CF" w:rsidRPr="00256175">
        <w:rPr>
          <w:rFonts w:asciiTheme="minorEastAsia" w:hAnsiTheme="minorEastAsia" w:cs="Helvetica" w:hint="eastAsia"/>
          <w:szCs w:val="24"/>
          <w:shd w:val="clear" w:color="auto" w:fill="FFFFFF"/>
        </w:rPr>
        <w:t>」</w:t>
      </w:r>
      <w:r w:rsidR="000443CF" w:rsidRPr="00256175">
        <w:rPr>
          <w:rFonts w:ascii="Helvetica" w:hAnsi="Helvetica" w:cs="Helvetica" w:hint="eastAsia"/>
          <w:szCs w:val="24"/>
          <w:shd w:val="clear" w:color="auto" w:fill="FFFFFF"/>
        </w:rPr>
        <w:t>，最後只要求蘇清泉道歉，並無其他懲處如辭去全聯會理事長一職。</w:t>
      </w:r>
    </w:p>
    <w:p w:rsidR="000443CF" w:rsidRPr="00256175" w:rsidRDefault="000443CF">
      <w:pPr>
        <w:rPr>
          <w:rFonts w:ascii="Helvetica" w:hAnsi="Helvetica" w:cs="Helvetica" w:hint="eastAsia"/>
          <w:szCs w:val="24"/>
          <w:shd w:val="clear" w:color="auto" w:fill="FFFFFF"/>
        </w:rPr>
      </w:pPr>
    </w:p>
    <w:p w:rsidR="00256175" w:rsidRPr="00256175" w:rsidRDefault="00256175">
      <w:pPr>
        <w:rPr>
          <w:rFonts w:ascii="Helvetica" w:hAnsi="Helvetica" w:cs="Helvetica" w:hint="eastAsia"/>
          <w:szCs w:val="24"/>
          <w:shd w:val="clear" w:color="auto" w:fill="FFFFFF"/>
        </w:rPr>
      </w:pPr>
      <w:r w:rsidRPr="00256175">
        <w:rPr>
          <w:rFonts w:ascii="Helvetica" w:hAnsi="Helvetica" w:cs="Helvetica" w:hint="eastAsia"/>
          <w:szCs w:val="24"/>
          <w:shd w:val="clear" w:color="auto" w:fill="FFFFFF"/>
        </w:rPr>
        <w:t>(</w:t>
      </w:r>
      <w:r w:rsidRPr="00256175">
        <w:rPr>
          <w:rFonts w:ascii="Helvetica" w:hAnsi="Helvetica" w:cs="Helvetica" w:hint="eastAsia"/>
          <w:szCs w:val="24"/>
          <w:shd w:val="clear" w:color="auto" w:fill="FFFFFF"/>
        </w:rPr>
        <w:t>大法官解釋</w:t>
      </w:r>
      <w:proofErr w:type="gramStart"/>
      <w:r w:rsidRPr="00256175">
        <w:rPr>
          <w:rFonts w:ascii="Helvetica" w:hAnsi="Helvetica" w:cs="Helvetica" w:hint="eastAsia"/>
          <w:szCs w:val="24"/>
          <w:shd w:val="clear" w:color="auto" w:fill="FFFFFF"/>
        </w:rPr>
        <w:t>釋</w:t>
      </w:r>
      <w:proofErr w:type="gramEnd"/>
      <w:r w:rsidRPr="00256175">
        <w:rPr>
          <w:rFonts w:ascii="Helvetica" w:hAnsi="Helvetica" w:cs="Helvetica" w:hint="eastAsia"/>
          <w:szCs w:val="24"/>
          <w:shd w:val="clear" w:color="auto" w:fill="FFFFFF"/>
        </w:rPr>
        <w:t>字第</w:t>
      </w:r>
      <w:r w:rsidRPr="00256175">
        <w:rPr>
          <w:rFonts w:ascii="Helvetica" w:hAnsi="Helvetica" w:cs="Helvetica" w:hint="eastAsia"/>
          <w:szCs w:val="24"/>
          <w:shd w:val="clear" w:color="auto" w:fill="FFFFFF"/>
        </w:rPr>
        <w:t>435</w:t>
      </w:r>
      <w:r w:rsidRPr="00256175">
        <w:rPr>
          <w:rFonts w:ascii="Helvetica" w:hAnsi="Helvetica" w:cs="Helvetica" w:hint="eastAsia"/>
          <w:szCs w:val="24"/>
          <w:shd w:val="clear" w:color="auto" w:fill="FFFFFF"/>
        </w:rPr>
        <w:t>號</w:t>
      </w:r>
      <w:r w:rsidRPr="00256175">
        <w:rPr>
          <w:rFonts w:ascii="Helvetica" w:hAnsi="Helvetica" w:cs="Helvetica" w:hint="eastAsia"/>
          <w:szCs w:val="24"/>
          <w:shd w:val="clear" w:color="auto" w:fill="FFFFFF"/>
        </w:rPr>
        <w:t>)</w:t>
      </w:r>
    </w:p>
    <w:p w:rsidR="000443CF" w:rsidRPr="00256175" w:rsidRDefault="000443CF">
      <w:pPr>
        <w:rPr>
          <w:rFonts w:hint="eastAsia"/>
          <w:szCs w:val="24"/>
        </w:rPr>
      </w:pPr>
      <w:r w:rsidRPr="00256175">
        <w:rPr>
          <w:rFonts w:hint="eastAsia"/>
          <w:szCs w:val="24"/>
        </w:rPr>
        <w:t>憲法第</w:t>
      </w:r>
      <w:r w:rsidRPr="00256175">
        <w:rPr>
          <w:rFonts w:hint="eastAsia"/>
          <w:szCs w:val="24"/>
        </w:rPr>
        <w:t>73</w:t>
      </w:r>
      <w:r w:rsidRPr="00256175">
        <w:rPr>
          <w:rFonts w:hint="eastAsia"/>
          <w:szCs w:val="24"/>
        </w:rPr>
        <w:t>條規定：「立法委員在院內所為之言論及表決，對院外不負責任。」</w:t>
      </w:r>
    </w:p>
    <w:p w:rsidR="000443CF" w:rsidRDefault="000443CF">
      <w:pPr>
        <w:rPr>
          <w:rFonts w:ascii="Arial" w:hAnsi="Arial" w:cs="Arial" w:hint="eastAsia"/>
        </w:rPr>
      </w:pPr>
      <w:r w:rsidRPr="00256175">
        <w:rPr>
          <w:rFonts w:ascii="Arial" w:hAnsi="Arial" w:cs="Arial"/>
        </w:rPr>
        <w:t>旨在保障立法委員受人民付託之職務地位，並避免國家最高立法機關之功能遭致其他國家機關之干擾而受影響。</w:t>
      </w:r>
      <w:r w:rsidR="00256175" w:rsidRPr="00256175">
        <w:rPr>
          <w:rFonts w:ascii="Arial" w:hAnsi="Arial" w:cs="Arial"/>
        </w:rPr>
        <w:t>所謂對院外不負責任，係指立法委員不因行使職權所為之言論及表決而負民事上損害賠償責任或受刑事上之訴追，除因其言行違反內部所訂自律之規則而受懲戒外，並不負行政責任</w:t>
      </w:r>
      <w:r w:rsidR="00256175" w:rsidRPr="00256175">
        <w:rPr>
          <w:rFonts w:ascii="Arial" w:hAnsi="Arial" w:cs="Arial" w:hint="eastAsia"/>
        </w:rPr>
        <w:t>。</w:t>
      </w:r>
    </w:p>
    <w:p w:rsidR="00256175" w:rsidRDefault="00256175">
      <w:pPr>
        <w:rPr>
          <w:rFonts w:ascii="Arial" w:hAnsi="Arial" w:cs="Arial" w:hint="eastAsia"/>
        </w:rPr>
      </w:pPr>
    </w:p>
    <w:p w:rsidR="00256175" w:rsidRDefault="00256175">
      <w:pPr>
        <w:rPr>
          <w:rFonts w:ascii="Arial" w:hAnsi="Arial" w:cs="Arial" w:hint="eastAsia"/>
        </w:rPr>
      </w:pPr>
      <w:r>
        <w:rPr>
          <w:rFonts w:ascii="Arial" w:hAnsi="Arial" w:cs="Arial" w:hint="eastAsia"/>
        </w:rPr>
        <w:t>狹義與廣義之言論免責權所保護之評論對象</w:t>
      </w:r>
    </w:p>
    <w:p w:rsidR="00256175" w:rsidRDefault="00256175">
      <w:pPr>
        <w:rPr>
          <w:rFonts w:hint="eastAsia"/>
          <w:color w:val="000000"/>
          <w:szCs w:val="24"/>
        </w:rPr>
      </w:pPr>
      <w:r>
        <w:rPr>
          <w:rFonts w:ascii="Arial" w:hAnsi="Arial" w:cs="Arial" w:hint="eastAsia"/>
          <w:szCs w:val="24"/>
        </w:rPr>
        <w:t>最</w:t>
      </w:r>
      <w:r w:rsidRPr="00256175">
        <w:rPr>
          <w:rFonts w:ascii="Arial" w:hAnsi="Arial" w:cs="Arial" w:hint="eastAsia"/>
          <w:szCs w:val="24"/>
        </w:rPr>
        <w:t>狹義：</w:t>
      </w:r>
      <w:r w:rsidRPr="00256175">
        <w:rPr>
          <w:rFonts w:hint="eastAsia"/>
          <w:color w:val="000000"/>
          <w:szCs w:val="24"/>
        </w:rPr>
        <w:t>僅限於公務員</w:t>
      </w:r>
    </w:p>
    <w:p w:rsidR="00256175" w:rsidRDefault="00256175">
      <w:pPr>
        <w:rPr>
          <w:rFonts w:hint="eastAsia"/>
          <w:color w:val="000000"/>
          <w:szCs w:val="24"/>
        </w:rPr>
      </w:pPr>
      <w:r>
        <w:rPr>
          <w:rFonts w:hint="eastAsia"/>
          <w:color w:val="000000"/>
          <w:szCs w:val="24"/>
        </w:rPr>
        <w:t>最廣義：</w:t>
      </w:r>
      <w:r w:rsidRPr="00256175">
        <w:rPr>
          <w:rFonts w:hint="eastAsia"/>
          <w:color w:val="000000"/>
          <w:szCs w:val="24"/>
        </w:rPr>
        <w:t>只要在議場中發言均屬於言論免責權範圍</w:t>
      </w:r>
    </w:p>
    <w:p w:rsidR="00256175" w:rsidRDefault="00256175">
      <w:pPr>
        <w:rPr>
          <w:rFonts w:hint="eastAsia"/>
          <w:color w:val="000000"/>
          <w:szCs w:val="24"/>
        </w:rPr>
      </w:pPr>
      <w:r>
        <w:rPr>
          <w:rFonts w:hint="eastAsia"/>
          <w:color w:val="000000"/>
          <w:szCs w:val="24"/>
        </w:rPr>
        <w:t>現今多指</w:t>
      </w:r>
      <w:proofErr w:type="gramStart"/>
      <w:r>
        <w:rPr>
          <w:rFonts w:hint="eastAsia"/>
          <w:color w:val="000000"/>
          <w:szCs w:val="24"/>
        </w:rPr>
        <w:t>最</w:t>
      </w:r>
      <w:proofErr w:type="gramEnd"/>
      <w:r>
        <w:rPr>
          <w:rFonts w:hint="eastAsia"/>
          <w:color w:val="000000"/>
          <w:szCs w:val="24"/>
        </w:rPr>
        <w:t>廣義，但也最具爭議</w:t>
      </w:r>
    </w:p>
    <w:p w:rsidR="00784664" w:rsidRDefault="00784664">
      <w:pPr>
        <w:rPr>
          <w:rFonts w:hint="eastAsia"/>
          <w:color w:val="000000"/>
          <w:szCs w:val="24"/>
        </w:rPr>
      </w:pPr>
    </w:p>
    <w:p w:rsidR="00784664" w:rsidRDefault="00784664">
      <w:pPr>
        <w:rPr>
          <w:rFonts w:hint="eastAsia"/>
          <w:color w:val="000000"/>
          <w:szCs w:val="24"/>
        </w:rPr>
      </w:pPr>
      <w:r>
        <w:rPr>
          <w:rFonts w:hint="eastAsia"/>
          <w:color w:val="000000"/>
          <w:szCs w:val="24"/>
        </w:rPr>
        <w:t>對於言論免責權之規範：</w:t>
      </w:r>
    </w:p>
    <w:p w:rsidR="00000000" w:rsidRPr="00755236" w:rsidRDefault="00755236" w:rsidP="00755236">
      <w:pPr>
        <w:rPr>
          <w:color w:val="000000"/>
          <w:szCs w:val="24"/>
        </w:rPr>
      </w:pPr>
      <w:r w:rsidRPr="00755236">
        <w:rPr>
          <w:rFonts w:hint="eastAsia"/>
          <w:color w:val="000000"/>
          <w:szCs w:val="24"/>
        </w:rPr>
        <w:t>因屬憲法規範，基本上為帝王條款</w:t>
      </w:r>
    </w:p>
    <w:p w:rsidR="00755236" w:rsidRPr="00755236" w:rsidRDefault="00755236">
      <w:pPr>
        <w:rPr>
          <w:rFonts w:hint="eastAsia"/>
          <w:color w:val="000000"/>
          <w:szCs w:val="24"/>
        </w:rPr>
      </w:pPr>
      <w:r w:rsidRPr="00755236">
        <w:rPr>
          <w:rFonts w:hint="eastAsia"/>
          <w:color w:val="000000"/>
          <w:szCs w:val="24"/>
        </w:rPr>
        <w:t>但依據憲法第</w:t>
      </w:r>
      <w:r w:rsidRPr="00755236">
        <w:rPr>
          <w:color w:val="000000"/>
          <w:szCs w:val="24"/>
        </w:rPr>
        <w:t>23</w:t>
      </w:r>
      <w:r w:rsidRPr="00755236">
        <w:rPr>
          <w:rFonts w:hint="eastAsia"/>
          <w:color w:val="000000"/>
          <w:szCs w:val="24"/>
        </w:rPr>
        <w:t>條比例原則之規範，訂定「立法委員行為法」加以限制</w:t>
      </w:r>
      <w:bookmarkStart w:id="0" w:name="_GoBack"/>
      <w:bookmarkEnd w:id="0"/>
    </w:p>
    <w:p w:rsidR="00784664" w:rsidRDefault="00784664">
      <w:pPr>
        <w:rPr>
          <w:rFonts w:hint="eastAsia"/>
          <w:color w:val="000000"/>
          <w:szCs w:val="24"/>
        </w:rPr>
      </w:pPr>
      <w:r w:rsidRPr="00784664">
        <w:rPr>
          <w:rFonts w:hint="eastAsia"/>
          <w:color w:val="000000"/>
          <w:szCs w:val="24"/>
        </w:rPr>
        <w:t>「立法委員行為法」第</w:t>
      </w:r>
      <w:r w:rsidRPr="00784664">
        <w:rPr>
          <w:rFonts w:hint="eastAsia"/>
          <w:color w:val="000000"/>
          <w:szCs w:val="24"/>
        </w:rPr>
        <w:t>7</w:t>
      </w:r>
      <w:r w:rsidRPr="00784664">
        <w:rPr>
          <w:rFonts w:hint="eastAsia"/>
          <w:color w:val="000000"/>
          <w:szCs w:val="24"/>
        </w:rPr>
        <w:t>條</w:t>
      </w:r>
      <w:r w:rsidRPr="00784664">
        <w:rPr>
          <w:rFonts w:hint="eastAsia"/>
          <w:color w:val="000000"/>
          <w:szCs w:val="24"/>
        </w:rPr>
        <w:t>：</w:t>
      </w:r>
    </w:p>
    <w:p w:rsidR="00784664" w:rsidRDefault="00784664">
      <w:pPr>
        <w:rPr>
          <w:rFonts w:hint="eastAsia"/>
          <w:color w:val="000000"/>
          <w:szCs w:val="24"/>
        </w:rPr>
      </w:pPr>
      <w:r w:rsidRPr="00784664">
        <w:rPr>
          <w:rFonts w:hint="eastAsia"/>
          <w:color w:val="000000"/>
          <w:szCs w:val="24"/>
        </w:rPr>
        <w:t>二、辱罵或涉及人身攻擊之言詞</w:t>
      </w:r>
    </w:p>
    <w:p w:rsidR="00784664" w:rsidRDefault="00784664">
      <w:pPr>
        <w:rPr>
          <w:rFonts w:hint="eastAsia"/>
          <w:color w:val="000000"/>
          <w:szCs w:val="24"/>
        </w:rPr>
      </w:pPr>
      <w:r w:rsidRPr="00784664">
        <w:rPr>
          <w:rFonts w:hint="eastAsia"/>
          <w:color w:val="000000"/>
          <w:szCs w:val="24"/>
        </w:rPr>
        <w:t>四、未得主席同意，干擾他人發言而不聽制止；脅迫他人為議事之作為或不作為十、其他違反委員應共同遵守之規章等限制，違反者主席得依同條第二項規定將</w:t>
      </w:r>
      <w:proofErr w:type="gramStart"/>
      <w:r w:rsidRPr="00784664">
        <w:rPr>
          <w:rFonts w:hint="eastAsia"/>
          <w:color w:val="000000"/>
          <w:szCs w:val="24"/>
        </w:rPr>
        <w:t>該違反之</w:t>
      </w:r>
      <w:proofErr w:type="gramEnd"/>
      <w:r w:rsidRPr="00784664">
        <w:rPr>
          <w:rFonts w:hint="eastAsia"/>
          <w:color w:val="000000"/>
          <w:szCs w:val="24"/>
        </w:rPr>
        <w:t>立法委員交</w:t>
      </w:r>
      <w:r w:rsidRPr="00784664">
        <w:rPr>
          <w:rFonts w:hint="eastAsia"/>
          <w:b/>
          <w:color w:val="000000"/>
          <w:szCs w:val="24"/>
        </w:rPr>
        <w:t>紀律委員會</w:t>
      </w:r>
      <w:r w:rsidRPr="00784664">
        <w:rPr>
          <w:rFonts w:hint="eastAsia"/>
          <w:color w:val="000000"/>
          <w:szCs w:val="24"/>
        </w:rPr>
        <w:t>議處。</w:t>
      </w:r>
    </w:p>
    <w:p w:rsidR="00784664" w:rsidRDefault="00784664">
      <w:pPr>
        <w:rPr>
          <w:rFonts w:hint="eastAsia"/>
          <w:b/>
          <w:color w:val="000000"/>
          <w:szCs w:val="24"/>
        </w:rPr>
      </w:pPr>
    </w:p>
    <w:p w:rsidR="00784664" w:rsidRPr="00784664" w:rsidRDefault="00784664">
      <w:pPr>
        <w:rPr>
          <w:szCs w:val="24"/>
        </w:rPr>
      </w:pPr>
      <w:r w:rsidRPr="00784664">
        <w:rPr>
          <w:rFonts w:hint="eastAsia"/>
          <w:color w:val="000000"/>
          <w:szCs w:val="24"/>
        </w:rPr>
        <w:t>紀律委員會</w:t>
      </w:r>
      <w:r>
        <w:rPr>
          <w:rFonts w:hint="eastAsia"/>
          <w:color w:val="000000"/>
          <w:szCs w:val="24"/>
        </w:rPr>
        <w:t>能針對立委不當發言之案件進行審理，也只有此時立委才會喪失其言論免責權。</w:t>
      </w:r>
    </w:p>
    <w:sectPr w:rsidR="00784664" w:rsidRPr="007846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75A2C"/>
    <w:multiLevelType w:val="hybridMultilevel"/>
    <w:tmpl w:val="49082354"/>
    <w:lvl w:ilvl="0" w:tplc="97D4187C">
      <w:start w:val="1"/>
      <w:numFmt w:val="bullet"/>
      <w:lvlText w:val="•"/>
      <w:lvlJc w:val="left"/>
      <w:pPr>
        <w:tabs>
          <w:tab w:val="num" w:pos="720"/>
        </w:tabs>
        <w:ind w:left="720" w:hanging="360"/>
      </w:pPr>
      <w:rPr>
        <w:rFonts w:ascii="Arial" w:hAnsi="Arial" w:hint="default"/>
      </w:rPr>
    </w:lvl>
    <w:lvl w:ilvl="1" w:tplc="BA60978C" w:tentative="1">
      <w:start w:val="1"/>
      <w:numFmt w:val="bullet"/>
      <w:lvlText w:val="•"/>
      <w:lvlJc w:val="left"/>
      <w:pPr>
        <w:tabs>
          <w:tab w:val="num" w:pos="1440"/>
        </w:tabs>
        <w:ind w:left="1440" w:hanging="360"/>
      </w:pPr>
      <w:rPr>
        <w:rFonts w:ascii="Arial" w:hAnsi="Arial" w:hint="default"/>
      </w:rPr>
    </w:lvl>
    <w:lvl w:ilvl="2" w:tplc="3ABA503E" w:tentative="1">
      <w:start w:val="1"/>
      <w:numFmt w:val="bullet"/>
      <w:lvlText w:val="•"/>
      <w:lvlJc w:val="left"/>
      <w:pPr>
        <w:tabs>
          <w:tab w:val="num" w:pos="2160"/>
        </w:tabs>
        <w:ind w:left="2160" w:hanging="360"/>
      </w:pPr>
      <w:rPr>
        <w:rFonts w:ascii="Arial" w:hAnsi="Arial" w:hint="default"/>
      </w:rPr>
    </w:lvl>
    <w:lvl w:ilvl="3" w:tplc="E83E35CC" w:tentative="1">
      <w:start w:val="1"/>
      <w:numFmt w:val="bullet"/>
      <w:lvlText w:val="•"/>
      <w:lvlJc w:val="left"/>
      <w:pPr>
        <w:tabs>
          <w:tab w:val="num" w:pos="2880"/>
        </w:tabs>
        <w:ind w:left="2880" w:hanging="360"/>
      </w:pPr>
      <w:rPr>
        <w:rFonts w:ascii="Arial" w:hAnsi="Arial" w:hint="default"/>
      </w:rPr>
    </w:lvl>
    <w:lvl w:ilvl="4" w:tplc="5F1664CA" w:tentative="1">
      <w:start w:val="1"/>
      <w:numFmt w:val="bullet"/>
      <w:lvlText w:val="•"/>
      <w:lvlJc w:val="left"/>
      <w:pPr>
        <w:tabs>
          <w:tab w:val="num" w:pos="3600"/>
        </w:tabs>
        <w:ind w:left="3600" w:hanging="360"/>
      </w:pPr>
      <w:rPr>
        <w:rFonts w:ascii="Arial" w:hAnsi="Arial" w:hint="default"/>
      </w:rPr>
    </w:lvl>
    <w:lvl w:ilvl="5" w:tplc="218A01DE" w:tentative="1">
      <w:start w:val="1"/>
      <w:numFmt w:val="bullet"/>
      <w:lvlText w:val="•"/>
      <w:lvlJc w:val="left"/>
      <w:pPr>
        <w:tabs>
          <w:tab w:val="num" w:pos="4320"/>
        </w:tabs>
        <w:ind w:left="4320" w:hanging="360"/>
      </w:pPr>
      <w:rPr>
        <w:rFonts w:ascii="Arial" w:hAnsi="Arial" w:hint="default"/>
      </w:rPr>
    </w:lvl>
    <w:lvl w:ilvl="6" w:tplc="EAEAD50E" w:tentative="1">
      <w:start w:val="1"/>
      <w:numFmt w:val="bullet"/>
      <w:lvlText w:val="•"/>
      <w:lvlJc w:val="left"/>
      <w:pPr>
        <w:tabs>
          <w:tab w:val="num" w:pos="5040"/>
        </w:tabs>
        <w:ind w:left="5040" w:hanging="360"/>
      </w:pPr>
      <w:rPr>
        <w:rFonts w:ascii="Arial" w:hAnsi="Arial" w:hint="default"/>
      </w:rPr>
    </w:lvl>
    <w:lvl w:ilvl="7" w:tplc="F140BF3E" w:tentative="1">
      <w:start w:val="1"/>
      <w:numFmt w:val="bullet"/>
      <w:lvlText w:val="•"/>
      <w:lvlJc w:val="left"/>
      <w:pPr>
        <w:tabs>
          <w:tab w:val="num" w:pos="5760"/>
        </w:tabs>
        <w:ind w:left="5760" w:hanging="360"/>
      </w:pPr>
      <w:rPr>
        <w:rFonts w:ascii="Arial" w:hAnsi="Arial" w:hint="default"/>
      </w:rPr>
    </w:lvl>
    <w:lvl w:ilvl="8" w:tplc="30AA597E" w:tentative="1">
      <w:start w:val="1"/>
      <w:numFmt w:val="bullet"/>
      <w:lvlText w:val="•"/>
      <w:lvlJc w:val="left"/>
      <w:pPr>
        <w:tabs>
          <w:tab w:val="num" w:pos="6480"/>
        </w:tabs>
        <w:ind w:left="6480" w:hanging="360"/>
      </w:pPr>
      <w:rPr>
        <w:rFonts w:ascii="Arial" w:hAnsi="Arial" w:hint="default"/>
      </w:rPr>
    </w:lvl>
  </w:abstractNum>
  <w:abstractNum w:abstractNumId="1">
    <w:nsid w:val="6F01540A"/>
    <w:multiLevelType w:val="hybridMultilevel"/>
    <w:tmpl w:val="92DC759E"/>
    <w:lvl w:ilvl="0" w:tplc="AA5881CA">
      <w:start w:val="1"/>
      <w:numFmt w:val="bullet"/>
      <w:lvlText w:val="•"/>
      <w:lvlJc w:val="left"/>
      <w:pPr>
        <w:tabs>
          <w:tab w:val="num" w:pos="720"/>
        </w:tabs>
        <w:ind w:left="720" w:hanging="360"/>
      </w:pPr>
      <w:rPr>
        <w:rFonts w:ascii="Arial" w:hAnsi="Arial" w:hint="default"/>
      </w:rPr>
    </w:lvl>
    <w:lvl w:ilvl="1" w:tplc="B4440B78" w:tentative="1">
      <w:start w:val="1"/>
      <w:numFmt w:val="bullet"/>
      <w:lvlText w:val="•"/>
      <w:lvlJc w:val="left"/>
      <w:pPr>
        <w:tabs>
          <w:tab w:val="num" w:pos="1440"/>
        </w:tabs>
        <w:ind w:left="1440" w:hanging="360"/>
      </w:pPr>
      <w:rPr>
        <w:rFonts w:ascii="Arial" w:hAnsi="Arial" w:hint="default"/>
      </w:rPr>
    </w:lvl>
    <w:lvl w:ilvl="2" w:tplc="76E6F2DC" w:tentative="1">
      <w:start w:val="1"/>
      <w:numFmt w:val="bullet"/>
      <w:lvlText w:val="•"/>
      <w:lvlJc w:val="left"/>
      <w:pPr>
        <w:tabs>
          <w:tab w:val="num" w:pos="2160"/>
        </w:tabs>
        <w:ind w:left="2160" w:hanging="360"/>
      </w:pPr>
      <w:rPr>
        <w:rFonts w:ascii="Arial" w:hAnsi="Arial" w:hint="default"/>
      </w:rPr>
    </w:lvl>
    <w:lvl w:ilvl="3" w:tplc="64881AF8" w:tentative="1">
      <w:start w:val="1"/>
      <w:numFmt w:val="bullet"/>
      <w:lvlText w:val="•"/>
      <w:lvlJc w:val="left"/>
      <w:pPr>
        <w:tabs>
          <w:tab w:val="num" w:pos="2880"/>
        </w:tabs>
        <w:ind w:left="2880" w:hanging="360"/>
      </w:pPr>
      <w:rPr>
        <w:rFonts w:ascii="Arial" w:hAnsi="Arial" w:hint="default"/>
      </w:rPr>
    </w:lvl>
    <w:lvl w:ilvl="4" w:tplc="DBA62A04" w:tentative="1">
      <w:start w:val="1"/>
      <w:numFmt w:val="bullet"/>
      <w:lvlText w:val="•"/>
      <w:lvlJc w:val="left"/>
      <w:pPr>
        <w:tabs>
          <w:tab w:val="num" w:pos="3600"/>
        </w:tabs>
        <w:ind w:left="3600" w:hanging="360"/>
      </w:pPr>
      <w:rPr>
        <w:rFonts w:ascii="Arial" w:hAnsi="Arial" w:hint="default"/>
      </w:rPr>
    </w:lvl>
    <w:lvl w:ilvl="5" w:tplc="3BC6A6DC" w:tentative="1">
      <w:start w:val="1"/>
      <w:numFmt w:val="bullet"/>
      <w:lvlText w:val="•"/>
      <w:lvlJc w:val="left"/>
      <w:pPr>
        <w:tabs>
          <w:tab w:val="num" w:pos="4320"/>
        </w:tabs>
        <w:ind w:left="4320" w:hanging="360"/>
      </w:pPr>
      <w:rPr>
        <w:rFonts w:ascii="Arial" w:hAnsi="Arial" w:hint="default"/>
      </w:rPr>
    </w:lvl>
    <w:lvl w:ilvl="6" w:tplc="E7AE8370" w:tentative="1">
      <w:start w:val="1"/>
      <w:numFmt w:val="bullet"/>
      <w:lvlText w:val="•"/>
      <w:lvlJc w:val="left"/>
      <w:pPr>
        <w:tabs>
          <w:tab w:val="num" w:pos="5040"/>
        </w:tabs>
        <w:ind w:left="5040" w:hanging="360"/>
      </w:pPr>
      <w:rPr>
        <w:rFonts w:ascii="Arial" w:hAnsi="Arial" w:hint="default"/>
      </w:rPr>
    </w:lvl>
    <w:lvl w:ilvl="7" w:tplc="FEAE1562" w:tentative="1">
      <w:start w:val="1"/>
      <w:numFmt w:val="bullet"/>
      <w:lvlText w:val="•"/>
      <w:lvlJc w:val="left"/>
      <w:pPr>
        <w:tabs>
          <w:tab w:val="num" w:pos="5760"/>
        </w:tabs>
        <w:ind w:left="5760" w:hanging="360"/>
      </w:pPr>
      <w:rPr>
        <w:rFonts w:ascii="Arial" w:hAnsi="Arial" w:hint="default"/>
      </w:rPr>
    </w:lvl>
    <w:lvl w:ilvl="8" w:tplc="CA7EE5D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529"/>
    <w:rsid w:val="000443CF"/>
    <w:rsid w:val="000D5529"/>
    <w:rsid w:val="00256175"/>
    <w:rsid w:val="00755236"/>
    <w:rsid w:val="00784664"/>
    <w:rsid w:val="00C05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089231">
      <w:bodyDiv w:val="1"/>
      <w:marLeft w:val="0"/>
      <w:marRight w:val="0"/>
      <w:marTop w:val="0"/>
      <w:marBottom w:val="0"/>
      <w:divBdr>
        <w:top w:val="none" w:sz="0" w:space="0" w:color="auto"/>
        <w:left w:val="none" w:sz="0" w:space="0" w:color="auto"/>
        <w:bottom w:val="none" w:sz="0" w:space="0" w:color="auto"/>
        <w:right w:val="none" w:sz="0" w:space="0" w:color="auto"/>
      </w:divBdr>
      <w:divsChild>
        <w:div w:id="761528786">
          <w:marLeft w:val="547"/>
          <w:marRight w:val="0"/>
          <w:marTop w:val="154"/>
          <w:marBottom w:val="0"/>
          <w:divBdr>
            <w:top w:val="none" w:sz="0" w:space="0" w:color="auto"/>
            <w:left w:val="none" w:sz="0" w:space="0" w:color="auto"/>
            <w:bottom w:val="none" w:sz="0" w:space="0" w:color="auto"/>
            <w:right w:val="none" w:sz="0" w:space="0" w:color="auto"/>
          </w:divBdr>
        </w:div>
      </w:divsChild>
    </w:div>
    <w:div w:id="1743942617">
      <w:bodyDiv w:val="1"/>
      <w:marLeft w:val="0"/>
      <w:marRight w:val="0"/>
      <w:marTop w:val="0"/>
      <w:marBottom w:val="0"/>
      <w:divBdr>
        <w:top w:val="none" w:sz="0" w:space="0" w:color="auto"/>
        <w:left w:val="none" w:sz="0" w:space="0" w:color="auto"/>
        <w:bottom w:val="none" w:sz="0" w:space="0" w:color="auto"/>
        <w:right w:val="none" w:sz="0" w:space="0" w:color="auto"/>
      </w:divBdr>
      <w:divsChild>
        <w:div w:id="111243591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YCLiu</dc:creator>
  <cp:lastModifiedBy>YCLiu</cp:lastModifiedBy>
  <cp:revision>2</cp:revision>
  <dcterms:created xsi:type="dcterms:W3CDTF">2015-01-07T12:42:00Z</dcterms:created>
  <dcterms:modified xsi:type="dcterms:W3CDTF">2015-01-07T13:26:00Z</dcterms:modified>
</cp:coreProperties>
</file>