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b/>
          <w:sz w:val="48"/>
        </w:rPr>
        <w:t>新生研讨课报告</w:t>
      </w:r>
    </w:p>
    <w:p>
      <w:pPr>
        <w:pStyle w:val="Heading2"/>
      </w:pPr>
      <w:r>
        <w:rPr>
          <w:rFonts w:ascii="仿宋" w:hAnsi="仿宋" w:eastAsia="仿宋"/>
          <w:b/>
          <w:sz w:val="32"/>
        </w:rPr>
        <w:t>报告一</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全球</w:t>
            </w:r>
          </w:p>
        </w:tc>
        <w:tc>
          <w:tcPr>
            <w:tcW w:type="dxa" w:w="1440"/>
          </w:tcPr>
          <w:p>
            <w:r>
              <w:t>全球</w:t>
            </w:r>
          </w:p>
        </w:tc>
        <w:tc>
          <w:tcPr>
            <w:tcW w:type="dxa" w:w="1440"/>
          </w:tcPr>
          <w:p>
            <w:r>
              <w:t>全球</w:t>
            </w:r>
          </w:p>
        </w:tc>
        <w:tc>
          <w:tcPr>
            <w:tcW w:type="dxa" w:w="1440"/>
          </w:tcPr>
          <w:p>
            <w:r>
              <w:t>发展</w:t>
            </w:r>
          </w:p>
        </w:tc>
        <w:tc>
          <w:tcPr>
            <w:tcW w:type="dxa" w:w="1440"/>
          </w:tcPr>
          <w:p>
            <w:r>
              <w:t>发展</w:t>
            </w:r>
          </w:p>
        </w:tc>
        <w:tc>
          <w:tcPr>
            <w:tcW w:type="dxa" w:w="1440"/>
          </w:tcPr>
          <w:p>
            <w:r>
              <w:t>发展</w:t>
            </w:r>
          </w:p>
        </w:tc>
      </w:tr>
      <w:tr>
        <w:tc>
          <w:tcPr>
            <w:tcW w:type="dxa" w:w="1440"/>
          </w:tcPr>
          <w:p>
            <w:r>
              <w:t>全球</w:t>
            </w:r>
          </w:p>
        </w:tc>
        <w:tc>
          <w:tcPr>
            <w:tcW w:type="dxa" w:w="1440"/>
          </w:tcPr>
          <w:p>
            <w:r>
              <w:t>全球</w:t>
            </w:r>
          </w:p>
        </w:tc>
        <w:tc>
          <w:tcPr>
            <w:tcW w:type="dxa" w:w="1440"/>
          </w:tcPr>
          <w:p>
            <w:r>
              <w:t>全球</w:t>
            </w:r>
          </w:p>
        </w:tc>
        <w:tc>
          <w:tcPr>
            <w:tcW w:type="dxa" w:w="1440"/>
          </w:tcPr>
          <w:p>
            <w:r>
              <w:t>发展</w:t>
            </w:r>
          </w:p>
        </w:tc>
        <w:tc>
          <w:tcPr>
            <w:tcW w:type="dxa" w:w="1440"/>
          </w:tcPr>
          <w:p>
            <w:r>
              <w:t>发展</w:t>
            </w:r>
          </w:p>
        </w:tc>
        <w:tc>
          <w:tcPr>
            <w:tcW w:type="dxa" w:w="1440"/>
          </w:tcPr>
          <w:p>
            <w:r>
              <w:t>发展</w:t>
            </w:r>
          </w:p>
        </w:tc>
      </w:tr>
      <w:tr>
        <w:tc>
          <w:tcPr>
            <w:tcW w:type="dxa" w:w="1440"/>
          </w:tcPr>
          <w:p>
            <w:r>
              <w:t>全球</w:t>
            </w:r>
          </w:p>
        </w:tc>
        <w:tc>
          <w:tcPr>
            <w:tcW w:type="dxa" w:w="1440"/>
          </w:tcPr>
          <w:p>
            <w:r>
              <w:t>全球</w:t>
            </w:r>
          </w:p>
        </w:tc>
        <w:tc>
          <w:tcPr>
            <w:tcW w:type="dxa" w:w="1440"/>
          </w:tcPr>
          <w:p>
            <w:r>
              <w:t>全球</w:t>
            </w:r>
          </w:p>
        </w:tc>
        <w:tc>
          <w:tcPr>
            <w:tcW w:type="dxa" w:w="1440"/>
          </w:tcPr>
          <w:p>
            <w:r>
              <w:t>发展</w:t>
            </w:r>
          </w:p>
        </w:tc>
        <w:tc>
          <w:tcPr>
            <w:tcW w:type="dxa" w:w="1440"/>
          </w:tcPr>
          <w:p>
            <w:r>
              <w:t>发展</w:t>
            </w:r>
          </w:p>
        </w:tc>
        <w:tc>
          <w:tcPr>
            <w:tcW w:type="dxa" w:w="1440"/>
          </w:tcPr>
          <w:p>
            <w:r>
              <w:t>发展</w:t>
            </w:r>
          </w:p>
        </w:tc>
      </w:tr>
      <w:tr>
        <w:tc>
          <w:tcPr>
            <w:tcW w:type="dxa" w:w="1440"/>
          </w:tcPr>
          <w:p>
            <w:r>
              <w:t>全球</w:t>
            </w:r>
          </w:p>
        </w:tc>
        <w:tc>
          <w:tcPr>
            <w:tcW w:type="dxa" w:w="1440"/>
          </w:tcPr>
          <w:p>
            <w:r>
              <w:t>全球</w:t>
            </w:r>
          </w:p>
        </w:tc>
        <w:tc>
          <w:tcPr>
            <w:tcW w:type="dxa" w:w="1440"/>
          </w:tcPr>
          <w:p>
            <w:r>
              <w:t>全球</w:t>
            </w:r>
          </w:p>
        </w:tc>
        <w:tc>
          <w:tcPr>
            <w:tcW w:type="dxa" w:w="1440"/>
          </w:tcPr>
          <w:p>
            <w:r>
              <w:t>发展</w:t>
            </w:r>
          </w:p>
        </w:tc>
        <w:tc>
          <w:tcPr>
            <w:tcW w:type="dxa" w:w="1440"/>
          </w:tcPr>
          <w:p>
            <w:r>
              <w:t>发展</w:t>
            </w:r>
          </w:p>
        </w:tc>
        <w:tc>
          <w:tcPr>
            <w:tcW w:type="dxa" w:w="1440"/>
          </w:tcPr>
          <w:p>
            <w:r>
              <w:t>发展</w:t>
            </w:r>
          </w:p>
        </w:tc>
      </w:tr>
      <w:tr>
        <w:tc>
          <w:tcPr>
            <w:tcW w:type="dxa" w:w="1440"/>
          </w:tcPr>
          <w:p>
            <w:r>
              <w:t>全球</w:t>
            </w:r>
          </w:p>
        </w:tc>
        <w:tc>
          <w:tcPr>
            <w:tcW w:type="dxa" w:w="1440"/>
          </w:tcPr>
          <w:p>
            <w:r>
              <w:t>全球</w:t>
            </w:r>
          </w:p>
        </w:tc>
        <w:tc>
          <w:tcPr>
            <w:tcW w:type="dxa" w:w="1440"/>
          </w:tcPr>
          <w:p>
            <w:r>
              <w:t>全球</w:t>
            </w:r>
          </w:p>
        </w:tc>
        <w:tc>
          <w:tcPr>
            <w:tcW w:type="dxa" w:w="1440"/>
          </w:tcPr>
          <w:p>
            <w:r>
              <w:t>发展</w:t>
            </w:r>
          </w:p>
        </w:tc>
        <w:tc>
          <w:tcPr>
            <w:tcW w:type="dxa" w:w="1440"/>
          </w:tcPr>
          <w:p>
            <w:r>
              <w:t>发展</w:t>
            </w:r>
          </w:p>
        </w:tc>
        <w:tc>
          <w:tcPr>
            <w:tcW w:type="dxa" w:w="1440"/>
          </w:tcPr>
          <w:p>
            <w:r>
              <w:t>发展</w:t>
            </w:r>
          </w:p>
        </w:tc>
      </w:tr>
    </w:tbl>
    <w:p>
      <w:pPr/>
    </w:p>
    <w:p>
      <w:pPr/>
      <w:r>
        <w:rPr>
          <w:rFonts w:ascii="宋体" w:hAnsi="宋体" w:eastAsia="宋体"/>
          <w:color w:val="1F1F1F"/>
          <w:sz w:val="24"/>
        </w:rPr>
        <w:t>全球通信技术的发展史，是一部从连接人到连接万物、从满足基本沟通需求到重塑社会生产力的进化史。当我们将目光聚焦于第五代移动通信技术（5G）时，会发现它所承载的历史使命远超以往任何一代技术。5G不仅是4G的速率升级，更是一场涉及无线空口、网络架构、业务模式乃至社会运行逻辑的颠覆性变革。随着全球5G网络建设从“规模部署”迈向“深度融合”，我们有必要透过繁荣的表象，深入剖析其底层的技术逻辑、在垂直行业的真实落地情况、当前面临的深层次挑战以及未来的演进路径。这不仅是对一项技术的调研，更是对数字经济时代核心引擎的一次全面审视。</w:t>
      </w:r>
    </w:p>
    <w:p>
      <w:pPr/>
      <w:r>
        <w:drawing>
          <wp:inline xmlns:a="http://schemas.openxmlformats.org/drawingml/2006/main" xmlns:pic="http://schemas.openxmlformats.org/drawingml/2006/picture">
            <wp:extent cx="5274310" cy="186880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74310" cy="1868805"/>
                    </a:xfrm>
                    <a:prstGeom prst="rect"/>
                  </pic:spPr>
                </pic:pic>
              </a:graphicData>
            </a:graphic>
          </wp:inline>
        </w:drawing>
      </w:r>
    </w:p>
    <w:p>
      <w:pPr/>
      <w:r>
        <w:rPr>
          <w:rFonts w:ascii="宋体" w:hAnsi="宋体" w:eastAsia="宋体"/>
          <w:color w:val="1F1F1F"/>
          <w:sz w:val="24"/>
        </w:rPr>
        <w:t>追根溯源，5G之所以被视为新基建之首，在于其彻底打破了传统移动通信网络的性能瓶颈，构建了eMBB（增强移动宽带）、uRLLC（超高可靠低时延通信）和mMTC（海量机器类通信）三大核心能力场景。这三者并非孤立存在，而是基于统一的新空口（NR）设计实现的灵活配置。在无线侧，大规模天线阵列技术（Massive MIMO）构成了5G容量爆发的物理基础。与4G时代主要依赖的2T2R或4T4R天线系统不同，5G基站通常配置32T32R甚至64T64R的天线阵列。这种硬件层面的质变，使得基站能够利用波束赋形技术，将原本向四周发散的信号能量聚焦成极细的波束，精准地指向用户。这不仅大幅克服了高频段信号衰减快、穿透力差的物理缺陷，更实现了空分多址（SDMA）的极致应用——在同一时间、同一频率上，基站可以同时服务多个空间位置不同的用户，从而让小区容量实现了数倍乃至数十倍的增长。正是这种底层物理层技术的突破，使得5G在C-Band（3.5GHz频段）乃至毫米波频段上能够兼顾覆盖与容量，为千行百业的数字化转型提供了坚实的物理连接基础。</w:t>
      </w:r>
    </w:p>
    <w:p>
      <w:pPr/>
      <w:r>
        <w:rPr>
          <w:rFonts w:ascii="宋体" w:hAnsi="宋体" w:eastAsia="宋体"/>
          <w:color w:val="1F1F1F"/>
          <w:sz w:val="24"/>
        </w:rPr>
        <w:t>然而，5G真正的革命性更体现在其网络架构的重构上，其中最为关键的是独立组网（SA）模式与网络切片技术的引入。在5G商用初期，为了快速抢占市场，部分运营商选择了非独立组网（NSA）模式，即利用4G核心网来管理5G基站。这种方式虽然通过了“快车道”，但无法支持5G的核心特性，如低时延和网络切片。随着产业成熟，向SA架构的全面演进已成定局。SA架构引入了服务化架构（SBA），将核心网功能拆解为模块化的服务，实现了控制面与用户面的彻底解耦。这种架构的弹性使得运营商能够像“切面包”一样，在统一的物理基础设施上切割出多个逻辑上相互隔离的虚拟网络。例如，一个用于自动驾驶的切片可以被配置为毫秒级时延和超高可靠性，而另一个用于智能水表的切片则被配置为低带宽、低功耗和大连接。这种按需定制的能力，彻底改变了过去网络“尽力而为”的单一服务模式，使得运营商能够从单纯的流量管道商转型为综合信息服务提供商。与切片技术相伴而生的是移动边缘计算（MEC）。在传统网络中，数据必须回传至数千公里外的中心机房处理，这导致的时延对于工业控制等场景是不可接受的。MEC通过将算力下沉至基站或汇聚机房，使得数据“不出园区”即可完成处理。这不仅将端到端时延降低至个位数毫秒级，更解决了企业对数据隐私安全的顾虑，成为了5G赋能垂直行业的关键抓手。</w:t>
      </w:r>
    </w:p>
    <w:p>
      <w:pPr/>
      <w:r>
        <w:rPr>
          <w:rFonts w:ascii="宋体" w:hAnsi="宋体" w:eastAsia="宋体"/>
          <w:color w:val="1F1F1F"/>
          <w:sz w:val="24"/>
        </w:rPr>
        <w:t>当我们把视角从技术原理转向应用实践，会发现5G正在经历从“样板房”向“商品房”转化的关键阵痛期与机遇期。工业互联网是目前5G应用最为深入、价值释放最为明显的领域。在传统的离散制造和流程制造中，生产线往往被复杂的工业总线和以太网线缆束缚，调整生产线如同“伤筋动骨”。5G LAN技术的出现，使得工厂内部的AGV小车、机械臂、PLC控制器能够实现无线化连接，极大地提升了生产系统的柔性。在具体的实践案例中，我们看到像钢铁行业利用5G的高带宽特性，实现了表面质检的自动化。过去，钢板表面的划痕、裂纹需要工人肉眼在高温环境下通过显微镜抽检，效率低且漏检率高。引入5G后，高清工业相机拍摄的8K图像可以实时通过5G网络上传至边缘服务器，利用AI视觉算法进行毫秒级推理，实现了全量检测，良品率大幅提升。更令人瞩使用的是5G在矿山和港口的高危场景应用。基于uRLLC特性，操作员可以坐在几百公里外的空调房内，看着高清屏幕，通过手柄精准操控井下的掘进机或港口的龙门吊。这种应用不仅极大地改善了工人的工作环境，解决了招工难问题，更通过减少人为失误提升了安全生产水平。可以说，在工业领域，5G已经不再是可有可无的“甜点”，而是正在成为生产环节中不可或缺的“水电煤”。</w:t>
      </w:r>
    </w:p>
    <w:p>
      <w:pPr/>
      <w:r>
        <w:rPr>
          <w:rFonts w:ascii="宋体" w:hAnsi="宋体" w:eastAsia="宋体"/>
          <w:color w:val="1F1F1F"/>
          <w:sz w:val="24"/>
        </w:rPr>
        <w:t>在智慧交通与车联网领域，5G C-V2X技术正在推动自动驾驶从“单车智能”向“车路协同”演进。单车智能受限于车载传感器的视距和算力，难以应对复杂的非视距场景（如鬼探头、极端天气）。而5G赋能的路侧单元（RSU）可以充当“上帝视角”，将红绿灯状态、盲区行人信息、前方事故预警等实时广播给车辆。在目前各地的智能网联示范区中，基于5G的绿波车速引导、路口防碰撞预警已经实现了常态化运行，有效提升了道路通行效率。此外，在医疗健康领域，5G打破了优质医疗资源的时空限制。虽然远程手术因涉及到伦理和极端可靠性要求，目前多处于示范阶段，但基于5G的远程超声诊断、急救车上的移动ICU已经开始落地。救护车上一上车，患者的生命体征数据和高清影像就能实时传输回医院，专家在患者抵达前即可完成诊断并制定手术方案，真正实现了“上车即入院”，为抢救生命争取了宝贵的黄金时间。</w:t>
      </w:r>
    </w:p>
    <w:p>
      <w:pPr/>
      <w:r>
        <w:rPr>
          <w:rFonts w:ascii="宋体" w:hAnsi="宋体" w:eastAsia="宋体"/>
          <w:color w:val="1F1F1F"/>
          <w:sz w:val="24"/>
        </w:rPr>
        <w:t>尽管5G展现出的应用前景令人振奋，但在深入调研中我们必须保持理性和客观，正视当前5G发展面临的巨大挑战与现实鸿沟。首当其冲的是建设与运营成本（CAPEX/OPEX）的压力。5G由于引入了Massive MIMO和高带宽处理，单基站的满载功耗是4G基站的3倍左右。同时，由于5G主流频段较高，单站覆盖半径缩小，要达到与4G相同的覆盖效果，基站密度需要大幅增加。这对于运营商而言，意味着巨额的电费支出和设备折旧压力。在消费者端流量资费很难上涨的背景下，如何降低能耗、提高网络效能成为了行业必须攻克的难题。目前，行业正在通过引入AI节能算法、采用液冷散热技术、以及推广700MHz/900MHz低频打底网来缓解这一矛盾，但根本性的解决仍需依赖高价值的B端业务规模化爆发。</w:t>
      </w:r>
    </w:p>
    <w:p>
      <w:pPr/>
      <w:r>
        <w:rPr>
          <w:rFonts w:ascii="宋体" w:hAnsi="宋体" w:eastAsia="宋体"/>
          <w:color w:val="1F1F1F"/>
          <w:sz w:val="24"/>
        </w:rPr>
        <w:t>其次，垂直行业需求的极度碎片化与电信运营商标准化服务能力的矛盾，是阻碍5G ToB业务规模化复制的最大障碍。不同于智能手机市场拥有统一的软硬件标准，工业、医疗、电力等行业的需求千差万别。钢铁厂需要的是耐高温、抗干扰和超大上行带宽；电力行业需要的是高精度的授时和超高可靠性；而物流行业关注的则是广覆盖和低成本的定位能力。目前的现状是，做一个5G行业应用项目，往往需要大量的定制化开发、驻场调优和复杂的系统集成，边际成本极高，难以像卖SIM卡那样简单复制。这导致许多5G应用仍停留在“盆景”阶段，好看但难以形成“风景”。解决这一问题的关键在于抽象出通用的原子能力，将“定制装修”转变为“模块化组装”，通过中间件和平台层屏蔽底层的复杂性，但这需要通信行业与垂直行业长时间的磨合与深度理解。</w:t>
      </w:r>
    </w:p>
    <w:p>
      <w:pPr/>
      <w:r>
        <w:rPr>
          <w:rFonts w:ascii="宋体" w:hAnsi="宋体" w:eastAsia="宋体"/>
          <w:color w:val="1F1F1F"/>
          <w:sz w:val="24"/>
        </w:rPr>
        <w:t>此外，关于“杀手级应用”的缺失，实际上反映了技术发展与生态构建的时间差。公众和资本市场往往期待5G能迅速带来像当年移动互联网那样的爆发式增长，但5G本质上是实体经济数字化的基础设施，其价值释放周期远长于消费互联网。目前的尴尬在于，网络能力已经准备好了，但终端和内容生态尚未对齐。以XR（扩展现实）为例，虽然5G提供了高带宽和低时延，但轻量化、低成本、长续航的XR终端尚未普及，高质量的3D沉浸式内容制作成本依然高昂。这种“网强端弱”的局面导致5G的高性能在很多时候处于“空转”状态，用户感知不强。这需要产业链上下游协同发力，芯片厂商、终端厂商、内容创作者需要共同填补这一生态短板。</w:t>
      </w:r>
    </w:p>
    <w:p>
      <w:pPr/>
      <w:r>
        <w:rPr>
          <w:rFonts w:ascii="宋体" w:hAnsi="宋体" w:eastAsia="宋体"/>
          <w:color w:val="1F1F1F"/>
          <w:sz w:val="24"/>
        </w:rPr>
        <w:t>面对挑战，技术演进的脚步从未停歇。当前，5G正在向5.5G（5G-Advanced）迈进，这不仅是速率的提升，更是功能的升维。5G-Advanced提出的“万兆下行、千兆上行、千亿联接、内生智能”四大目标，精准地回应了当前的产业痛点。例如，针对物联网碎片化问题，5G-Advanced引入了RedCap（轻量化5G）技术。通过裁剪不必要的频宽和天线数量，RedCap大幅降低了模组成本和功耗，使得5G能够以更具性价比的方式进入可穿戴设备、工业传感器和视频监控领域，填补了高性能5G与低速NB-IoT之间的巨大的中速市场空白。针对物流仓储等场景，5G-Advanced正在探索“无源物联”（Passive IoT）技术，利用环境背向散射原理，使得物流标签无需电池即可被网络感知，这将彻底改变供应链管理的透明度，实现真正的“万物智联”。</w:t>
      </w:r>
    </w:p>
    <w:p>
      <w:pPr/>
      <w:r>
        <w:rPr>
          <w:rFonts w:ascii="宋体" w:hAnsi="宋体" w:eastAsia="宋体"/>
          <w:color w:val="1F1F1F"/>
          <w:sz w:val="24"/>
        </w:rPr>
        <w:t>更具前瞻性的演进方向是“通感一体化”。未来的基站将不再仅仅是通信设备，还将具备雷达感知功能。利用毫米波等高频段信号，通信网络可以像雷达一样精确感知低空无人机、道路车辆甚至行人的位置和速度。这种能力使得通信网络摇身一变成为巨大的分布式传感器网络，为低空经济安全、自动驾驶辅助提供了无需额外部署雷达的低成本感知方案。同时，随着AI技术的爆发，未来的5G网络将实现“内生智能”（Native AI）。不同于现在将AI作为外挂式的优化工具，未来的空口调度、网络切片编排、故障自愈都将由AI深度驱动。通过机器学习预测流量潮汐，动态调整天线波束和基站休眠策略，将从根本上解决网络复杂度和能耗问题，实现网络性能与能效的最优平衡。此外，天地一体化网络（NTN）的融合，将卫星通信纳入5G标准体系，旨在解决海洋、沙漠、深山等地面基站难以覆盖区域的通信难题，真正实现地球表面的无缝覆盖。</w:t>
      </w:r>
    </w:p>
    <w:p>
      <w:pPr/>
      <w:r>
        <w:rPr>
          <w:rFonts w:ascii="宋体" w:hAnsi="宋体" w:eastAsia="宋体"/>
          <w:color w:val="1F1F1F"/>
          <w:sz w:val="24"/>
        </w:rPr>
        <w:t>5G技术的发展绝非一蹴而就的短跑，而是一场漫长且充满挑战的马拉松。我们不能仅仅因为当前的成本压力或应用探索期的迷茫而否定其战略价值。作为数字经济的底座，5G正在以一种“润物细无声”的方式，深入到实体经济的毛细血管中。从工厂车间的机器互联，到城市交通的智能调度，再到远程医疗的生命接力，5G正在逐步兑现其改变社会的承诺。未来的5G，将不再是一个单纯的管道，而是一个集通信、感知、计算、智能于一体的综合信息服务平台。它将打通物理世界与数字世界的壁垒，为人工智能、大数据、云计算等技术提供无处不在的连接与数据入口。随着5G-Advanced技术的成熟、RedCap等低成本方案的普及以及垂直行业生态的逐步完善，5G将在降本增效中找到新的平衡点。我们有理由相信，在度过导入期的阵痛后，5G将迎来价值爆发的黄金时代，推动人类社会真正迈入万物互联、智能高效的全新纪元。这不仅是技术的胜利，更是产业协同与长期主义的胜利。</w:t>
      </w:r>
    </w:p>
    <w:p>
      <w:pPr>
        <w:pStyle w:val="Heading2"/>
      </w:pPr>
      <w:r>
        <w:rPr>
          <w:rFonts w:ascii="仿宋" w:hAnsi="仿宋" w:eastAsia="仿宋"/>
          <w:b/>
          <w:sz w:val="32"/>
        </w:rPr>
        <w:t>报告二</w:t>
      </w:r>
    </w:p>
    <w:p>
      <w:pPr/>
      <w:r>
        <w:rPr>
          <w:rFonts w:ascii="宋体" w:hAnsi="宋体" w:eastAsia="宋体"/>
          <w:color w:val="1F1F1F"/>
          <w:sz w:val="24"/>
        </w:rPr>
        <w:t>在人工智能与物联网（AIoT）深度融合的宏大叙事中，我们往往过多地将目光聚焦于云端大模型的算力爆发或边缘计算的架构创新，却忽视了更为基础的一环——数据的源头，即感知层。如果将AIoT系统比作一个具备智慧的数字生命体，那么云计算是它的大脑，网络是它的神经，而传感器则是它的五官。长期以来，受限于成本与技术成熟度，物联网的“视力”与“触觉”长期停留在较为粗糙的阶段。传统的热释电红外传感器（PIR）虽然廉价且普及，但其“只知有人动，不知有人在”的物理缺陷，使得智能家居往往沦为“智障家居”：阅读时灯光莫名熄灭、睡觉时空调无法感知人体状态而导致冷热不均。这种体验的断层，本质上是感知精度与智能决策需求之间的错位。而在这一背景下，毫米波雷达技术，特别是60GHz频段的微动感知技术，正以一种颠覆者的姿态切入市场，试图重塑物理世界的数字化映射方式。深圳飞睿科技有限公司（以下简称“飞睿科技”）作为国内较早布局这一赛道的企业，其从5.8GHz微波雷达到24GHz再到60GHz毫米波雷达的技术跃迁路径，恰好是中国智能传感器产业从“简单存在检测”向“高维生物体征感知”进化的最佳缩影。</w:t>
      </w:r>
    </w:p>
    <w:p>
      <w:pPr/>
      <w:r>
        <w:rPr>
          <w:rFonts w:ascii="宋体" w:hAnsi="宋体" w:eastAsia="宋体"/>
          <w:color w:val="1F1F1F"/>
          <w:sz w:val="24"/>
        </w:rPr>
        <w:t>深入剖析飞睿科技的技术矩阵，我们首先需要理解为何毫米波雷达，特别是60GHz频段，成为了这一轮感知革命的核心。不同于红外传感器依赖温度差成像，毫米波雷达的工作原理基于电磁波的多普勒效应与FMCW（调频连续波）技术。当雷达波束触及物体并反射回来时，其频率与相位的微小变化携带了目标的距离、速度和角度信息。飞睿科技在这一领域的核心竞争力，在于其不仅掌握了射频前端的硬件设计能力，更构建了从底层信号处理到上层应用算法的完整闭环。特别是其主推的60GHz频段产品，相较于传统的24GHz雷达，拥有更短的波长和更宽的带宽。这在物理层面上意味着更高的距离分辨率和速度分辨率。在飞睿科技的实验室数据中，我们可以看到，60GHz雷达能够精准捕捉到人体胸腔因呼吸产生的毫米级微动。这种能力将感知的颗粒度从“动作”细化到了“生理特征”，使得机器首次具备了在非接触状态下判断人体生命体征的能力。这种技术跨越，让“静止即消失”的PIR痛点成为了历史，为真正的“无感智能”奠定了物理基础。</w:t>
      </w:r>
    </w:p>
    <w:p>
      <w:pPr/>
      <w:r>
        <w:rPr>
          <w:rFonts w:ascii="宋体" w:hAnsi="宋体" w:eastAsia="宋体"/>
          <w:color w:val="1F1F1F"/>
          <w:sz w:val="24"/>
        </w:rPr>
        <w:t>在产品生态与解决方案层面，飞睿科技并没有止步于售卖裸片，而是采取了“Turnkey”（交钥匙）式的模组化策略，这一商业逻辑深刻洞察了当前AIoT市场的碎片化痛点。对于下游的灯具厂、家电厂或安防企业而言，射频技术与雷达算法的门槛极高，直接处理原始的点云数据几乎是不可能的任务。飞睿科技通过将天线阵列、射频芯片与MCU集成，并在内部固化了人体存在感应、跌倒检测、睡眠监控等核心算法，直接向客户输出“有人/无人”、“跌倒/正常”、“呼吸频率”等结构化数据。这种策略极大地降低了毫米波雷达的落地门槛。以智能照明场景为例，飞睿科技的解决方案解决了传统感应灯“挥手亮灯”的尴尬。在办公室或书房等场景中，即便用户长时间静坐阅读或打字，雷达依然能通过捕捉头部的微小转动或胸廓的呼吸起伏，判定人员存在并保持灯光常亮。一旦人员离开，系统则能迅速做出关灯响应。这种精准的“人来灯亮，人走灯灭，人静灯不灭”的体验，正是智能家居从“被动控制”走向“主动服务”的关键一步。</w:t>
      </w:r>
    </w:p>
    <w:p>
      <w:pPr/>
      <w:r>
        <w:rPr>
          <w:rFonts w:ascii="宋体" w:hAnsi="宋体" w:eastAsia="宋体"/>
          <w:color w:val="1F1F1F"/>
          <w:sz w:val="24"/>
        </w:rPr>
        <w:t>除了智能家居，智慧养老是飞睿科技技术落地的另一大高价值高地，也是体现科技向善的典型场景。随着全球老龄化趋势的加剧，空巢老人的居家安全成为社会痛点。传统的摄像头监控虽然有效，但面临极大的隐私侵犯争议，无法部署在卧室、卫生间等高风险区域。而穿戴式设备虽然精准，但老人往往忘记佩戴或抗拒佩戴。飞睿科技的毫米波雷达方案恰好填补了这一空白。利用雷达的点云成像技术，系统可以构建出人体的姿态模型。当雷达探测到目标物体的高度在短时间内发生剧烈变化，且随后长时间处于静止状态时，算法会判定为“跌倒”并触发报警。更进一步，其高精度的生命体征监测雷达，可以安装在床头，非接触地监测老人的呼吸频率与心率变异性，甚至能识别出睡眠呼吸暂停等潜在风险。这种“去隐私化”且“无束缚”的感知方式，在养老院和居家适老化改造项目中展现出了极强的生命力，它证明了技术的高级感不仅在于性能的强悍，更在于对人性的尊重与关怀。</w:t>
      </w:r>
    </w:p>
    <w:p>
      <w:pPr/>
      <w:r>
        <w:rPr>
          <w:rFonts w:ascii="宋体" w:hAnsi="宋体" w:eastAsia="宋体"/>
          <w:color w:val="1F1F1F"/>
          <w:sz w:val="24"/>
        </w:rPr>
        <w:t>然而，在看到技术光环的同时，深入的产业调研也揭示了飞睿科技以及整个毫米波雷达行业当前面临的严峻挑战。首先是成本与性能的博弈。尽管相比于激光雷达，毫米波雷达已足够廉价，但相较于几毛钱人民币的PIR传感器，其成本依然高出数量级。在极度内卷的消费电子市场，如何让B端客户接受这部分的BOM（物料清单）成本增加，需要极强的价值教育。其次是功耗问题。毫米波雷达作为有源探测设备，其发射电磁波需要持续消耗能量，这使得它难以像PIR那样仅靠纽扣电池就能工作数年。在很多存量改造场景中，缺乏预留供电火线成为了雷达普及的“拦路虎”。飞睿科技目前正在探索低功耗工作模式，利用间歇性唤醒技术试图平衡功耗与响应速度，但这依然是一个物理层面的硬骨头。此外，环境干扰与误报率也是技术落地的“深水区”。风扇的转动、窗帘的飘动甚至宠物的活动，在雷达眼中都可能被误判为人的活动。如何通过算法过滤这些噪点，区分“人的呼吸”与“风扇的震动”，考验着飞睿科技在算法模型上的积累与迭代能力。</w:t>
      </w:r>
    </w:p>
    <w:p>
      <w:pPr/>
      <w:r>
        <w:rPr>
          <w:rFonts w:ascii="宋体" w:hAnsi="宋体" w:eastAsia="宋体"/>
          <w:color w:val="1F1F1F"/>
          <w:sz w:val="24"/>
        </w:rPr>
        <w:t>对飞睿科技及其所处赛道的独立思考，让我们看到了更深远的未来演进路径。当前的毫米波雷达大多属于1T1R（一发一收）或少量的MIMO体制，主要提供存在检测和简单的轨迹跟踪。而未来的演进方向必然是4D成像雷达。通过增加天线数量和算力，雷达将能够生成高密度的点云图，不仅能知道“有人”，还能勾勒出人的轮廓，识别出是大人还是小孩，甚至识别出手势动作。这将使得毫米波雷达具备类似低像素摄像头的空间感知能力，但依然保持不侵犯隐私的特性。届时，飞睿科技的产品形态可能会从单一的传感器进化为智能空间的“感知中枢”。</w:t>
      </w:r>
    </w:p>
    <w:p>
      <w:pPr/>
      <w:r>
        <w:rPr>
          <w:rFonts w:ascii="宋体" w:hAnsi="宋体" w:eastAsia="宋体"/>
          <w:color w:val="1F1F1F"/>
          <w:sz w:val="24"/>
        </w:rPr>
        <w:t>另一个值得关注的趋势是多传感器融合（Fusion）。雷达并非万能，它在目标分类（例如区分人和人形立牌）上不如视觉传感器。飞睿科技未来的机会可能在于推出“雷视融合”或“雷红融合”的模组，结合摄像头对物体外观的识别能力与雷达对距离、速度、隐私的保护优势，取长补短。例如，在安防领域，摄像头负责确认“是谁”，雷达负责确认“在干什么”以及在黑暗环境中保持感知，这种融合将构建出鲁棒性极高的安防体系。</w:t>
      </w:r>
    </w:p>
    <w:p>
      <w:pPr/>
      <w:r>
        <w:rPr>
          <w:rFonts w:ascii="宋体" w:hAnsi="宋体" w:eastAsia="宋体"/>
          <w:color w:val="1F1F1F"/>
          <w:sz w:val="24"/>
        </w:rPr>
        <w:t>更宏观地看，飞睿科技的发展路径也折射出传感器芯片国产化的艰辛与希望。早期，60GHz雷达芯片主要被德州仪器（TI）、英飞凌等国际巨头垄断。飞睿科技等国内厂商通过在算法层面的差异化创新和对本土应用场景（如中国复杂的家居环境、特定的养老需求）的深度适配，逐渐撕开了一道口子。它们不再仅仅是元器件的搬运工，而是开始参与到标准的制定和场景的定义中。</w:t>
      </w:r>
    </w:p>
    <w:p>
      <w:pPr/>
      <w:r>
        <w:rPr>
          <w:rFonts w:ascii="宋体" w:hAnsi="宋体" w:eastAsia="宋体"/>
          <w:color w:val="1F1F1F"/>
          <w:sz w:val="24"/>
        </w:rPr>
        <w:t>深圳飞睿科技有限公司在AIoT感知层的探索，绝非简单的硬件升级，而是一场关于机器如何理解人类、环境如何适应人类的认知革命。从5.8GHz的模糊感知到60GHz的精准体征监测，技术的每一次频率提升，都意味着数字世界对物理世界的解析精度提升了一个数量级。尽管当前面临着成本高企、功耗瓶颈及算法鲁棒性等现实挑战，但随着摩尔定律在射频领域的持续作用以及AI算法的边缘侧下沉，毫米波雷达必将成为继摄像头之后，AIoT世界的第二双“慧眼”。在这个过程中，飞睿科技凭借其在射频技术、天线设计与核心算法上的全栈积累，已然占据了身位优势。未来，当“感知-连接-智能”的闭环真正打通，我们将不再需要刻意去控制设备，因为环境本身已经足够懂你。这便是感知的终极价值，也是飞睿科技等感知层企业的星辰大海。</w:t>
      </w:r>
    </w:p>
    <w:p>
      <w:pPr>
        <w:pStyle w:val="Heading2"/>
      </w:pPr>
      <w:r>
        <w:rPr>
          <w:rFonts w:ascii="仿宋" w:hAnsi="仿宋" w:eastAsia="仿宋"/>
          <w:b/>
          <w:sz w:val="32"/>
        </w:rPr>
        <w:t>报告三</w:t>
      </w:r>
    </w:p>
    <w:p>
      <w:pPr/>
      <w:r>
        <w:rPr>
          <w:rFonts w:ascii="宋体" w:hAnsi="宋体" w:eastAsia="宋体"/>
          <w:color w:val="1F1F1F"/>
          <w:sz w:val="24"/>
        </w:rPr>
        <w:t>在生命科学宏大的图谱中，曾经被视为基因组“暗物质”的非编码RNA正在逐渐走向舞台中央。其中，MicroRNAs（miRNAs）作为一类内源性、长度约为22个核苷酸的小分子非编码RNA，虽然不直接指导蛋白质的合成，却通过碱基互补配对的方式与靶基因mRNA结合，在转录后水平上对基因表达进行精密调控。这种调控机制如同交响乐团中的指挥棒，虽然不直接发出声音，却控制着细胞增殖、分化、凋亡等核心生命活动。现代医学研究已经证实，miRNAs表达谱的异常与癌症、心血管疾病、神经退行性疾病等多种复杂病理过程高度相关，这使得miRNAs成为了极具潜力的生物标志物和治疗靶点。然而，面对人体内数以千计的miRNAs和庞大的疾病种类，传统的生物学实验验证方法，如Northern Blot或RT-PCR，虽然准确但耗时耗力，犹如大海捞针。在这一背景下，基于生物信息学与人工智能（AI）的计算预测模型应运而生，它们试图通过数据挖掘与模式识别，在庞大的生物网络中构建起miRNAs与疾病之间的隐秘关联（MDA），从而为湿实验提供高置信度的候选目标，极大地加速了从基础研究到临床转化的进程。</w:t>
      </w:r>
    </w:p>
    <w:p>
      <w:pPr/>
      <w:r>
        <w:rPr>
          <w:rFonts w:ascii="宋体" w:hAnsi="宋体" w:eastAsia="宋体"/>
          <w:color w:val="1F1F1F"/>
          <w:sz w:val="24"/>
        </w:rPr>
        <w:t>审视人工智能介入这一领域的底层逻辑，我们首先必须理解“功能相关性”假设，即功能相似的miRNAs往往与表型相似的疾病相关联。这是所有计算模型构建的基石。早期的计算方法多基于简单的网络拓扑结构或单一的数据源，但在面对生物系统固有的复杂性与噪声时显得力不从心。随着机器学习技术的引入，MDA预测从简单的统计推断进化为高维特征空间的分类与回归问题。以支持向量机（SVM）和随机森林（RF）为代表的传统机器学习算法，构成了这一领域的先通过渡力量。</w:t>
      </w:r>
    </w:p>
    <w:p>
      <w:pPr/>
      <w:r>
        <w:rPr>
          <w:rFonts w:ascii="宋体" w:hAnsi="宋体" w:eastAsia="宋体"/>
          <w:color w:val="1F1F1F"/>
          <w:sz w:val="24"/>
        </w:rPr>
        <w:t>在机器学习的视域下，预测问题通常被转化为从已知样本中学习分类边界。以支持向量机为例，研究者们通过整合miRNA序列信息、疾病语义相似性以及高斯相互作用谱核相似性，构建出复杂的特征向量。SVM通过寻找一个最优超平面，将潜在的关联与非关联样本在多维空间中进行分割。这一方法的优势在于其有着坚实的数学理论基础，特别是在小样本数据下仍能保持较好的泛化能力。例如，在处理某些罕见病与特定miRNA的关联时，SVM能够通过核技巧有效地处理非线性关系。与此同时，随机森林作为一种集成学习方法，通过构建多棵决策树并进行投票，不仅提高了预测的准确性，更重要的是提供了一定程度的特征重要性评估。这使得研究者能够反推哪些生物学特征（如miRNA的种子序列特征或疾病的特定表型描述）在关联预测中起到了决定性作用。然而，传统机器学习方法由于高度依赖人工设计的特征工程，即需要专家先验知识来提取特征，导致模型很难捕捉到深层次、抽象的生物学模式。此外，当面对海量的异构数据时，浅层模型的表达能力往往捉襟见肘，难以突破性能瓶颈。</w:t>
      </w:r>
    </w:p>
    <w:p>
      <w:pPr/>
      <w:r>
        <w:rPr>
          <w:rFonts w:ascii="宋体" w:hAnsi="宋体" w:eastAsia="宋体"/>
          <w:color w:val="1F1F1F"/>
          <w:sz w:val="24"/>
        </w:rPr>
        <w:t>深度学习技术的爆发，特别是卷积神经网络（CNN）与图神经网络（GNN）的引入，将MDA预测推向了一个全新的维度。如果说传统机器学习是在“看山是山”，那么深度学习则试图“看山不是山”，去解构数据背后隐含的拓扑结构与非线性映射。卷积神经网络最初在图像处理领域大放异彩，其平移不变性和局部感知特性被创造性地迁移到了生物序列分析中。在MDA预测中，研究者将miRNA-疾病的相互作用矩阵视为一张“图像”，利用卷积核提取局部的相互作用模式；或者将miRNA的碱基序列视为一维文本，通过一维卷积提取序列基序（Motif）特征。这种端到端的学习方式，省去了繁琐的手工特征提取过程，能够自动从原始数据中学习到更高阶的抽象表示。</w:t>
      </w:r>
    </w:p>
    <w:p>
      <w:pPr/>
      <w:r>
        <w:rPr>
          <w:rFonts w:ascii="宋体" w:hAnsi="宋体" w:eastAsia="宋体"/>
          <w:color w:val="1F1F1F"/>
          <w:sz w:val="24"/>
        </w:rPr>
        <w:t>然而，生物系统本质上是一个复杂的交互网络，而非简单的欧几里得数据结构。miRNAs、疾病、基因、环境因子之间构成了错综复杂的异构图谱。在这一背景下，图神经网络（GNN）成为了近三年该领域最耀眼的明星。GNN的核心优势在于其能够直接处理非欧几里得空间的图数据，通过消息传递机制，让图中的节点（如miRNA节点和疾病节点）聚合其邻居节点的信息，从而更新自身的特征表示。在最新的研究文献中，我们看到大量的模型开始构建“miRNA-疾病-靶基因”多层异构网络。例如，图卷积网络（GCN）和图注意力网络（GAT）被广泛应用。GAT机制引入了注意力系数，使得模型能够动态地学习不同邻居节点的重要性——比如，在预测某种癌症关联时，模型可能会自动赋予该癌症已知的其他关键miRNA邻居更高的权重。这种基于网络拓扑的特征学习，有效地解决了数据稀疏性问题。即使一个新发现的miRNA没有任何已知的疾病关联（即“冷启动”问题），GNN也可以通过其序列相似的“邻居”或共同靶向的基因网络，推断出其潜在的致病功能。</w:t>
      </w:r>
    </w:p>
    <w:p>
      <w:pPr/>
      <w:r>
        <w:rPr>
          <w:rFonts w:ascii="宋体" w:hAnsi="宋体" w:eastAsia="宋体"/>
          <w:color w:val="1F1F1F"/>
          <w:sz w:val="24"/>
        </w:rPr>
        <w:t>不仅如此，前沿的研究正在试图打破单一模态的限制，向多视图、多组学融合方向演进。最新的算法不仅仅依赖已知的MDA数据，还整合了lncRNA（长链非编码RNA）、蛋白质相互作用网络、甚至药物-靶点网络。通过对比学习（Contrastive Learning）等自监督学习范式，模型可以在无标签数据中预训练，学习到生物实体的通用表征，然后再在MDA任务上进行微调。这种迁移学习的思路，极大地提升了模型在缺乏标注数据的新型疾病上的预测能力。例如，一些基于变分自编码器（VAE）的模型，试图在潜在空间中重构miRNA和疾病的分布，从而不仅预测关联，还能预测关联的类型（如上调或下调），这标志着AI预测正在从定性的“有无”向定量的“性质”跨越。</w:t>
      </w:r>
    </w:p>
    <w:p>
      <w:pPr/>
      <w:r>
        <w:rPr>
          <w:rFonts w:ascii="宋体" w:hAnsi="宋体" w:eastAsia="宋体"/>
          <w:color w:val="1F1F1F"/>
          <w:sz w:val="24"/>
        </w:rPr>
        <w:t>尽管技术指标屡创新高，AUC（曲线下面积）值在各类论文中普遍超过0.9甚至0.95，但在深入调研与独立思考后，我们必须清醒地认识到，学术界的繁荣与临床实际应用之间仍横亘着巨大的鸿沟。当前的MDA预测领域面临着几个深层次的挑战，这不仅仅是算法层面的问题，更是生物学特性与计算科学假设之间的错位。</w:t>
      </w:r>
    </w:p>
    <w:p>
      <w:pPr/>
      <w:r>
        <w:rPr>
          <w:rFonts w:ascii="宋体" w:hAnsi="宋体" w:eastAsia="宋体"/>
          <w:color w:val="1F1F1F"/>
          <w:sz w:val="24"/>
        </w:rPr>
        <w:t>首先是严峻的数据偏差与“负样本”困境。目前主流的数据库（如HMDD）主要收录经过实验验证的阳性关联数据，而极度缺乏确定的“非关联”数据（负样本）。绝大多数算法在训练时，采用随机选取未知关联作为负样本的策略。这就引入了一个巨大的噪声风险：那些被标记为“无关联”的数据，很可能只是“尚未被发现的关联”。这种标签噪声会导致模型学习到错误的决策边界，造成大量的假阴性。虽然近期有研究尝试利用PU学习（Positive-Unlabeled Learning）或基于距离约束的负样本采样策略来缓解这一问题，但从根本上讲，只要缺乏“金标准”的负样本，模型的评估体系就始终存在系统性偏差。</w:t>
      </w:r>
    </w:p>
    <w:p>
      <w:pPr/>
      <w:r>
        <w:rPr>
          <w:rFonts w:ascii="宋体" w:hAnsi="宋体" w:eastAsia="宋体"/>
          <w:color w:val="1F1F1F"/>
          <w:sz w:val="24"/>
        </w:rPr>
        <w:t>其次是模型的可解释性危机。深度学习，尤其是深层的GNN模型，往往被视为“黑箱”。在生物医学领域，预测结果的“可信度”往往比“准确率”更重要。临床医生或生物学家需要知道，为什么算法认为这个miRNA与肺癌相关？是因为它的种子序列匹配了某个关键抑癌基因？还是因为它在网络拓扑上与已知的致病miRNA处于同一社团？当前的许多研究过分追求AUC值的微小提升，却忽视了对生物学机理的解释。缺乏可解释性的预测结果，很难指导后续的湿实验验证，也难以转化为临床诊疗的依据。未来的突破点可能在于结合知识图谱（Knowledge Graph）与逻辑推理，或者利用注意力机制的可视化，为每一个预测结果提供一条清晰的“推理路径”。</w:t>
      </w:r>
    </w:p>
    <w:p>
      <w:pPr/>
      <w:r>
        <w:rPr>
          <w:rFonts w:ascii="宋体" w:hAnsi="宋体" w:eastAsia="宋体"/>
          <w:color w:val="1F1F1F"/>
          <w:sz w:val="24"/>
        </w:rPr>
        <w:t>再者，跨数据集的泛化能力是检验算法成熟度的试金石。我们观察到，许多SOTA（State-of-the-Art）模型在同源数据集的交叉验证下表现优异，但一旦跨平台、跨物种或应用到全新的独立数据集时，性能便大幅跳水。这反映了模型可能过度拟合了特定数据集的分布偏差，而没有学习到真正的生物学规律。生物数据的异质性（Heterogeneity）——不同测序平台、不同组织来源的数据差异——是AI模型难以逾越的障碍。未来的研究必须引入更鲁棒的域适应（Domain Adaptation）技术，或者构建更加标准化、涵盖多组织多条件的大规模基准数据集。</w:t>
      </w:r>
    </w:p>
    <w:p>
      <w:pPr/>
      <w:r>
        <w:rPr>
          <w:rFonts w:ascii="宋体" w:hAnsi="宋体" w:eastAsia="宋体"/>
          <w:color w:val="1F1F1F"/>
          <w:sz w:val="24"/>
        </w:rPr>
        <w:t>最后，从技术哲学的角度思考，我们正处于从“关联预测”向“因果推断”转型的关键路口。目前的AI模型，无论是ML还是DL，本质上捕捉的都是相关性（Correlation）。然而，miRNA在疾病中既可能是致病的原因（Driver），也可能是疾病发生后的结果（Passenger）。仅凭计算得出的高相关性，无法区分因果。这对于药物靶点的开发至关重要，因为只有干预致病原因才能治疗疾病。未来的算法演进，必将融合因果推断（Causal Inference）理论，试图在复杂的生物网络中剥离混杂因子，识别出真正的致病驱动链路。</w:t>
      </w:r>
    </w:p>
    <w:p>
      <w:pPr/>
      <w:r>
        <w:rPr>
          <w:rFonts w:ascii="宋体" w:hAnsi="宋体" w:eastAsia="宋体"/>
          <w:color w:val="1F1F1F"/>
          <w:sz w:val="24"/>
        </w:rPr>
        <w:t>人工智能在miRNA-疾病关联预测中的应用，已经完成从简单的统计分析到深度特征表征的范式转变。卷积神经网络与图神经网络的兴起，让我们能够以前所未有的分辨率审视生物分子间的复杂互作。然而，算力的堆砌不能替代对生物学问题的深刻理解。未来的突破将不再单纯依赖网络层数的加深，而在于算法设计与生物学先验知识的深度融合。我们需要更干净的数据、更透明的推理过程、以及更具因果洞察力的模型架构。只有当AI不仅能告诉我们“是什么”，还能解释“为什么”的时候，数字计算才能真正成为破解生命密码、造福人类健康的强力引擎。这不仅是计算机科学家的挑战，更是生命科学与数据科学交叉融合的必然征途。</w:t>
      </w:r>
    </w:p>
    <w:p>
      <w:pP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