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787" w:val="right"/>
        </w:tabs>
        <w:spacing w:after="0"/>
      </w:pPr>
      <w:r>
        <w:rPr>
          <w:rFonts w:ascii="Calibri" w:hAnsi="Calibri" w:cs="Calibri"/>
          <w:b/>
          <w:i w:val="0"/>
          <w:color w:val="003D6B"/>
          <w:sz w:val="24"/>
        </w:rPr>
        <w:t>GI-AI4H</w:t>
      </w:r>
      <w:r>
        <w:rPr>
          <w:rFonts w:ascii="Calibri" w:hAnsi="Calibri" w:cs="Calibri"/>
          <w:b w:val="0"/>
          <w:i w:val="0"/>
          <w:color w:val="6B7280"/>
          <w:sz w:val="20"/>
        </w:rPr>
        <w:t xml:space="preserve">   ·   ITU · WHO · WIPO</w:t>
      </w:r>
      <w:r>
        <w:tab/>
      </w:r>
      <w:r>
        <w:rPr>
          <w:rFonts w:ascii="Consolas" w:hAnsi="Consolas" w:cs="Consolas"/>
          <w:b w:val="0"/>
          <w:i w:val="0"/>
          <w:color w:val="6B7280"/>
          <w:sz w:val="20"/>
        </w:rPr>
        <w:t>GI-AI4H-WGD-OCI-004</w:t>
      </w:r>
    </w:p>
    <w:p>
      <w:pPr>
        <w:spacing w:after="80"/>
      </w:pPr>
      <w:r>
        <w:rPr>
          <w:rFonts w:ascii="Calibri" w:hAnsi="Calibri" w:cs="Calibri"/>
          <w:b w:val="0"/>
          <w:i/>
          <w:color w:val="6B7280"/>
          <w:sz w:val="20"/>
        </w:rPr>
        <w:t>ITU/WHO/WIPO Global Initiative on AI for Health (GI-AI4H)</w:t>
      </w:r>
    </w:p>
    <w:p>
      <w:pPr>
        <w:spacing w:before="40" w:after="160"/>
        <w:pBdr>
          <w:bottom w:val="single" w:sz="6" w:space="1" w:color="CBD5E0"/>
        </w:pBdr>
      </w:pPr>
    </w:p>
    <w:p>
      <w:pPr>
        <w:spacing w:after="560"/>
      </w:pPr>
      <w:r>
        <w:rPr>
          <w:rFonts w:ascii="Calibri" w:hAnsi="Calibri" w:cs="Calibri"/>
          <w:b/>
          <w:i w:val="0"/>
          <w:color w:val="003D6B"/>
          <w:sz w:val="18"/>
        </w:rPr>
        <w:t>WG-DATA</w:t>
      </w:r>
      <w:r>
        <w:rPr>
          <w:rFonts w:ascii="Calibri" w:hAnsi="Calibri" w:cs="Calibri"/>
          <w:b w:val="0"/>
          <w:i w:val="0"/>
          <w:color w:val="6B7280"/>
          <w:sz w:val="18"/>
        </w:rPr>
        <w:t xml:space="preserve">   ·   </w:t>
      </w:r>
      <w:r>
        <w:rPr>
          <w:rFonts w:ascii="Calibri" w:hAnsi="Calibri" w:cs="Calibri"/>
          <w:b w:val="0"/>
          <w:i w:val="0"/>
          <w:color w:val="6B7280"/>
          <w:sz w:val="18"/>
        </w:rPr>
        <w:t>Third meeting of the Global Initiative on AI for Health, Hangzhou, 16-18 September 2026</w:t>
      </w:r>
    </w:p>
    <w:p>
      <w:pPr>
        <w:spacing w:after="160"/>
      </w:pPr>
      <w:r>
        <w:rPr>
          <w:rFonts w:ascii="Calibri" w:hAnsi="Calibri" w:cs="Calibri"/>
          <w:b/>
          <w:i w:val="0"/>
          <w:color w:val="FFFFFF"/>
          <w:sz w:val="18"/>
          <w:shd w:val="clear" w:color="auto" w:fill="003D6B"/>
        </w:rPr>
        <w:t xml:space="preserve">  DISCUSSION  </w:t>
      </w:r>
    </w:p>
    <w:p>
      <w:pPr>
        <w:spacing w:before="160" w:after="80" w:lineRule="auto" w:line="276"/>
      </w:pPr>
      <w:r>
        <w:rPr>
          <w:rFonts w:ascii="Calibri" w:hAnsi="Calibri" w:cs="Calibri"/>
          <w:b/>
          <w:i w:val="0"/>
          <w:color w:val="111827"/>
          <w:sz w:val="48"/>
        </w:rPr>
        <w:t>Finishing the way we describe health datasets</w:t>
      </w:r>
    </w:p>
    <w:p>
      <w:pPr>
        <w:spacing w:after="560"/>
      </w:pPr>
      <w:r>
        <w:rPr>
          <w:rFonts w:ascii="Calibri" w:hAnsi="Calibri" w:cs="Calibri"/>
          <w:b w:val="0"/>
          <w:i/>
          <w:color w:val="6B7280"/>
          <w:sz w:val="22"/>
        </w:rPr>
        <w:t>Contribution to GI-AI4H WG-Data   ·   2026-09-12</w:t>
      </w:r>
    </w:p>
    <w:p>
      <w:pPr>
        <w:tabs>
          <w:tab w:pos="2268" w:val="left"/>
        </w:tabs>
        <w:spacing w:after="120"/>
      </w:pPr>
      <w:r>
        <w:rPr>
          <w:rFonts w:ascii="Calibri" w:hAnsi="Calibri" w:cs="Calibri"/>
          <w:b/>
          <w:i w:val="0"/>
          <w:color w:val="6B7280"/>
          <w:sz w:val="18"/>
        </w:rPr>
        <w:t>SOURCE</w:t>
      </w:r>
      <w:r>
        <w:tab/>
      </w:r>
      <w:r>
        <w:rPr>
          <w:rFonts w:ascii="Calibri" w:hAnsi="Calibri" w:cs="Calibri"/>
          <w:b w:val="0"/>
          <w:i w:val="0"/>
          <w:color w:val="111827"/>
          <w:sz w:val="22"/>
        </w:rPr>
        <w:t>OCI Platform team</w:t>
      </w:r>
      <w:r>
        <w:br/>
        <w:tab/>
      </w:r>
      <w:r>
        <w:rPr>
          <w:rFonts w:ascii="Calibri" w:hAnsi="Calibri" w:cs="Calibri"/>
          <w:b w:val="0"/>
          <w:i w:val="0"/>
          <w:color w:val="111827"/>
          <w:sz w:val="22"/>
        </w:rPr>
        <w:t>Marc Lecoultre, MLLab.ai</w:t>
      </w:r>
      <w:r>
        <w:br/>
        <w:tab/>
      </w:r>
      <w:r>
        <w:rPr>
          <w:rFonts w:ascii="Calibri" w:hAnsi="Calibri" w:cs="Calibri"/>
          <w:b w:val="0"/>
          <w:i w:val="0"/>
          <w:color w:val="111827"/>
          <w:sz w:val="22"/>
        </w:rPr>
        <w:t>GI-AI4H Open Code Infrastructure</w:t>
      </w:r>
    </w:p>
    <w:p>
      <w:pPr>
        <w:tabs>
          <w:tab w:pos="2268" w:val="left"/>
        </w:tabs>
        <w:spacing w:after="120"/>
      </w:pPr>
      <w:r>
        <w:rPr>
          <w:rFonts w:ascii="Calibri" w:hAnsi="Calibri" w:cs="Calibri"/>
          <w:b/>
          <w:i w:val="0"/>
          <w:color w:val="6B7280"/>
          <w:sz w:val="18"/>
        </w:rPr>
        <w:t>CONTACT</w:t>
      </w:r>
      <w:r>
        <w:tab/>
      </w:r>
      <w:r>
        <w:rPr>
          <w:rFonts w:ascii="Calibri" w:hAnsi="Calibri" w:cs="Calibri"/>
          <w:b w:val="0"/>
          <w:i w:val="0"/>
          <w:color w:val="111827"/>
          <w:sz w:val="22"/>
        </w:rPr>
        <w:t>Marc Lecoultre, MLLab.ai (OCI Platform team)</w:t>
      </w:r>
      <w:r>
        <w:br/>
        <w:tab/>
      </w:r>
      <w:r>
        <w:rPr>
          <w:rFonts w:ascii="Calibri" w:hAnsi="Calibri" w:cs="Calibri"/>
          <w:b w:val="0"/>
          <w:i w:val="0"/>
          <w:color w:val="111827"/>
          <w:sz w:val="22"/>
        </w:rPr>
        <w:t>ml@mllab.ai</w:t>
      </w:r>
    </w:p>
    <w:p>
      <w:pPr>
        <w:tabs>
          <w:tab w:pos="2268" w:val="left"/>
        </w:tabs>
        <w:spacing w:after="120"/>
      </w:pPr>
      <w:r>
        <w:rPr>
          <w:rFonts w:ascii="Calibri" w:hAnsi="Calibri" w:cs="Calibri"/>
          <w:b/>
          <w:i w:val="0"/>
          <w:color w:val="6B7280"/>
          <w:sz w:val="18"/>
        </w:rPr>
        <w:t>PURPOSE</w:t>
      </w:r>
      <w:r>
        <w:tab/>
      </w:r>
      <w:r>
        <w:rPr>
          <w:rFonts w:ascii="Calibri" w:hAnsi="Calibri" w:cs="Calibri"/>
          <w:b w:val="0"/>
          <w:i w:val="0"/>
          <w:color w:val="111827"/>
          <w:sz w:val="22"/>
        </w:rPr>
        <w:t>Discussion</w:t>
      </w:r>
    </w:p>
    <w:p>
      <w:pPr>
        <w:tabs>
          <w:tab w:pos="2268" w:val="left"/>
        </w:tabs>
        <w:spacing w:after="120"/>
      </w:pPr>
      <w:r>
        <w:rPr>
          <w:rFonts w:ascii="Calibri" w:hAnsi="Calibri" w:cs="Calibri"/>
          <w:b/>
          <w:i w:val="0"/>
          <w:color w:val="6B7280"/>
          <w:sz w:val="18"/>
        </w:rPr>
        <w:t>DOCUMENT</w:t>
      </w:r>
      <w:r>
        <w:tab/>
      </w:r>
      <w:r>
        <w:rPr>
          <w:rFonts w:ascii="Calibri" w:hAnsi="Calibri" w:cs="Calibri"/>
          <w:b w:val="0"/>
          <w:i w:val="0"/>
          <w:color w:val="111827"/>
          <w:sz w:val="22"/>
        </w:rPr>
        <w:t>GI-AI4H-WGD-OCI-004</w:t>
      </w:r>
    </w:p>
    <w:p>
      <w:pPr>
        <w:spacing w:before="0" w:after="160"/>
      </w:pPr>
    </w:p>
    <w:p>
      <w:pPr>
        <w:spacing w:before="40" w:after="160"/>
        <w:pBdr>
          <w:bottom w:val="single" w:sz="6" w:space="1" w:color="CBD5E0"/>
        </w:pBdr>
      </w:pPr>
    </w:p>
    <w:p>
      <w:pPr>
        <w:spacing w:before="80" w:after="120"/>
      </w:pPr>
      <w:r>
        <w:rPr>
          <w:rFonts w:ascii="Calibri" w:hAnsi="Calibri" w:cs="Calibri"/>
          <w:b/>
          <w:i w:val="0"/>
          <w:color w:val="003D6B"/>
          <w:sz w:val="28"/>
        </w:rPr>
        <w:t>Abstract</w:t>
      </w:r>
    </w:p>
    <w:p>
      <w:pPr>
        <w:spacing w:after="240" w:lineRule="auto" w:line="336"/>
        <w:ind w:left="0" w:right="0"/>
      </w:pPr>
      <w:r>
        <w:rPr>
          <w:rFonts w:ascii="Calibri" w:hAnsi="Calibri"/>
          <w:sz w:val="22"/>
        </w:rPr>
        <w:t>The first document in the WG-Data Terms of Reference is a healthcare extension to the Croissant dataset-description standard. A draft exists, is implemented, and is in use on the Open Code Infrastructure catalogue under a provisional namespace; the MLCommons Croissant core team has answered the group's two design questions and has offered to review the field set. What is missing is not design work but a set of decisions only the working group can take. This note puts five of them to the working session in Hangzhou on 18 September 2026: what version 1.0 contains and what waits; what the stable identifier is and who administers it; whether the dataset/requester split becomes the group's position; how the extension reaches MLCommons; and who edits it, by when. It also records that the provenance profile has been aligned to the published Croissant Responsible AI extension since the group last saw it, which removes the main objection an external reviewer would raise. Nothing here has been agreed. The note exists so that thirty-five minutes can be spent deciding rather than on introductions.</w:t>
      </w:r>
    </w:p>
    <w:p>
      <w:r>
        <w:br w:type="page"/>
      </w:r>
    </w:p>
    <w:p>
      <w:pPr>
        <w:pStyle w:val="Heading2"/>
      </w:pPr>
      <w:r>
        <w:t>1. Why this session</w:t>
      </w:r>
    </w:p>
    <w:p/>
    <w:p>
      <w:r>
        <w:rPr>
          <w:rFonts w:ascii="Calibri" w:hAnsi="Calibri" w:cs="Calibri"/>
          <w:b w:val="0"/>
          <w:i w:val="0"/>
          <w:sz w:val="22"/>
        </w:rPr>
        <w:t>The first document in the group's Terms of Reference is a healthcare extension to the Croissant dataset-description standard. A draft exists (BIOCroissant v0.1) and is in use on the Open Code Infrastructure catalogue under a provisional namespace. The MLCommons Croissant core team has answered the two design questions the group put to them and has offered to review what is attached. What is missing is not design work. It is a set of decisions only the working group can take: what is in the first version, what the stable identifier is, and how the result reaches MLCommons.</w:t>
      </w:r>
    </w:p>
    <w:p/>
    <w:p>
      <w:r>
        <w:rPr>
          <w:rFonts w:ascii="Calibri" w:hAnsi="Calibri" w:cs="Calibri"/>
          <w:b w:val="0"/>
          <w:i w:val="0"/>
          <w:sz w:val="22"/>
        </w:rPr>
        <w:t>Thirty-five minutes is enough to take those decisions if nobody has to be introduced to the problem in the room. This note is the introduction.</w:t>
      </w:r>
    </w:p>
    <w:p/>
    <w:p>
      <w:pPr>
        <w:pStyle w:val="Heading2"/>
      </w:pPr>
      <w:r>
        <w:t>2. What exists today</w:t>
      </w:r>
    </w:p>
    <w:p/>
    <w:p>
      <w:r>
        <w:rPr>
          <w:rFonts w:ascii="Calibri" w:hAnsi="Calibri" w:cs="Calibri"/>
          <w:b/>
          <w:i w:val="0"/>
          <w:sz w:val="22"/>
        </w:rPr>
        <w:t>Croissant 1.1</w:t>
      </w:r>
      <w:r>
        <w:rPr>
          <w:rFonts w:ascii="Calibri" w:hAnsi="Calibri" w:cs="Calibri"/>
          <w:b w:val="0"/>
          <w:i w:val="0"/>
          <w:sz w:val="22"/>
        </w:rPr>
        <w:t xml:space="preserve"> (MLCommons, February 2026) is the base. It describes datasets; it deliberately does not describe the party requesting access.</w:t>
      </w:r>
    </w:p>
    <w:p/>
    <w:p>
      <w:r>
        <w:rPr>
          <w:rFonts w:ascii="Calibri" w:hAnsi="Calibri" w:cs="Calibri"/>
          <w:b/>
          <w:i w:val="0"/>
          <w:sz w:val="22"/>
        </w:rPr>
        <w:t>BIOCroissant v0.1</w:t>
      </w:r>
      <w:r>
        <w:rPr>
          <w:rFonts w:ascii="Calibri" w:hAnsi="Calibri" w:cs="Calibri"/>
          <w:b w:val="0"/>
          <w:i w:val="0"/>
          <w:sz w:val="22"/>
        </w:rPr>
        <w:t xml:space="preserve"> is the OCI's draft health extension. Its namespace is </w:t>
      </w:r>
      <w:r>
        <w:rPr>
          <w:rFonts w:ascii="Consolas" w:hAnsi="Consolas" w:cs="Consolas"/>
          <w:b w:val="0"/>
          <w:i w:val="0"/>
          <w:color w:val="6B21A8"/>
          <w:sz w:val="20"/>
        </w:rPr>
        <w:t>https://oci.ai4h.net/biocroissant/v0.1#</w:t>
      </w:r>
      <w:r>
        <w:rPr>
          <w:rFonts w:ascii="Calibri" w:hAnsi="Calibri" w:cs="Calibri"/>
          <w:b w:val="0"/>
          <w:i w:val="0"/>
          <w:sz w:val="22"/>
        </w:rPr>
        <w:t>, owned by the OCI and intended to redirect to a working-group identifier once one exists.</w:t>
      </w:r>
    </w:p>
    <w:p/>
    <w:p>
      <w:r>
        <w:rPr>
          <w:rFonts w:ascii="Calibri" w:hAnsi="Calibri" w:cs="Calibri"/>
          <w:b/>
          <w:i w:val="0"/>
          <w:sz w:val="22"/>
        </w:rPr>
        <w:t>Dataset-level usage rights.</w:t>
      </w:r>
      <w:r>
        <w:rPr>
          <w:rFonts w:ascii="Calibri" w:hAnsi="Calibri" w:cs="Calibri"/>
          <w:b w:val="0"/>
          <w:i w:val="0"/>
          <w:sz w:val="22"/>
        </w:rPr>
        <w:t xml:space="preserve"> Following the core team's advice, the OCI attaches three things at the dataset level: data-use terms from the GA4GH Data Use Ontology, machine-actionable usage rules in ODRL, and a data-protection block covering consent legal basis, per-jurisdiction lawful basis, de-identification level, controller and processor parties, and an ethics-board reference. Record-set level attachment is reserved for a sub-cohort with different terms. The full shape is in OCI-002.</w:t>
      </w:r>
    </w:p>
    <w:p/>
    <w:p>
      <w:r>
        <w:rPr>
          <w:rFonts w:ascii="Calibri" w:hAnsi="Calibri" w:cs="Calibri"/>
          <w:b/>
          <w:i w:val="0"/>
          <w:sz w:val="22"/>
        </w:rPr>
        <w:t>The provenance profile has been aligned to the published Croissant Responsible AI extension.</w:t>
      </w:r>
      <w:r>
        <w:rPr>
          <w:rFonts w:ascii="Calibri" w:hAnsi="Calibri" w:cs="Calibri"/>
          <w:b w:val="0"/>
          <w:i w:val="0"/>
          <w:sz w:val="22"/>
        </w:rPr>
        <w:t xml:space="preserve"> Since OCI-003 was circulated in June, the RAI extension's specification has been read against the OCI's profile and four divergences were corrected in the OCI implementation during September 2026: profile conformance is now declared with </w:t>
      </w:r>
      <w:r>
        <w:rPr>
          <w:rFonts w:ascii="Consolas" w:hAnsi="Consolas" w:cs="Consolas"/>
          <w:b w:val="0"/>
          <w:i w:val="0"/>
          <w:color w:val="6B21A8"/>
          <w:sz w:val="20"/>
        </w:rPr>
        <w:t>dct:conformsTo</w:t>
      </w:r>
      <w:r>
        <w:rPr>
          <w:rFonts w:ascii="Calibri" w:hAnsi="Calibri" w:cs="Calibri"/>
          <w:b w:val="0"/>
          <w:i w:val="0"/>
          <w:sz w:val="22"/>
        </w:rPr>
        <w:t xml:space="preserve"> rather than a bespoke marker; annotation-activity kinds use the Data Privacy Vocabulary's AI terms rather than an invented enumeration; activity times use </w:t>
      </w:r>
      <w:r>
        <w:rPr>
          <w:rFonts w:ascii="Consolas" w:hAnsi="Consolas" w:cs="Consolas"/>
          <w:b w:val="0"/>
          <w:i w:val="0"/>
          <w:color w:val="6B21A8"/>
          <w:sz w:val="20"/>
        </w:rPr>
        <w:t>prov:atTime</w:t>
      </w:r>
      <w:r>
        <w:rPr>
          <w:rFonts w:ascii="Calibri" w:hAnsi="Calibri" w:cs="Calibri"/>
          <w:b w:val="0"/>
          <w:i w:val="0"/>
          <w:sz w:val="22"/>
        </w:rPr>
        <w:t xml:space="preserve"> rather than a required start-and-end pair; and offers are expressed through </w:t>
      </w:r>
      <w:r>
        <w:rPr>
          <w:rFonts w:ascii="Consolas" w:hAnsi="Consolas" w:cs="Consolas"/>
          <w:b w:val="0"/>
          <w:i w:val="0"/>
          <w:color w:val="6B21A8"/>
          <w:sz w:val="20"/>
        </w:rPr>
        <w:t>usageInfo</w:t>
      </w:r>
      <w:r>
        <w:rPr>
          <w:rFonts w:ascii="Calibri" w:hAnsi="Calibri" w:cs="Calibri"/>
          <w:b w:val="0"/>
          <w:i w:val="0"/>
          <w:sz w:val="22"/>
        </w:rPr>
        <w:t>. This matters to the group because it removes the main objection an external reviewer would raise: that the health extension had invented vocabulary where a published one existed.</w:t>
      </w:r>
    </w:p>
    <w:p/>
    <w:p>
      <w:r>
        <w:rPr>
          <w:rFonts w:ascii="Calibri" w:hAnsi="Calibri" w:cs="Calibri"/>
          <w:b/>
          <w:i w:val="0"/>
          <w:sz w:val="22"/>
        </w:rPr>
        <w:t>The scope split.</w:t>
      </w:r>
      <w:r>
        <w:rPr>
          <w:rFonts w:ascii="Calibri" w:hAnsi="Calibri" w:cs="Calibri"/>
          <w:b w:val="0"/>
          <w:i w:val="0"/>
          <w:sz w:val="22"/>
        </w:rPr>
        <w:t xml:space="preserve"> The dataset declares its requirements in Croissant. The requester side, meaning who is asking, for what use, and with which approvals, belongs to the platform's access-control layer, which in the OCI means GA4GH Passport, a use-matching step and signed receipts. The core team confirmed this split.</w:t>
      </w:r>
    </w:p>
    <w:p/>
    <w:p>
      <w:r>
        <w:rPr>
          <w:rFonts w:ascii="Calibri" w:hAnsi="Calibri" w:cs="Calibri"/>
          <w:b/>
          <w:i w:val="0"/>
          <w:sz w:val="22"/>
        </w:rPr>
        <w:t>An external route.</w:t>
      </w:r>
      <w:r>
        <w:rPr>
          <w:rFonts w:ascii="Calibri" w:hAnsi="Calibri" w:cs="Calibri"/>
          <w:b w:val="0"/>
          <w:i w:val="0"/>
          <w:sz w:val="22"/>
        </w:rPr>
        <w:t xml:space="preserve"> The MLCommons Croissant provenance-and-governance working sessions, at which the OCI presented its health use case on 10 September 2026 and the Cancer Imaging Archive presented theirs on 9 September. A decision taken here has somewhere to land.</w:t>
      </w:r>
    </w:p>
    <w:p/>
    <w:p>
      <w:r>
        <w:rPr>
          <w:rFonts w:ascii="Calibri" w:hAnsi="Calibri" w:cs="Calibri"/>
          <w:b/>
          <w:i w:val="0"/>
          <w:sz w:val="22"/>
        </w:rPr>
        <w:t>A first consumer.</w:t>
      </w:r>
      <w:r>
        <w:rPr>
          <w:rFonts w:ascii="Calibri" w:hAnsi="Calibri" w:cs="Calibri"/>
          <w:b w:val="0"/>
          <w:i w:val="0"/>
          <w:sz w:val="22"/>
        </w:rPr>
        <w:t xml:space="preserve"> The Benchmarking Challenge asks every data host for a metadata-only manifest in BIOCroissant form, with no images and no records. Two hosts are lined up for Phase 2, so the extension will be exercised against real institutions' data descriptions before the year is out.</w:t>
      </w:r>
    </w:p>
    <w:p/>
    <w:p>
      <w:pPr>
        <w:pStyle w:val="Heading2"/>
      </w:pPr>
      <w:r>
        <w:t>3. Decisions to take</w:t>
      </w:r>
    </w:p>
    <w:p/>
    <w:p>
      <w:pPr>
        <w:pStyle w:val="Heading3"/>
      </w:pPr>
      <w:r>
        <w:t>D1. What version 1.0 contains, and what waits</w:t>
      </w:r>
    </w:p>
    <w:p/>
    <w:p>
      <w:r>
        <w:rPr>
          <w:rFonts w:ascii="Calibri" w:hAnsi="Calibri" w:cs="Calibri"/>
          <w:b w:val="0"/>
          <w:i w:val="0"/>
          <w:sz w:val="22"/>
        </w:rPr>
        <w:t>Proposal: v1.0 is the smallest set a data host must fill in for a dataset to be usable for evaluation, and nothing that is still a research question.</w:t>
      </w:r>
    </w:p>
    <w:p/>
    <w:p>
      <w:r>
        <w:rPr>
          <w:rFonts w:ascii="Calibri" w:hAnsi="Calibri" w:cs="Calibri"/>
          <w:b w:val="0"/>
          <w:i w:val="0"/>
          <w:sz w:val="22"/>
        </w:rPr>
        <w:t>In v1.0:</w:t>
      </w:r>
    </w:p>
    <w:p/>
    <w:p>
      <w:pPr>
        <w:spacing w:after="80" w:lineRule="auto" w:line="300"/>
        <w:ind w:left="340" w:hanging="340"/>
      </w:pPr>
      <w:r>
        <w:rPr>
          <w:rFonts w:ascii="Calibri" w:hAnsi="Calibri" w:cs="Calibri"/>
          <w:b w:val="0"/>
          <w:i w:val="0"/>
          <w:sz w:val="22"/>
        </w:rPr>
        <w:t>•</w:t>
        <w:tab/>
      </w:r>
      <w:r>
        <w:rPr>
          <w:rFonts w:ascii="Calibri" w:hAnsi="Calibri" w:cs="Calibri"/>
          <w:b w:val="0"/>
          <w:i w:val="0"/>
          <w:sz w:val="22"/>
        </w:rPr>
        <w:t>The data-protection block: consent basis, lawful basis, de-identification level, parties, ethics reference.</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Dataset-level data-use terms (DUO) and usage rules (ODRL).</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Ground-truth provenance: graders per item, qualification, adjudication rule, and inter-rater agreement where it was measured.</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Population description: patients and items, device or site mix, inclusion and exclusion criteria, and a flag for a held-back split.</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Modality-specific minimums for imaging, derived from DICOM. Five of these are already implemented in v0.1 and need only to be confirmed rather than designed: imaging modality, body region, acquisition equipment, source site, and device class.</w:t>
      </w:r>
    </w:p>
    <w:p/>
    <w:p>
      <w:r>
        <w:rPr>
          <w:rFonts w:ascii="Calibri" w:hAnsi="Calibri" w:cs="Calibri"/>
          <w:b w:val="0"/>
          <w:i w:val="0"/>
          <w:sz w:val="22"/>
        </w:rPr>
        <w:t>Waits for v1.1 or later:</w:t>
      </w:r>
    </w:p>
    <w:p/>
    <w:p>
      <w:pPr>
        <w:spacing w:after="80" w:lineRule="auto" w:line="300"/>
        <w:ind w:left="340" w:hanging="340"/>
      </w:pPr>
      <w:r>
        <w:rPr>
          <w:rFonts w:ascii="Calibri" w:hAnsi="Calibri" w:cs="Calibri"/>
          <w:b w:val="0"/>
          <w:i w:val="0"/>
          <w:sz w:val="22"/>
        </w:rPr>
        <w:t>•</w:t>
        <w:tab/>
      </w:r>
      <w:r>
        <w:rPr>
          <w:rFonts w:ascii="Calibri" w:hAnsi="Calibri" w:cs="Calibri"/>
          <w:b w:val="0"/>
          <w:i w:val="0"/>
          <w:sz w:val="22"/>
        </w:rPr>
        <w:t>Bias and representativeness metrics as structured fields.</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Record-set-level terms beyond the single sub-cohort case.</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Ontology mappings (ICD, SNOMED CT, LOINC) as first-class fields.</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Synthetic-data attribution and provenance, which the synthetic-data work stream owns.</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Genomics and HL7 FHIR profiles.</w:t>
      </w:r>
    </w:p>
    <w:p/>
    <w:p>
      <w:r>
        <w:rPr>
          <w:rFonts w:ascii="Calibri" w:hAnsi="Calibri" w:cs="Calibri"/>
          <w:b w:val="0"/>
          <w:i w:val="0"/>
          <w:sz w:val="22"/>
        </w:rPr>
        <w:t>The room may move items across the line. The decision that matters is that a line exists and that v1.0 ships without the second list.</w:t>
      </w:r>
    </w:p>
    <w:p/>
    <w:p>
      <w:pPr>
        <w:pStyle w:val="Heading3"/>
      </w:pPr>
      <w:r>
        <w:t>D2. The stable identifier</w:t>
      </w:r>
    </w:p>
    <w:p/>
    <w:p>
      <w:r>
        <w:rPr>
          <w:rFonts w:ascii="Calibri" w:hAnsi="Calibri" w:cs="Calibri"/>
          <w:b w:val="0"/>
          <w:i w:val="0"/>
          <w:sz w:val="22"/>
        </w:rPr>
        <w:t>Proposal: WG-Data owns a canonical namespace under a domain controlled by ITU or by the Initiative, and the OCI redirects its provisional namespace to it on publication of v1.0. Until then the provisional namespace stands and is documented as provisional.</w:t>
      </w:r>
    </w:p>
    <w:p/>
    <w:p>
      <w:r>
        <w:rPr>
          <w:rFonts w:ascii="Calibri" w:hAnsi="Calibri" w:cs="Calibri"/>
          <w:b w:val="0"/>
          <w:i w:val="0"/>
          <w:sz w:val="22"/>
        </w:rPr>
        <w:t>Two questions have to be answered in the room rather than assumed: whether such a domain is available to the group, and who administers the redirect for the lifetime of the standard. If neither can be answered by the end of the session, the fallback is that the extension lives in the MLCommons Croissant repository under its own namespace, which is simpler to host and puts the identifier outside the group's control. An identifier nobody has agreed to maintain is worse than a provisional one that is honestly labelled.</w:t>
      </w:r>
    </w:p>
    <w:p/>
    <w:p>
      <w:pPr>
        <w:pStyle w:val="Heading3"/>
      </w:pPr>
      <w:r>
        <w:t>D3. The dataset/requester split as the group's position</w:t>
      </w:r>
    </w:p>
    <w:p/>
    <w:p>
      <w:r>
        <w:rPr>
          <w:rFonts w:ascii="Calibri" w:hAnsi="Calibri" w:cs="Calibri"/>
          <w:b w:val="0"/>
          <w:i w:val="0"/>
          <w:sz w:val="22"/>
        </w:rPr>
        <w:t>Proposal: adopt the split in OCI-002 section 4 as the WG-Data position. The consequence is that the description standard never carries requester fields, and the exchange-protocol work in session 3 owns the requester side. This is the one decision that affects another session, so take it here first.</w:t>
      </w:r>
    </w:p>
    <w:p/>
    <w:p>
      <w:pPr>
        <w:pStyle w:val="Heading3"/>
      </w:pPr>
      <w:r>
        <w:t>D4. The route to MLCommons</w:t>
      </w:r>
    </w:p>
    <w:p/>
    <w:p>
      <w:r>
        <w:rPr>
          <w:rFonts w:ascii="Calibri" w:hAnsi="Calibri" w:cs="Calibri"/>
          <w:b w:val="0"/>
          <w:i w:val="0"/>
          <w:sz w:val="22"/>
        </w:rPr>
        <w:t>Proposal: the extension is submitted as a Croissant extension through the core team, with the group as author of record and the OCI as reference implementation. The steps are that the core team reviews the v1.0 field set, which they have offered to do; the group circulates a v1.0 candidate to its list for two weeks; and the submission is made before the end of 2026.</w:t>
      </w:r>
    </w:p>
    <w:p/>
    <w:p>
      <w:pPr>
        <w:pStyle w:val="Heading3"/>
      </w:pPr>
      <w:r>
        <w:t>D5. Editor and dates</w:t>
      </w:r>
    </w:p>
    <w:p/>
    <w:p>
      <w:r>
        <w:rPr>
          <w:rFonts w:ascii="Calibri" w:hAnsi="Calibri" w:cs="Calibri"/>
          <w:b w:val="0"/>
          <w:i w:val="0"/>
          <w:sz w:val="22"/>
        </w:rPr>
        <w:t>Proposal: one named editor from the group and one from the OCI side, named in the room, and a v1.0 candidate text to the list by 30 October 2026. That date is achievable if D1 is decided on the 18th and not otherwise.</w:t>
      </w:r>
    </w:p>
    <w:p/>
    <w:p>
      <w:pPr>
        <w:pStyle w:val="Heading2"/>
      </w:pPr>
      <w:r>
        <w:t>4. What the session does not decide</w:t>
      </w:r>
    </w:p>
    <w:p/>
    <w:p>
      <w:pPr>
        <w:spacing w:after="80" w:lineRule="auto" w:line="300"/>
        <w:ind w:left="340" w:hanging="340"/>
      </w:pPr>
      <w:r>
        <w:rPr>
          <w:rFonts w:ascii="Calibri" w:hAnsi="Calibri" w:cs="Calibri"/>
          <w:b w:val="0"/>
          <w:i w:val="0"/>
          <w:sz w:val="22"/>
        </w:rPr>
        <w:t>•</w:t>
        <w:tab/>
      </w:r>
      <w:r>
        <w:rPr>
          <w:rFonts w:ascii="Calibri" w:hAnsi="Calibri" w:cs="Calibri"/>
          <w:b w:val="0"/>
          <w:i w:val="0"/>
          <w:sz w:val="22"/>
        </w:rPr>
        <w:t>Whether any particular dataset is suitable for any particular AI system. A dataset description carries characteristics and provenance; suitability for an intended use is a matching question that belongs to the requester side.</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Anything about the requester payload. That is session 3.</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Metric definitions for evaluation. That is session 2 and the evaluation platform.</w:t>
      </w:r>
    </w:p>
    <w:p/>
    <w:p>
      <w:pPr>
        <w:pStyle w:val="Heading2"/>
      </w:pPr>
      <w:r>
        <w:t>5. Read-back</w:t>
      </w:r>
    </w:p>
    <w:p/>
    <w:p>
      <w:r>
        <w:rPr>
          <w:rFonts w:ascii="Calibri" w:hAnsi="Calibri" w:cs="Calibri"/>
          <w:b w:val="0"/>
          <w:i w:val="0"/>
          <w:sz w:val="22"/>
        </w:rPr>
        <w:t>At 35 minutes the chair reads back D1 to D5 as decided, with an owner and a date for each, and they go into the minutes unchanged.</w:t>
      </w:r>
    </w:p>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pPr>
    <w:r>
      <w:rPr>
        <w:rFonts w:ascii="Calibri" w:hAnsi="Calibri" w:cs="Calibri"/>
        <w:b w:val="0"/>
        <w:i w:val="0"/>
        <w:color w:val="6B7280"/>
        <w:sz w:val="18"/>
      </w:rPr>
      <w:t>GI-AI4H-WGD-OCI-004</w:t>
    </w:r>
    <w:r>
      <w:tab/>
    </w:r>
    <w:r/>
    <w:r>
      <w:rPr>
        <w:rFonts w:ascii="Calibri" w:hAnsi="Calibri" w:cs="Calibri"/>
        <w:b w:val="0"/>
        <w:i w:val="0"/>
        <w:color w:val="6B7280"/>
        <w:sz w:val="18"/>
      </w:r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D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D6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003D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