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787" w:val="right"/>
        </w:tabs>
        <w:spacing w:after="0"/>
      </w:pPr>
      <w:r>
        <w:rPr>
          <w:rFonts w:ascii="Calibri" w:hAnsi="Calibri" w:cs="Calibri"/>
          <w:b/>
          <w:i w:val="0"/>
          <w:color w:val="003D6B"/>
          <w:sz w:val="24"/>
        </w:rPr>
        <w:t>GI-AI4H</w:t>
      </w:r>
      <w:r>
        <w:rPr>
          <w:rFonts w:ascii="Calibri" w:hAnsi="Calibri" w:cs="Calibri"/>
          <w:b w:val="0"/>
          <w:i w:val="0"/>
          <w:color w:val="6B7280"/>
          <w:sz w:val="20"/>
        </w:rPr>
        <w:t xml:space="preserve">   ·   ITU · WHO · WIPO</w:t>
      </w:r>
      <w:r>
        <w:tab/>
      </w:r>
      <w:r>
        <w:rPr>
          <w:rFonts w:ascii="Consolas" w:hAnsi="Consolas" w:cs="Consolas"/>
          <w:b w:val="0"/>
          <w:i w:val="0"/>
          <w:color w:val="6B7280"/>
          <w:sz w:val="20"/>
        </w:rPr>
        <w:t>GI-AI4H-WGD-OCI-005</w:t>
      </w:r>
    </w:p>
    <w:p>
      <w:pPr>
        <w:spacing w:after="80"/>
      </w:pPr>
      <w:r>
        <w:rPr>
          <w:rFonts w:ascii="Calibri" w:hAnsi="Calibri" w:cs="Calibri"/>
          <w:b w:val="0"/>
          <w:i/>
          <w:color w:val="6B7280"/>
          <w:sz w:val="20"/>
        </w:rPr>
        <w:t>ITU/WHO/WIPO Global Initiative on AI for Health (GI-AI4H)</w:t>
      </w:r>
    </w:p>
    <w:p>
      <w:pPr>
        <w:spacing w:before="40" w:after="160"/>
        <w:pBdr>
          <w:bottom w:val="single" w:sz="6" w:space="1" w:color="CBD5E0"/>
        </w:pBdr>
      </w:pPr>
    </w:p>
    <w:p>
      <w:pPr>
        <w:spacing w:after="560"/>
      </w:pPr>
      <w:r>
        <w:rPr>
          <w:rFonts w:ascii="Calibri" w:hAnsi="Calibri" w:cs="Calibri"/>
          <w:b/>
          <w:i w:val="0"/>
          <w:color w:val="003D6B"/>
          <w:sz w:val="18"/>
        </w:rPr>
        <w:t>WG-DATA</w:t>
      </w:r>
      <w:r>
        <w:rPr>
          <w:rFonts w:ascii="Calibri" w:hAnsi="Calibri" w:cs="Calibri"/>
          <w:b w:val="0"/>
          <w:i w:val="0"/>
          <w:color w:val="6B7280"/>
          <w:sz w:val="18"/>
        </w:rPr>
        <w:t xml:space="preserve">   ·   </w:t>
      </w:r>
      <w:r>
        <w:rPr>
          <w:rFonts w:ascii="Calibri" w:hAnsi="Calibri" w:cs="Calibri"/>
          <w:b w:val="0"/>
          <w:i w:val="0"/>
          <w:color w:val="6B7280"/>
          <w:sz w:val="18"/>
        </w:rPr>
        <w:t>Third meeting of the Global Initiative on AI for Health, Hangzhou, 16-18 September 2026</w:t>
      </w:r>
    </w:p>
    <w:p>
      <w:pPr>
        <w:spacing w:after="160"/>
      </w:pPr>
      <w:r>
        <w:rPr>
          <w:rFonts w:ascii="Calibri" w:hAnsi="Calibri" w:cs="Calibri"/>
          <w:b/>
          <w:i w:val="0"/>
          <w:color w:val="FFFFFF"/>
          <w:sz w:val="18"/>
          <w:shd w:val="clear" w:color="auto" w:fill="003D6B"/>
        </w:rPr>
        <w:t xml:space="preserve">  DISCUSSION  </w:t>
      </w:r>
    </w:p>
    <w:p>
      <w:pPr>
        <w:spacing w:before="160" w:after="80" w:lineRule="auto" w:line="276"/>
      </w:pPr>
      <w:r>
        <w:rPr>
          <w:rFonts w:ascii="Calibri" w:hAnsi="Calibri" w:cs="Calibri"/>
          <w:b/>
          <w:i w:val="0"/>
          <w:color w:val="111827"/>
          <w:sz w:val="48"/>
        </w:rPr>
        <w:t>Evaluating large language models in health</w:t>
      </w:r>
    </w:p>
    <w:p>
      <w:pPr>
        <w:spacing w:after="560"/>
      </w:pPr>
      <w:r>
        <w:rPr>
          <w:rFonts w:ascii="Calibri" w:hAnsi="Calibri" w:cs="Calibri"/>
          <w:b w:val="0"/>
          <w:i/>
          <w:color w:val="6B7280"/>
          <w:sz w:val="22"/>
        </w:rPr>
        <w:t>Contribution to GI-AI4H WG-Data   ·   2026-09-12</w:t>
      </w:r>
    </w:p>
    <w:p>
      <w:pPr>
        <w:tabs>
          <w:tab w:pos="2268" w:val="left"/>
        </w:tabs>
        <w:spacing w:after="120"/>
      </w:pPr>
      <w:r>
        <w:rPr>
          <w:rFonts w:ascii="Calibri" w:hAnsi="Calibri" w:cs="Calibri"/>
          <w:b/>
          <w:i w:val="0"/>
          <w:color w:val="6B7280"/>
          <w:sz w:val="18"/>
        </w:rPr>
        <w:t>SOURCE</w:t>
      </w:r>
      <w:r>
        <w:tab/>
      </w:r>
      <w:r>
        <w:rPr>
          <w:rFonts w:ascii="Calibri" w:hAnsi="Calibri" w:cs="Calibri"/>
          <w:b w:val="0"/>
          <w:i w:val="0"/>
          <w:color w:val="111827"/>
          <w:sz w:val="22"/>
        </w:rPr>
        <w:t>OCI Platform team</w:t>
      </w:r>
      <w:r>
        <w:br/>
        <w:tab/>
      </w:r>
      <w:r>
        <w:rPr>
          <w:rFonts w:ascii="Calibri" w:hAnsi="Calibri" w:cs="Calibri"/>
          <w:b w:val="0"/>
          <w:i w:val="0"/>
          <w:color w:val="111827"/>
          <w:sz w:val="22"/>
        </w:rPr>
        <w:t>Marc Lecoultre, MLLab.ai</w:t>
      </w:r>
      <w:r>
        <w:br/>
        <w:tab/>
      </w:r>
      <w:r>
        <w:rPr>
          <w:rFonts w:ascii="Calibri" w:hAnsi="Calibri" w:cs="Calibri"/>
          <w:b w:val="0"/>
          <w:i w:val="0"/>
          <w:color w:val="111827"/>
          <w:sz w:val="22"/>
        </w:rPr>
        <w:t>GI-AI4H Open Code Infrastructure</w:t>
      </w:r>
    </w:p>
    <w:p>
      <w:pPr>
        <w:tabs>
          <w:tab w:pos="2268" w:val="left"/>
        </w:tabs>
        <w:spacing w:after="120"/>
      </w:pPr>
      <w:r>
        <w:rPr>
          <w:rFonts w:ascii="Calibri" w:hAnsi="Calibri" w:cs="Calibri"/>
          <w:b/>
          <w:i w:val="0"/>
          <w:color w:val="6B7280"/>
          <w:sz w:val="18"/>
        </w:rPr>
        <w:t>CONTACT</w:t>
      </w:r>
      <w:r>
        <w:tab/>
      </w:r>
      <w:r>
        <w:rPr>
          <w:rFonts w:ascii="Calibri" w:hAnsi="Calibri" w:cs="Calibri"/>
          <w:b w:val="0"/>
          <w:i w:val="0"/>
          <w:color w:val="111827"/>
          <w:sz w:val="22"/>
        </w:rPr>
        <w:t>Marc Lecoultre, MLLab.ai (OCI Platform team)</w:t>
      </w:r>
      <w:r>
        <w:br/>
        <w:tab/>
      </w:r>
      <w:r>
        <w:rPr>
          <w:rFonts w:ascii="Calibri" w:hAnsi="Calibri" w:cs="Calibri"/>
          <w:b w:val="0"/>
          <w:i w:val="0"/>
          <w:color w:val="111827"/>
          <w:sz w:val="22"/>
        </w:rPr>
        <w:t>ml@mllab.ai</w:t>
      </w:r>
    </w:p>
    <w:p>
      <w:pPr>
        <w:tabs>
          <w:tab w:pos="2268" w:val="left"/>
        </w:tabs>
        <w:spacing w:after="120"/>
      </w:pPr>
      <w:r>
        <w:rPr>
          <w:rFonts w:ascii="Calibri" w:hAnsi="Calibri" w:cs="Calibri"/>
          <w:b/>
          <w:i w:val="0"/>
          <w:color w:val="6B7280"/>
          <w:sz w:val="18"/>
        </w:rPr>
        <w:t>PURPOSE</w:t>
      </w:r>
      <w:r>
        <w:tab/>
      </w:r>
      <w:r>
        <w:rPr>
          <w:rFonts w:ascii="Calibri" w:hAnsi="Calibri" w:cs="Calibri"/>
          <w:b w:val="0"/>
          <w:i w:val="0"/>
          <w:color w:val="111827"/>
          <w:sz w:val="22"/>
        </w:rPr>
        <w:t>Discussion</w:t>
      </w:r>
    </w:p>
    <w:p>
      <w:pPr>
        <w:tabs>
          <w:tab w:pos="2268" w:val="left"/>
        </w:tabs>
        <w:spacing w:after="120"/>
      </w:pPr>
      <w:r>
        <w:rPr>
          <w:rFonts w:ascii="Calibri" w:hAnsi="Calibri" w:cs="Calibri"/>
          <w:b/>
          <w:i w:val="0"/>
          <w:color w:val="6B7280"/>
          <w:sz w:val="18"/>
        </w:rPr>
        <w:t>DOCUMENT</w:t>
      </w:r>
      <w:r>
        <w:tab/>
      </w:r>
      <w:r>
        <w:rPr>
          <w:rFonts w:ascii="Calibri" w:hAnsi="Calibri" w:cs="Calibri"/>
          <w:b w:val="0"/>
          <w:i w:val="0"/>
          <w:color w:val="111827"/>
          <w:sz w:val="22"/>
        </w:rPr>
        <w:t>GI-AI4H-WGD-OCI-005</w:t>
      </w:r>
    </w:p>
    <w:p>
      <w:pPr>
        <w:spacing w:before="0" w:after="160"/>
      </w:pPr>
    </w:p>
    <w:p>
      <w:pPr>
        <w:spacing w:before="40" w:after="160"/>
        <w:pBdr>
          <w:bottom w:val="single" w:sz="6" w:space="1" w:color="CBD5E0"/>
        </w:pBdr>
      </w:pPr>
    </w:p>
    <w:p>
      <w:pPr>
        <w:spacing w:before="80" w:after="120"/>
      </w:pPr>
      <w:r>
        <w:rPr>
          <w:rFonts w:ascii="Calibri" w:hAnsi="Calibri" w:cs="Calibri"/>
          <w:b/>
          <w:i w:val="0"/>
          <w:color w:val="003D6B"/>
          <w:sz w:val="28"/>
        </w:rPr>
        <w:t>Abstract</w:t>
      </w:r>
    </w:p>
    <w:p>
      <w:pPr>
        <w:spacing w:after="240" w:lineRule="auto" w:line="336"/>
        <w:ind w:left="0" w:right="0"/>
      </w:pPr>
      <w:r>
        <w:rPr>
          <w:rFonts w:ascii="Calibri" w:hAnsi="Calibri"/>
          <w:sz w:val="22"/>
        </w:rPr>
        <w:t>The working group's large-language-model stream exists because only about 5 % of published evaluations of medical language models use real patient data. It is the part of the group's work that draws the most attention from outside and the part with the least written down: no named editor, no agreed scope, and no first benchmark. This note puts five decisions to the working session in Hangzhou on 18 September 2026: who edits the requirements document; which two of the four Terms-of-Reference areas version 1 covers fully; what the first benchmark on real patient data is; what such a benchmark requires of the privacy-preserving evaluation work; and the dates. The proposal for the first benchmark has changed on the evidence. A confirmed data host has put forward a clinical-report classification with three ordered risk tiers and a cost weighting, which is a task shape the evaluation platform scores today, so a first real-patient-data benchmark no longer waits on new engineering. Nothing here has been agreed; the note exists so the session can decide.</w:t>
      </w:r>
    </w:p>
    <w:p>
      <w:r>
        <w:br w:type="page"/>
      </w:r>
    </w:p>
    <w:p>
      <w:pPr>
        <w:pStyle w:val="Heading2"/>
      </w:pPr>
      <w:r>
        <w:t>1. Why this session</w:t>
      </w:r>
    </w:p>
    <w:p/>
    <w:p>
      <w:r>
        <w:rPr>
          <w:rFonts w:ascii="Calibri" w:hAnsi="Calibri" w:cs="Calibri"/>
          <w:b w:val="0"/>
          <w:i w:val="0"/>
          <w:sz w:val="22"/>
        </w:rPr>
        <w:t>The group's Terms of Reference justify this work stream with one sentence: only about 5 % of published evaluations of large language models in medicine use real patient data. The source is a systematic review of 519 studies (Bedi S, Liu Y, Orr-Ewing L, et al. JAMA. 2025;333(4):319-328, doi:10.1001/jama.2024.21700). The rest are evaluated on licensing-exam questions and curated vignettes, which say little about clinical performance. The group's first deliverable here is a requirements document for evaluating these models in health; its medium-term one is a benchmark suite built on real clinical data.</w:t>
      </w:r>
    </w:p>
    <w:p/>
    <w:p>
      <w:r>
        <w:rPr>
          <w:rFonts w:ascii="Calibri" w:hAnsi="Calibri" w:cs="Calibri"/>
          <w:b w:val="0"/>
          <w:i w:val="0"/>
          <w:sz w:val="22"/>
        </w:rPr>
        <w:t>This is the part of the group's work that draws the most attention from outside, and it is the part with the least written down. The session exists to give it an owner, a scope and a first concrete benchmark.</w:t>
      </w:r>
    </w:p>
    <w:p/>
    <w:p>
      <w:pPr>
        <w:pStyle w:val="Heading2"/>
      </w:pPr>
      <w:r>
        <w:t>2. What exists today</w:t>
      </w:r>
    </w:p>
    <w:p/>
    <w:p>
      <w:r>
        <w:rPr>
          <w:rFonts w:ascii="Calibri" w:hAnsi="Calibri" w:cs="Calibri"/>
          <w:b/>
          <w:i w:val="0"/>
          <w:sz w:val="22"/>
        </w:rPr>
        <w:t>The Terms of Reference</w:t>
      </w:r>
      <w:r>
        <w:rPr>
          <w:rFonts w:ascii="Calibri" w:hAnsi="Calibri" w:cs="Calibri"/>
          <w:b w:val="0"/>
          <w:i w:val="0"/>
          <w:sz w:val="22"/>
        </w:rPr>
        <w:t xml:space="preserve"> name four areas. Clinical safety covers hallucination, misinformation, harmful recommendations and red-teaming. Clinical task performance covers diagnostic reasoning beyond multiple choice, treatment recommendations against guidelines, documentation quality and patient communication. Benchmark development covers real-world scenarios, multilingual sets, low-resource and rare-disease sets, and longitudinal consistency. Fairness and equity covers demographic bias, performance stratified by population, geographic and cultural appropriateness, and accessibility.</w:t>
      </w:r>
    </w:p>
    <w:p/>
    <w:p>
      <w:r>
        <w:rPr>
          <w:rFonts w:ascii="Calibri" w:hAnsi="Calibri" w:cs="Calibri"/>
          <w:b/>
          <w:i w:val="0"/>
          <w:sz w:val="22"/>
        </w:rPr>
        <w:t>A vehicle for real-patient-data evaluation now exists.</w:t>
      </w:r>
      <w:r>
        <w:rPr>
          <w:rFonts w:ascii="Calibri" w:hAnsi="Calibri" w:cs="Calibri"/>
          <w:b w:val="0"/>
          <w:i w:val="0"/>
          <w:sz w:val="22"/>
        </w:rPr>
        <w:t xml:space="preserve"> The Benchmarking Challenge is built to evaluate a model on clinical data that stays under the holding institution's control. Phase 1, which closes on 18 December 2026, collects the evaluation solutions and the clinical use cases; Phase 2, during 2027, evaluates models against them. This is the missing 95 %, in mechanism if not yet in volume.</w:t>
      </w:r>
    </w:p>
    <w:p/>
    <w:p>
      <w:r>
        <w:rPr>
          <w:rFonts w:ascii="Calibri" w:hAnsi="Calibri" w:cs="Calibri"/>
          <w:b/>
          <w:i w:val="0"/>
          <w:sz w:val="22"/>
        </w:rPr>
        <w:t>A text-shaped data host is confirmed.</w:t>
      </w:r>
      <w:r>
        <w:rPr>
          <w:rFonts w:ascii="Calibri" w:hAnsi="Calibri" w:cs="Calibri"/>
          <w:b w:val="0"/>
          <w:i w:val="0"/>
          <w:sz w:val="22"/>
        </w:rPr>
        <w:t xml:space="preserve"> The SREDH Consortium, custodian for several Australian hospitals and with UNSW Sydney among its members, is presenting as a data host at the challenge session on 18 September, subject to its own completion of ethics and legal review. It has put forward three candidate clinical questions: survival prediction from whole-slide images, summarisation of clinical records graded by clinicians, and a privacy-risk classification that assigns one of three ordered tiers to each clinical report, evaluated with a cost weighting that penalises missing a high-risk report.</w:t>
      </w:r>
    </w:p>
    <w:p/>
    <w:p>
      <w:r>
        <w:rPr>
          <w:rFonts w:ascii="Calibri" w:hAnsi="Calibri" w:cs="Calibri"/>
          <w:b/>
          <w:i w:val="0"/>
          <w:sz w:val="22"/>
        </w:rPr>
        <w:t>The third of those is directly runnable on the evaluation platform today</w:t>
      </w:r>
      <w:r>
        <w:rPr>
          <w:rFonts w:ascii="Calibri" w:hAnsi="Calibri" w:cs="Calibri"/>
          <w:b w:val="0"/>
          <w:i w:val="0"/>
          <w:sz w:val="22"/>
        </w:rPr>
        <w:t>, which was not understood when this work stream was last discussed. One ordered tier per report is ordinal grading: the same task shape as the reference diabetic-retinopathy task, scored with quadratic-weighted agreement plus sensitivity and specificity at a threshold, where the host's high-risk tier plays the part of the referable cut-off. No new scoring family is needed.</w:t>
      </w:r>
    </w:p>
    <w:p/>
    <w:p>
      <w:r>
        <w:rPr>
          <w:rFonts w:ascii="Calibri" w:hAnsi="Calibri" w:cs="Calibri"/>
          <w:b/>
          <w:i w:val="0"/>
          <w:sz w:val="22"/>
        </w:rPr>
        <w:t>What the evaluation platform can score today</w:t>
      </w:r>
      <w:r>
        <w:rPr>
          <w:rFonts w:ascii="Calibri" w:hAnsi="Calibri" w:cs="Calibri"/>
          <w:b w:val="0"/>
          <w:i w:val="0"/>
          <w:sz w:val="22"/>
        </w:rPr>
        <w:t xml:space="preserve"> is otherwise narrower than the ambition: one label per item, meaning ordinal grading and nominal classification. Span extraction, which covers de-identification and temporal normalisation, together with transcription, segmentation and detection, are specified but deliberately unbuilt until a named host freezes a task definition. Free-text generation scored by a human grader has no path in Phase 1. Survival prediction is further still: time-to-event data with censoring is not in the specification at all.</w:t>
      </w:r>
    </w:p>
    <w:p/>
    <w:p>
      <w:r>
        <w:rPr>
          <w:rFonts w:ascii="Calibri" w:hAnsi="Calibri" w:cs="Calibri"/>
          <w:b/>
          <w:i w:val="0"/>
          <w:sz w:val="22"/>
        </w:rPr>
        <w:t>External liaison.</w:t>
      </w:r>
      <w:r>
        <w:rPr>
          <w:rFonts w:ascii="Calibri" w:hAnsi="Calibri" w:cs="Calibri"/>
          <w:b w:val="0"/>
          <w:i w:val="0"/>
          <w:sz w:val="22"/>
        </w:rPr>
        <w:t xml:space="preserve"> No formal liaison with an existing medical-LLM leaderboard is on record. Establishing one is a candidate action for this session rather than an existing asset, and the medium-term benchmark suite is pencilled for early 2027 in the OCI plan.</w:t>
      </w:r>
    </w:p>
    <w:p/>
    <w:p>
      <w:pPr>
        <w:pStyle w:val="Heading2"/>
      </w:pPr>
      <w:r>
        <w:t>3. Decisions to take</w:t>
      </w:r>
    </w:p>
    <w:p/>
    <w:p>
      <w:pPr>
        <w:pStyle w:val="Heading3"/>
      </w:pPr>
      <w:r>
        <w:t>D1. Owner of the requirements document</w:t>
      </w:r>
    </w:p>
    <w:p/>
    <w:p>
      <w:r>
        <w:rPr>
          <w:rFonts w:ascii="Calibri" w:hAnsi="Calibri" w:cs="Calibri"/>
          <w:b w:val="0"/>
          <w:i w:val="0"/>
          <w:sz w:val="22"/>
        </w:rPr>
        <w:t>Proposal: one editor from the group with a clinical-NLP or clinical-safety background, and one from the OCI side for the evaluation-mechanics sections, both named in the room. Candidates should be put forward in the session. Without names the document will not exist in December either.</w:t>
      </w:r>
    </w:p>
    <w:p/>
    <w:p>
      <w:pPr>
        <w:pStyle w:val="Heading3"/>
      </w:pPr>
      <w:r>
        <w:t>D2. Scope of version 1</w:t>
      </w:r>
    </w:p>
    <w:p/>
    <w:p>
      <w:r>
        <w:rPr>
          <w:rFonts w:ascii="Calibri" w:hAnsi="Calibri" w:cs="Calibri"/>
          <w:b w:val="0"/>
          <w:i w:val="0"/>
          <w:sz w:val="22"/>
        </w:rPr>
        <w:t>Proposal: v1 covers two of the four areas fully rather than all four thinly.</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Clinical task performance, because it is what a hospital or a regulator asks about first, and what a real-patient-data benchmark can actually measure.</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Fairness and equity, because subgroup-stratified reporting cannot be added after the fact and the platform already reports it for label-shaped tasks.</w:t>
      </w:r>
    </w:p>
    <w:p/>
    <w:p>
      <w:r>
        <w:rPr>
          <w:rFonts w:ascii="Calibri" w:hAnsi="Calibri" w:cs="Calibri"/>
          <w:b w:val="0"/>
          <w:i w:val="0"/>
          <w:sz w:val="22"/>
        </w:rPr>
        <w:t>Clinical safety and benchmark development become v2, with a paragraph each in v1 stating what they will need. The room may swap which two; the decision is two now and two later.</w:t>
      </w:r>
    </w:p>
    <w:p/>
    <w:p>
      <w:pPr>
        <w:pStyle w:val="Heading3"/>
      </w:pPr>
      <w:r>
        <w:t>D3. The first benchmark on real patient data</w:t>
      </w:r>
    </w:p>
    <w:p/>
    <w:p>
      <w:r>
        <w:rPr>
          <w:rFonts w:ascii="Calibri" w:hAnsi="Calibri" w:cs="Calibri"/>
          <w:b w:val="0"/>
          <w:i w:val="0"/>
          <w:sz w:val="22"/>
        </w:rPr>
        <w:t>Proposal: the first benchmark is a text task contributed by a data host through the challenge and evaluated in Phase 2, and the task shape is chosen so that it can actually be scored. Three candidate shapes are on the table.</w:t>
      </w:r>
    </w:p>
    <w:p/>
    <w:p>
      <w:pPr>
        <w:spacing w:after="80" w:lineRule="auto" w:line="300"/>
        <w:ind w:left="340" w:hanging="340"/>
      </w:pPr>
      <w:r>
        <w:rPr>
          <w:rFonts w:ascii="Calibri" w:hAnsi="Calibri" w:cs="Calibri"/>
          <w:b w:val="0"/>
          <w:i w:val="0"/>
          <w:sz w:val="22"/>
        </w:rPr>
        <w:t>•</w:t>
        <w:tab/>
      </w:r>
      <w:r>
        <w:rPr>
          <w:rFonts w:ascii="Calibri" w:hAnsi="Calibri" w:cs="Calibri"/>
          <w:b/>
          <w:i w:val="0"/>
          <w:sz w:val="22"/>
        </w:rPr>
        <w:t>Ordinal classification of a clinical report</w:t>
      </w:r>
      <w:r>
        <w:rPr>
          <w:rFonts w:ascii="Calibri" w:hAnsi="Calibri" w:cs="Calibri"/>
          <w:b w:val="0"/>
          <w:i w:val="0"/>
          <w:sz w:val="22"/>
        </w:rPr>
        <w:t>, such as the SREDH privacy-risk tiering. Scored without a human in the loop. The platform ships this today. It is the least ambitious clinically and the only one that could be frozen this year.</w:t>
      </w:r>
    </w:p>
    <w:p>
      <w:pPr>
        <w:spacing w:after="80" w:lineRule="auto" w:line="300"/>
        <w:ind w:left="340" w:hanging="340"/>
      </w:pPr>
      <w:r>
        <w:rPr>
          <w:rFonts w:ascii="Calibri" w:hAnsi="Calibri" w:cs="Calibri"/>
          <w:b w:val="0"/>
          <w:i w:val="0"/>
          <w:sz w:val="22"/>
        </w:rPr>
        <w:t>•</w:t>
        <w:tab/>
      </w:r>
      <w:r>
        <w:rPr>
          <w:rFonts w:ascii="Calibri" w:hAnsi="Calibri" w:cs="Calibri"/>
          <w:b/>
          <w:i w:val="0"/>
          <w:sz w:val="22"/>
        </w:rPr>
        <w:t>Span extraction on clinical notes</w:t>
      </w:r>
      <w:r>
        <w:rPr>
          <w:rFonts w:ascii="Calibri" w:hAnsi="Calibri" w:cs="Calibri"/>
          <w:b w:val="0"/>
          <w:i w:val="0"/>
          <w:sz w:val="22"/>
        </w:rPr>
        <w:t>, such as de-identification or temporal normalisation. Scored without a human in the loop. Specified but unbuilt, waiting for a host to freeze a definition. It is a real clinical-documentation task and the SREDH corpus fits it.</w:t>
      </w:r>
    </w:p>
    <w:p>
      <w:pPr>
        <w:spacing w:after="80" w:lineRule="auto" w:line="300"/>
        <w:ind w:left="340" w:hanging="340"/>
      </w:pPr>
      <w:r>
        <w:rPr>
          <w:rFonts w:ascii="Calibri" w:hAnsi="Calibri" w:cs="Calibri"/>
          <w:b w:val="0"/>
          <w:i w:val="0"/>
          <w:sz w:val="22"/>
        </w:rPr>
        <w:t>•</w:t>
        <w:tab/>
      </w:r>
      <w:r>
        <w:rPr>
          <w:rFonts w:ascii="Calibri" w:hAnsi="Calibri" w:cs="Calibri"/>
          <w:b/>
          <w:i w:val="0"/>
          <w:sz w:val="22"/>
        </w:rPr>
        <w:t>Summarisation graded by clinicians on rating scales.</w:t>
      </w:r>
      <w:r>
        <w:rPr>
          <w:rFonts w:ascii="Calibri" w:hAnsi="Calibri" w:cs="Calibri"/>
          <w:b w:val="0"/>
          <w:i w:val="0"/>
          <w:sz w:val="22"/>
        </w:rPr>
        <w:t xml:space="preserve"> Cannot be scored without a human in the loop. No path in Phase 1. Highest clinical interest, and it needs a grader protocol before anything else.</w:t>
      </w:r>
    </w:p>
    <w:p/>
    <w:p>
      <w:r>
        <w:rPr>
          <w:rFonts w:ascii="Calibri" w:hAnsi="Calibri" w:cs="Calibri"/>
          <w:b w:val="0"/>
          <w:i w:val="0"/>
          <w:sz w:val="22"/>
        </w:rPr>
        <w:t>Proposed decision: the first benchmark is the ordinal report-classification task, because it needs no new build and can be frozen as soon as the host's definition arrives; span extraction is the second and triggers the build of that task kind; summarisation is the third and waits on a grader protocol, which is itself a section of the v1 requirements document.</w:t>
      </w:r>
    </w:p>
    <w:p/>
    <w:p>
      <w:pPr>
        <w:pStyle w:val="Heading3"/>
      </w:pPr>
      <w:r>
        <w:t>D4. What real-patient-data evaluation requires of the other streams</w:t>
      </w:r>
    </w:p>
    <w:p/>
    <w:p>
      <w:r>
        <w:rPr>
          <w:rFonts w:ascii="Calibri" w:hAnsi="Calibri" w:cs="Calibri"/>
          <w:b w:val="0"/>
          <w:i w:val="0"/>
          <w:sz w:val="22"/>
        </w:rPr>
        <w:t>Proposal: record, as a dependency rather than as a decision, that every real-patient-data benchmark in this stream runs through a privacy-preserving evaluation route, meaning session 3's protocol and the challenge's sealed-execution or encrypted-computation solutions. The requirements document therefore contains a section on what an evaluation route must guarantee, covering threat model, disclosure profile and fidelity gap, by reference to the challenge's published conformance specification rather than by duplicating it.</w:t>
      </w:r>
    </w:p>
    <w:p/>
    <w:p>
      <w:pPr>
        <w:pStyle w:val="Heading3"/>
      </w:pPr>
      <w:r>
        <w:t>D5. Dates</w:t>
      </w:r>
    </w:p>
    <w:p/>
    <w:p>
      <w:r>
        <w:rPr>
          <w:rFonts w:ascii="Calibri" w:hAnsi="Calibri" w:cs="Calibri"/>
          <w:b w:val="0"/>
          <w:i w:val="0"/>
          <w:sz w:val="22"/>
        </w:rPr>
        <w:t>Proposal: a v1 outline to the list by 16 October 2026; a v1 draft by 11 December 2026, before the challenge's Phase 1 closes on the 18th; and the first Phase 2 text task frozen when the host's definition arrives.</w:t>
      </w:r>
    </w:p>
    <w:p/>
    <w:p>
      <w:pPr>
        <w:pStyle w:val="Heading2"/>
      </w:pPr>
      <w:r>
        <w:t>4. What the session does not decide</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Whether any model is good enough for any clinical use. The stream produces requirements and measurements; adequacy is set by the institution that owns the clinical question.</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A ranking of models. There is none; each task answers a different question.</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The grader protocol for summarisation. It is named as v1 content, not written in the room.</w:t>
      </w:r>
    </w:p>
    <w:p/>
    <w:p>
      <w:pPr>
        <w:pStyle w:val="Heading2"/>
      </w:pPr>
      <w:r>
        <w:t>5. Read-back</w:t>
      </w:r>
    </w:p>
    <w:p/>
    <w:p>
      <w:r>
        <w:rPr>
          <w:rFonts w:ascii="Calibri" w:hAnsi="Calibri" w:cs="Calibri"/>
          <w:b w:val="0"/>
          <w:i w:val="0"/>
          <w:sz w:val="22"/>
        </w:rPr>
        <w:t>At 35 minutes the chair reads back D1 to D5 as decided, with an owner and a date for each, and they go into the minutes unchanged.</w:t>
      </w:r>
    </w:p>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Pr>
    <w:r>
      <w:rPr>
        <w:rFonts w:ascii="Calibri" w:hAnsi="Calibri" w:cs="Calibri"/>
        <w:b w:val="0"/>
        <w:i w:val="0"/>
        <w:color w:val="6B7280"/>
        <w:sz w:val="18"/>
      </w:rPr>
      <w:t>GI-AI4H-WGD-OCI-005</w:t>
    </w:r>
    <w:r>
      <w:tab/>
    </w:r>
    <w:r/>
    <w:r>
      <w:rPr>
        <w:rFonts w:ascii="Calibri" w:hAnsi="Calibri" w:cs="Calibri"/>
        <w:b w:val="0"/>
        <w:i w:val="0"/>
        <w:color w:val="6B7280"/>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003D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