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787" w:val="right"/>
        </w:tabs>
        <w:spacing w:after="0"/>
      </w:pPr>
      <w:r>
        <w:rPr>
          <w:rFonts w:ascii="Calibri" w:hAnsi="Calibri" w:cs="Calibri"/>
          <w:b/>
          <w:i w:val="0"/>
          <w:color w:val="003D6B"/>
          <w:sz w:val="24"/>
        </w:rPr>
        <w:t>GI-AI4H</w:t>
      </w:r>
      <w:r>
        <w:rPr>
          <w:rFonts w:ascii="Calibri" w:hAnsi="Calibri" w:cs="Calibri"/>
          <w:b w:val="0"/>
          <w:i w:val="0"/>
          <w:color w:val="6B7280"/>
          <w:sz w:val="20"/>
        </w:rPr>
        <w:t xml:space="preserve">   ·   ITU · WHO · WIPO</w:t>
      </w:r>
      <w:r>
        <w:tab/>
      </w:r>
      <w:r>
        <w:rPr>
          <w:rFonts w:ascii="Consolas" w:hAnsi="Consolas" w:cs="Consolas"/>
          <w:b w:val="0"/>
          <w:i w:val="0"/>
          <w:color w:val="6B7280"/>
          <w:sz w:val="20"/>
        </w:rPr>
        <w:t>GI-AI4H-WGD-OCI-006</w:t>
      </w:r>
    </w:p>
    <w:p>
      <w:pPr>
        <w:spacing w:after="80"/>
      </w:pPr>
      <w:r>
        <w:rPr>
          <w:rFonts w:ascii="Calibri" w:hAnsi="Calibri" w:cs="Calibri"/>
          <w:b w:val="0"/>
          <w:i/>
          <w:color w:val="6B7280"/>
          <w:sz w:val="20"/>
        </w:rPr>
        <w:t>ITU/WHO/WIPO Global Initiative on AI for Health (GI-AI4H)</w:t>
      </w:r>
    </w:p>
    <w:p>
      <w:pPr>
        <w:spacing w:before="40" w:after="160"/>
        <w:pBdr>
          <w:bottom w:val="single" w:sz="6" w:space="1" w:color="CBD5E0"/>
        </w:pBdr>
      </w:pPr>
    </w:p>
    <w:p>
      <w:pPr>
        <w:spacing w:after="560"/>
      </w:pPr>
      <w:r>
        <w:rPr>
          <w:rFonts w:ascii="Calibri" w:hAnsi="Calibri" w:cs="Calibri"/>
          <w:b/>
          <w:i w:val="0"/>
          <w:color w:val="003D6B"/>
          <w:sz w:val="18"/>
        </w:rPr>
        <w:t>WG-DATA</w:t>
      </w:r>
      <w:r>
        <w:rPr>
          <w:rFonts w:ascii="Calibri" w:hAnsi="Calibri" w:cs="Calibri"/>
          <w:b w:val="0"/>
          <w:i w:val="0"/>
          <w:color w:val="6B7280"/>
          <w:sz w:val="18"/>
        </w:rPr>
        <w:t xml:space="preserve">   ·   </w:t>
      </w:r>
      <w:r>
        <w:rPr>
          <w:rFonts w:ascii="Calibri" w:hAnsi="Calibri" w:cs="Calibri"/>
          <w:b w:val="0"/>
          <w:i w:val="0"/>
          <w:color w:val="6B7280"/>
          <w:sz w:val="18"/>
        </w:rPr>
        <w:t>Third meeting of the Global Initiative on AI for Health, Hangzhou, 16-18 September 2026</w:t>
      </w:r>
    </w:p>
    <w:p>
      <w:pPr>
        <w:spacing w:after="160"/>
      </w:pPr>
      <w:r>
        <w:rPr>
          <w:rFonts w:ascii="Calibri" w:hAnsi="Calibri" w:cs="Calibri"/>
          <w:b/>
          <w:i w:val="0"/>
          <w:color w:val="FFFFFF"/>
          <w:sz w:val="18"/>
          <w:shd w:val="clear" w:color="auto" w:fill="003D6B"/>
        </w:rPr>
        <w:t xml:space="preserve">  DISCUSSION  </w:t>
      </w:r>
    </w:p>
    <w:p>
      <w:pPr>
        <w:spacing w:before="160" w:after="80" w:lineRule="auto" w:line="276"/>
      </w:pPr>
      <w:r>
        <w:rPr>
          <w:rFonts w:ascii="Calibri" w:hAnsi="Calibri" w:cs="Calibri"/>
          <w:b/>
          <w:i w:val="0"/>
          <w:color w:val="111827"/>
          <w:sz w:val="48"/>
        </w:rPr>
        <w:t>The data and model exchange protocol</w:t>
      </w:r>
    </w:p>
    <w:p>
      <w:pPr>
        <w:spacing w:after="560"/>
      </w:pPr>
      <w:r>
        <w:rPr>
          <w:rFonts w:ascii="Calibri" w:hAnsi="Calibri" w:cs="Calibri"/>
          <w:b w:val="0"/>
          <w:i/>
          <w:color w:val="6B7280"/>
          <w:sz w:val="22"/>
        </w:rPr>
        <w:t>Contribution to GI-AI4H WG-Data   ·   2026-09-12</w:t>
      </w:r>
    </w:p>
    <w:p>
      <w:pPr>
        <w:tabs>
          <w:tab w:pos="2268" w:val="left"/>
        </w:tabs>
        <w:spacing w:after="120"/>
      </w:pPr>
      <w:r>
        <w:rPr>
          <w:rFonts w:ascii="Calibri" w:hAnsi="Calibri" w:cs="Calibri"/>
          <w:b/>
          <w:i w:val="0"/>
          <w:color w:val="6B7280"/>
          <w:sz w:val="18"/>
        </w:rPr>
        <w:t>SOURCE</w:t>
      </w:r>
      <w:r>
        <w:tab/>
      </w:r>
      <w:r>
        <w:rPr>
          <w:rFonts w:ascii="Calibri" w:hAnsi="Calibri" w:cs="Calibri"/>
          <w:b w:val="0"/>
          <w:i w:val="0"/>
          <w:color w:val="111827"/>
          <w:sz w:val="22"/>
        </w:rPr>
        <w:t>OCI Platform team</w:t>
      </w:r>
      <w:r>
        <w:br/>
        <w:tab/>
      </w:r>
      <w:r>
        <w:rPr>
          <w:rFonts w:ascii="Calibri" w:hAnsi="Calibri" w:cs="Calibri"/>
          <w:b w:val="0"/>
          <w:i w:val="0"/>
          <w:color w:val="111827"/>
          <w:sz w:val="22"/>
        </w:rPr>
        <w:t>Marc Lecoultre, MLLab.ai</w:t>
      </w:r>
      <w:r>
        <w:br/>
        <w:tab/>
      </w:r>
      <w:r>
        <w:rPr>
          <w:rFonts w:ascii="Calibri" w:hAnsi="Calibri" w:cs="Calibri"/>
          <w:b w:val="0"/>
          <w:i w:val="0"/>
          <w:color w:val="111827"/>
          <w:sz w:val="22"/>
        </w:rPr>
        <w:t>GI-AI4H Open Code Infrastructure</w:t>
      </w:r>
    </w:p>
    <w:p>
      <w:pPr>
        <w:tabs>
          <w:tab w:pos="2268" w:val="left"/>
        </w:tabs>
        <w:spacing w:after="120"/>
      </w:pPr>
      <w:r>
        <w:rPr>
          <w:rFonts w:ascii="Calibri" w:hAnsi="Calibri" w:cs="Calibri"/>
          <w:b/>
          <w:i w:val="0"/>
          <w:color w:val="6B7280"/>
          <w:sz w:val="18"/>
        </w:rPr>
        <w:t>CONTACT</w:t>
      </w:r>
      <w:r>
        <w:tab/>
      </w:r>
      <w:r>
        <w:rPr>
          <w:rFonts w:ascii="Calibri" w:hAnsi="Calibri" w:cs="Calibri"/>
          <w:b w:val="0"/>
          <w:i w:val="0"/>
          <w:color w:val="111827"/>
          <w:sz w:val="22"/>
        </w:rPr>
        <w:t>Marc Lecoultre, MLLab.ai (OCI Platform team)</w:t>
      </w:r>
      <w:r>
        <w:br/>
        <w:tab/>
      </w:r>
      <w:r>
        <w:rPr>
          <w:rFonts w:ascii="Calibri" w:hAnsi="Calibri" w:cs="Calibri"/>
          <w:b w:val="0"/>
          <w:i w:val="0"/>
          <w:color w:val="111827"/>
          <w:sz w:val="22"/>
        </w:rPr>
        <w:t>ml@mllab.ai</w:t>
      </w:r>
    </w:p>
    <w:p>
      <w:pPr>
        <w:tabs>
          <w:tab w:pos="2268" w:val="left"/>
        </w:tabs>
        <w:spacing w:after="120"/>
      </w:pPr>
      <w:r>
        <w:rPr>
          <w:rFonts w:ascii="Calibri" w:hAnsi="Calibri" w:cs="Calibri"/>
          <w:b/>
          <w:i w:val="0"/>
          <w:color w:val="6B7280"/>
          <w:sz w:val="18"/>
        </w:rPr>
        <w:t>PURPOSE</w:t>
      </w:r>
      <w:r>
        <w:tab/>
      </w:r>
      <w:r>
        <w:rPr>
          <w:rFonts w:ascii="Calibri" w:hAnsi="Calibri" w:cs="Calibri"/>
          <w:b w:val="0"/>
          <w:i w:val="0"/>
          <w:color w:val="111827"/>
          <w:sz w:val="22"/>
        </w:rPr>
        <w:t>Discussion</w:t>
      </w:r>
    </w:p>
    <w:p>
      <w:pPr>
        <w:tabs>
          <w:tab w:pos="2268" w:val="left"/>
        </w:tabs>
        <w:spacing w:after="120"/>
      </w:pPr>
      <w:r>
        <w:rPr>
          <w:rFonts w:ascii="Calibri" w:hAnsi="Calibri" w:cs="Calibri"/>
          <w:b/>
          <w:i w:val="0"/>
          <w:color w:val="6B7280"/>
          <w:sz w:val="18"/>
        </w:rPr>
        <w:t>DOCUMENT</w:t>
      </w:r>
      <w:r>
        <w:tab/>
      </w:r>
      <w:r>
        <w:rPr>
          <w:rFonts w:ascii="Calibri" w:hAnsi="Calibri" w:cs="Calibri"/>
          <w:b w:val="0"/>
          <w:i w:val="0"/>
          <w:color w:val="111827"/>
          <w:sz w:val="22"/>
        </w:rPr>
        <w:t>GI-AI4H-WGD-OCI-006</w:t>
      </w:r>
    </w:p>
    <w:p>
      <w:pPr>
        <w:spacing w:before="0" w:after="160"/>
      </w:pPr>
    </w:p>
    <w:p>
      <w:pPr>
        <w:spacing w:before="40" w:after="160"/>
        <w:pBdr>
          <w:bottom w:val="single" w:sz="6" w:space="1" w:color="CBD5E0"/>
        </w:pBdr>
      </w:pPr>
    </w:p>
    <w:p>
      <w:pPr>
        <w:spacing w:before="80" w:after="120"/>
      </w:pPr>
      <w:r>
        <w:rPr>
          <w:rFonts w:ascii="Calibri" w:hAnsi="Calibri" w:cs="Calibri"/>
          <w:b/>
          <w:i w:val="0"/>
          <w:color w:val="003D6B"/>
          <w:sz w:val="28"/>
        </w:rPr>
        <w:t>Abstract</w:t>
      </w:r>
    </w:p>
    <w:p>
      <w:pPr>
        <w:spacing w:after="240" w:lineRule="auto" w:line="336"/>
        <w:ind w:left="0" w:right="0"/>
      </w:pPr>
      <w:r>
        <w:rPr>
          <w:rFonts w:ascii="Calibri" w:hAnsi="Calibri"/>
          <w:sz w:val="22"/>
        </w:rPr>
        <w:t>The Terms of Reference ask the working group to specify a protocol for exchanging data and models securely: asset authentication and provenance, usage rights that travel with the asset, party authentication and authorisation, and an audit trail a regulator can read. Three things the group wants in 2027 depend on it, and it has neither a draft nor a drafting team. This note observes that most of the pieces already exist without having been built as a protocol, sets out precisely which requirement each existing artefact answers, and names the gap: there is no signature over a manifest as a whole or over a model container as it travels, and no statement of who computes a published metric. Both teams presenting at the benchmarking-challenge session have now filed declarations and they disagree on that second point, which is the clearest available argument for specifying it. The note puts four decisions to the working session in Hangzhou on 18 September 2026: what version 0.1 contains; whether the challenge's route declarations and result record become its first profiles; who drafts it and by when; and what the 2027 work items need from it. Nothing here has been agreed.</w:t>
      </w:r>
    </w:p>
    <w:p>
      <w:r>
        <w:br w:type="page"/>
      </w:r>
    </w:p>
    <w:p>
      <w:pPr>
        <w:pStyle w:val="Heading2"/>
      </w:pPr>
      <w:r>
        <w:t>1. Why this session</w:t>
      </w:r>
    </w:p>
    <w:p/>
    <w:p>
      <w:r>
        <w:rPr>
          <w:rFonts w:ascii="Calibri" w:hAnsi="Calibri" w:cs="Calibri"/>
          <w:b w:val="0"/>
          <w:i w:val="0"/>
          <w:sz w:val="22"/>
        </w:rPr>
        <w:t>The Terms of Reference ask the group to specify a protocol for exchanging data and models securely: how an asset is authenticated and its provenance tracked, how usage rights and licences travel with it, how the parties are authenticated and authorised, and what audit trail is kept for a regulator. The group calls it the Data and Model Exchange Protocol. Its first version is a medium-term deliverable, and in the OCI plan a v0.1 design document is due before the end of 2026.</w:t>
      </w:r>
    </w:p>
    <w:p/>
    <w:p>
      <w:r>
        <w:rPr>
          <w:rFonts w:ascii="Calibri" w:hAnsi="Calibri" w:cs="Calibri"/>
          <w:b w:val="0"/>
          <w:i w:val="0"/>
          <w:sz w:val="22"/>
        </w:rPr>
        <w:t>Three things the group wants in 2027 cannot be specified without it: federated learning across institutions, running a model where the data lives, and a regulator-readable audit trail. The protocol is therefore a dependency for other people's work, and it has no draft and no drafting team. The session gives it both.</w:t>
      </w:r>
    </w:p>
    <w:p/>
    <w:p>
      <w:pPr>
        <w:pStyle w:val="Heading2"/>
      </w:pPr>
      <w:r>
        <w:t>2. What exists today that v0.1 can absorb</w:t>
      </w:r>
    </w:p>
    <w:p/>
    <w:p>
      <w:r>
        <w:rPr>
          <w:rFonts w:ascii="Calibri" w:hAnsi="Calibri" w:cs="Calibri"/>
          <w:b w:val="0"/>
          <w:i w:val="0"/>
          <w:sz w:val="22"/>
        </w:rPr>
        <w:t>None of this was built as "the protocol", but each piece answers one of the Terms of Reference's requirements and is in use.</w:t>
      </w:r>
    </w:p>
    <w:p/>
    <w:p>
      <w:r>
        <w:rPr>
          <w:rFonts w:ascii="Calibri" w:hAnsi="Calibri" w:cs="Calibri"/>
          <w:b/>
          <w:i w:val="0"/>
          <w:sz w:val="22"/>
        </w:rPr>
        <w:t>Usage-rights specification and licence management.</w:t>
      </w:r>
      <w:r>
        <w:rPr>
          <w:rFonts w:ascii="Calibri" w:hAnsi="Calibri" w:cs="Calibri"/>
          <w:b w:val="0"/>
          <w:i w:val="0"/>
          <w:sz w:val="22"/>
        </w:rPr>
        <w:t xml:space="preserve"> Dataset-level DUO terms, ODRL rules and a data-protection block, which is session 1's subject. In BIOCroissant v0.1 and OCI-002.</w:t>
      </w:r>
    </w:p>
    <w:p/>
    <w:p>
      <w:r>
        <w:rPr>
          <w:rFonts w:ascii="Calibri" w:hAnsi="Calibri" w:cs="Calibri"/>
          <w:b/>
          <w:i w:val="0"/>
          <w:sz w:val="22"/>
        </w:rPr>
        <w:t>User authentication and authorisation.</w:t>
      </w:r>
      <w:r>
        <w:rPr>
          <w:rFonts w:ascii="Calibri" w:hAnsi="Calibri" w:cs="Calibri"/>
          <w:b w:val="0"/>
          <w:i w:val="0"/>
          <w:sz w:val="22"/>
        </w:rPr>
        <w:t xml:space="preserve"> Tiered identity assurance, GA4GH Passport visas for requester claims, and a proposed visa type for AI-builder accreditation. In the OCI access-governance decision record and OCI-001.</w:t>
      </w:r>
    </w:p>
    <w:p/>
    <w:p>
      <w:r>
        <w:rPr>
          <w:rFonts w:ascii="Calibri" w:hAnsi="Calibri" w:cs="Calibri"/>
          <w:b/>
          <w:i w:val="0"/>
          <w:sz w:val="22"/>
        </w:rPr>
        <w:t>Data authentication, signing and provenance.</w:t>
      </w:r>
      <w:r>
        <w:rPr>
          <w:rFonts w:ascii="Calibri" w:hAnsi="Calibri" w:cs="Calibri"/>
          <w:b w:val="0"/>
          <w:i w:val="0"/>
          <w:sz w:val="22"/>
        </w:rPr>
        <w:t xml:space="preserve"> Partly present and worth stating precisely, because it is the largest gap. Croissant carries a per-file </w:t>
      </w:r>
      <w:r>
        <w:rPr>
          <w:rFonts w:ascii="Consolas" w:hAnsi="Consolas" w:cs="Consolas"/>
          <w:b w:val="0"/>
          <w:i w:val="0"/>
          <w:color w:val="6B21A8"/>
          <w:sz w:val="20"/>
        </w:rPr>
        <w:t>sha256</w:t>
      </w:r>
      <w:r>
        <w:rPr>
          <w:rFonts w:ascii="Calibri" w:hAnsi="Calibri" w:cs="Calibri"/>
          <w:b w:val="0"/>
          <w:i w:val="0"/>
          <w:sz w:val="22"/>
        </w:rPr>
        <w:t xml:space="preserve"> checksum on each distribution, which is part of the core standard rather than anything the group added. The OCI provenance profile adds an integrity block over an annotation campaign, carrying the hash algorithm, the chain head digest and the number of chained records, together with references to access, agreement and consent receipts, which are never inlined. What does not exist, in the OCI or anywhere else the group has surveyed, is a signature over the manifest as a whole, or over a model container as it travels. Checksums prove that a file did not change. They do not say who vouched for it.</w:t>
      </w:r>
    </w:p>
    <w:p/>
    <w:p>
      <w:r>
        <w:rPr>
          <w:rFonts w:ascii="Calibri" w:hAnsi="Calibri" w:cs="Calibri"/>
          <w:b/>
          <w:i w:val="0"/>
          <w:sz w:val="22"/>
        </w:rPr>
        <w:t>Audit trail for regulatory compliance.</w:t>
      </w:r>
      <w:r>
        <w:rPr>
          <w:rFonts w:ascii="Calibri" w:hAnsi="Calibri" w:cs="Calibri"/>
          <w:b w:val="0"/>
          <w:i w:val="0"/>
          <w:sz w:val="22"/>
        </w:rPr>
        <w:t xml:space="preserve"> Every evaluation result carries the task, the route and route version, the review status and the metrics; the review gate is enforced, so a result stays provisional until the route version is approved. Retraction is committed but not yet mechanised. In the challenge conformance specification, section 6.</w:t>
      </w:r>
    </w:p>
    <w:p/>
    <w:p>
      <w:r>
        <w:rPr>
          <w:rFonts w:ascii="Calibri" w:hAnsi="Calibri" w:cs="Calibri"/>
          <w:b/>
          <w:i w:val="0"/>
          <w:sz w:val="22"/>
        </w:rPr>
        <w:t>Communication protocol.</w:t>
      </w:r>
      <w:r>
        <w:rPr>
          <w:rFonts w:ascii="Calibri" w:hAnsi="Calibri" w:cs="Calibri"/>
          <w:b w:val="0"/>
          <w:i w:val="0"/>
          <w:sz w:val="22"/>
        </w:rPr>
        <w:t xml:space="preserve"> Nothing yet. Compatibility with the Model Context Protocol is named as a target.</w:t>
      </w:r>
    </w:p>
    <w:p/>
    <w:p>
      <w:r>
        <w:rPr>
          <w:rFonts w:ascii="Calibri" w:hAnsi="Calibri" w:cs="Calibri"/>
          <w:b/>
          <w:i w:val="0"/>
          <w:sz w:val="22"/>
        </w:rPr>
        <w:t>Model exchange specifically.</w:t>
      </w:r>
      <w:r>
        <w:rPr>
          <w:rFonts w:ascii="Calibri" w:hAnsi="Calibri" w:cs="Calibri"/>
          <w:b w:val="0"/>
          <w:i w:val="0"/>
          <w:sz w:val="22"/>
        </w:rPr>
        <w:t xml:space="preserve"> A sealed-execution contract: how a model container is dispatched, what it may read and write, what it may not do, and what returns. Three machine-checked declarations per evaluation route, covering threat model, disclosure profile and operational envelope. In the challenge conformance specification, sections 2 and 3.</w:t>
      </w:r>
    </w:p>
    <w:p/>
    <w:p>
      <w:r>
        <w:rPr>
          <w:rFonts w:ascii="Calibri" w:hAnsi="Calibri" w:cs="Calibri"/>
          <w:b w:val="0"/>
          <w:i w:val="0"/>
          <w:sz w:val="22"/>
        </w:rPr>
        <w:t>Two observations follow. First, the challenge has produced, under time pressure, the pieces of the protocol that concern models, meaning the dispatch contract, the route declarations and the result record; and session 1 has produced the pieces that concern datasets. Second, the gap is the middle: a common envelope, a transport, and the signing story.</w:t>
      </w:r>
    </w:p>
    <w:p/>
    <w:p>
      <w:r>
        <w:rPr>
          <w:rFonts w:ascii="Calibri" w:hAnsi="Calibri" w:cs="Calibri"/>
          <w:b/>
          <w:i w:val="0"/>
          <w:sz w:val="22"/>
        </w:rPr>
        <w:t>A live disagreement makes the point better than the table does.</w:t>
      </w:r>
      <w:r>
        <w:rPr>
          <w:rFonts w:ascii="Calibri" w:hAnsi="Calibri" w:cs="Calibri"/>
          <w:b w:val="0"/>
          <w:i w:val="0"/>
          <w:sz w:val="22"/>
        </w:rPr>
        <w:t xml:space="preserve"> Both teams presenting at the challenge session on 18 September have now filed their declarations, and they disagree about who computes the number that gets published. The sealed-execution team returns predictions to the platform, which scores them against reference labels it holds. The encrypted-computation team's flow ends with the final label at the data host, and the platform receives reported metrics. Both are defensible; they are not interchangeable, and nothing in any existing specification says which one a published result assumes. That is exactly the kind of question the protocol exists to settle, and it has surfaced four months before anyone has to answer it.</w:t>
      </w:r>
    </w:p>
    <w:p/>
    <w:p>
      <w:pPr>
        <w:pStyle w:val="Heading2"/>
      </w:pPr>
      <w:r>
        <w:t>3. Decisions to take</w:t>
      </w:r>
    </w:p>
    <w:p/>
    <w:p>
      <w:pPr>
        <w:pStyle w:val="Heading3"/>
      </w:pPr>
      <w:r>
        <w:t>D1. What v0.1 must contain</w:t>
      </w:r>
    </w:p>
    <w:p/>
    <w:p>
      <w:r>
        <w:rPr>
          <w:rFonts w:ascii="Calibri" w:hAnsi="Calibri" w:cs="Calibri"/>
          <w:b w:val="0"/>
          <w:i w:val="0"/>
          <w:sz w:val="22"/>
        </w:rPr>
        <w:t>Proposal: v0.1 is a design document, not a wire specification, and it contains exactly five sections mirroring the Terms of Reference. Each states what the requirement is, what existing artefact satisfies it, and what is missing.</w:t>
      </w:r>
    </w:p>
    <w:p/>
    <w:p>
      <w:pPr>
        <w:spacing w:after="80" w:lineRule="auto" w:line="300"/>
        <w:ind w:left="340" w:hanging="340"/>
      </w:pPr>
      <w:r>
        <w:rPr>
          <w:rFonts w:ascii="Calibri" w:hAnsi="Calibri" w:cs="Calibri"/>
          <w:b w:val="0"/>
          <w:i w:val="0"/>
          <w:sz w:val="22"/>
        </w:rPr>
        <w:t>1.</w:t>
        <w:tab/>
      </w:r>
      <w:r>
        <w:rPr>
          <w:rFonts w:ascii="Calibri" w:hAnsi="Calibri" w:cs="Calibri"/>
          <w:b w:val="0"/>
          <w:i w:val="0"/>
          <w:sz w:val="22"/>
        </w:rPr>
        <w:t>Asset description and usage rights, adopting session 1's outcome by reference.</w:t>
      </w:r>
    </w:p>
    <w:p>
      <w:pPr>
        <w:spacing w:after="80" w:lineRule="auto" w:line="300"/>
        <w:ind w:left="340" w:hanging="340"/>
      </w:pPr>
      <w:r>
        <w:rPr>
          <w:rFonts w:ascii="Calibri" w:hAnsi="Calibri" w:cs="Calibri"/>
          <w:b w:val="0"/>
          <w:i w:val="0"/>
          <w:sz w:val="22"/>
        </w:rPr>
        <w:t>2.</w:t>
        <w:tab/>
      </w:r>
      <w:r>
        <w:rPr>
          <w:rFonts w:ascii="Calibri" w:hAnsi="Calibri" w:cs="Calibri"/>
          <w:b w:val="0"/>
          <w:i w:val="0"/>
          <w:sz w:val="22"/>
        </w:rPr>
        <w:t>Party authentication and authorisation, adopting the tiered-assurance model and GA4GH Passport by reference, and stating the open question of institutional rather than individual identity, which the co-host agreement discussion has surfaced.</w:t>
      </w:r>
    </w:p>
    <w:p>
      <w:pPr>
        <w:spacing w:after="80" w:lineRule="auto" w:line="300"/>
        <w:ind w:left="340" w:hanging="340"/>
      </w:pPr>
      <w:r>
        <w:rPr>
          <w:rFonts w:ascii="Calibri" w:hAnsi="Calibri" w:cs="Calibri"/>
          <w:b w:val="0"/>
          <w:i w:val="0"/>
          <w:sz w:val="22"/>
        </w:rPr>
        <w:t>3.</w:t>
        <w:tab/>
      </w:r>
      <w:r>
        <w:rPr>
          <w:rFonts w:ascii="Calibri" w:hAnsi="Calibri" w:cs="Calibri"/>
          <w:b w:val="0"/>
          <w:i w:val="0"/>
          <w:sz w:val="22"/>
        </w:rPr>
        <w:t>Asset authentication and provenance. This is the missing piece: signing a manifest and signing a model container. A proposal, not a decision.</w:t>
      </w:r>
    </w:p>
    <w:p>
      <w:pPr>
        <w:spacing w:after="80" w:lineRule="auto" w:line="300"/>
        <w:ind w:left="340" w:hanging="340"/>
      </w:pPr>
      <w:r>
        <w:rPr>
          <w:rFonts w:ascii="Calibri" w:hAnsi="Calibri" w:cs="Calibri"/>
          <w:b w:val="0"/>
          <w:i w:val="0"/>
          <w:sz w:val="22"/>
        </w:rPr>
        <w:t>4.</w:t>
        <w:tab/>
      </w:r>
      <w:r>
        <w:rPr>
          <w:rFonts w:ascii="Calibri" w:hAnsi="Calibri" w:cs="Calibri"/>
          <w:b w:val="0"/>
          <w:i w:val="0"/>
          <w:sz w:val="22"/>
        </w:rPr>
        <w:t>Execution profiles, adopting the challenge's route declarations and dispatch contract as the first two profiles, sealed execution and encrypted computation, and leaving confidential computing and federated evaluation as named placeholders. This section also has to say who computes a published metric, and on whose arithmetic a result rests.</w:t>
      </w:r>
    </w:p>
    <w:p>
      <w:pPr>
        <w:spacing w:after="80" w:lineRule="auto" w:line="300"/>
        <w:ind w:left="340" w:hanging="340"/>
      </w:pPr>
      <w:r>
        <w:rPr>
          <w:rFonts w:ascii="Calibri" w:hAnsi="Calibri" w:cs="Calibri"/>
          <w:b w:val="0"/>
          <w:i w:val="0"/>
          <w:sz w:val="22"/>
        </w:rPr>
        <w:t>5.</w:t>
        <w:tab/>
      </w:r>
      <w:r>
        <w:rPr>
          <w:rFonts w:ascii="Calibri" w:hAnsi="Calibri" w:cs="Calibri"/>
          <w:b w:val="0"/>
          <w:i w:val="0"/>
          <w:sz w:val="22"/>
        </w:rPr>
        <w:t>Audit record, adopting the challenge's result record and adding what a regulator has asked for that it does not carry, as those requirements are recorded.</w:t>
      </w:r>
    </w:p>
    <w:p/>
    <w:p>
      <w:r>
        <w:rPr>
          <w:rFonts w:ascii="Calibri" w:hAnsi="Calibri" w:cs="Calibri"/>
          <w:b w:val="0"/>
          <w:i w:val="0"/>
          <w:sz w:val="22"/>
        </w:rPr>
        <w:t>Compatibility with the Model Context Protocol is recorded as a design constraint on section 4's transport, not as a v0.1 deliverable.</w:t>
      </w:r>
    </w:p>
    <w:p/>
    <w:p>
      <w:pPr>
        <w:pStyle w:val="Heading3"/>
      </w:pPr>
      <w:r>
        <w:t>D2. The challenge's artefacts become the protocol's first profiles</w:t>
      </w:r>
    </w:p>
    <w:p/>
    <w:p>
      <w:r>
        <w:rPr>
          <w:rFonts w:ascii="Calibri" w:hAnsi="Calibri" w:cs="Calibri"/>
          <w:b w:val="0"/>
          <w:i w:val="0"/>
          <w:sz w:val="22"/>
        </w:rPr>
        <w:t>Proposal: the group adopts the three route declarations, meaning the threat model with mandatory out-of-scope items, the disclosure profile with a named trust anchor and named key holders, and the operational envelope with enforced caps, together with the result record, as profile 0 of the protocol. The consequence is that the challenge's review outcomes in January 2027 become the protocol's first field test, and that any change to those declarations from that point is a protocol change and goes through the group.</w:t>
      </w:r>
    </w:p>
    <w:p/>
    <w:p>
      <w:pPr>
        <w:pStyle w:val="Heading3"/>
      </w:pPr>
      <w:r>
        <w:t>D3. Who drafts, and by when</w:t>
      </w:r>
    </w:p>
    <w:p/>
    <w:p>
      <w:r>
        <w:rPr>
          <w:rFonts w:ascii="Calibri" w:hAnsi="Calibri" w:cs="Calibri"/>
          <w:b w:val="0"/>
          <w:i w:val="0"/>
          <w:sz w:val="22"/>
        </w:rPr>
        <w:t>Proposal: a drafting team of three, named in the room. One from the OCI side for mechanics; one with a data-governance or legal background for sections 1 and 2; one with a cryptographic or confidential-computing background for section 4. On that third seat, the encrypted-computation team presenting at the challenge has the expertise, and drafting is a legitimate role for them even though reviewing their own route is not. An outline to the list in four weeks, and a v0.1 design document by 11 December 2026.</w:t>
      </w:r>
    </w:p>
    <w:p/>
    <w:p>
      <w:pPr>
        <w:pStyle w:val="Heading3"/>
      </w:pPr>
      <w:r>
        <w:t>D4. What the 2027 work items need from v0.1, in one line each</w:t>
      </w:r>
    </w:p>
    <w:p/>
    <w:p>
      <w:r>
        <w:rPr>
          <w:rFonts w:ascii="Calibri" w:hAnsi="Calibri" w:cs="Calibri"/>
          <w:b w:val="0"/>
          <w:i w:val="0"/>
          <w:sz w:val="22"/>
        </w:rPr>
        <w:t>Proposal: record these as acceptance criteria for v0.1 rather than as scope creep.</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A federated-learning reference architecture needs sections 2 and 4: who may join a round, and what a training-round profile declares.</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Model-to-data execution needs section 4, which is largely there, and section 3, for signing the model that travels.</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A regulator-facing audit trail needs section 5 and the retraction mechanism the challenge has committed to.</w:t>
      </w:r>
    </w:p>
    <w:p/>
    <w:p>
      <w:pPr>
        <w:pStyle w:val="Heading2"/>
      </w:pPr>
      <w:r>
        <w:t>4. What the session does not decide</w:t>
      </w:r>
    </w:p>
    <w:p/>
    <w:p>
      <w:pPr>
        <w:spacing w:after="80" w:lineRule="auto" w:line="300"/>
        <w:ind w:left="340" w:hanging="340"/>
      </w:pPr>
      <w:r>
        <w:rPr>
          <w:rFonts w:ascii="Calibri" w:hAnsi="Calibri" w:cs="Calibri"/>
          <w:b w:val="0"/>
          <w:i w:val="0"/>
          <w:sz w:val="22"/>
        </w:rPr>
        <w:t>•</w:t>
        <w:tab/>
      </w:r>
      <w:r>
        <w:rPr>
          <w:rFonts w:ascii="Calibri" w:hAnsi="Calibri" w:cs="Calibri"/>
          <w:b w:val="0"/>
          <w:i w:val="0"/>
          <w:sz w:val="22"/>
        </w:rPr>
        <w:t>Wire formats, schemas or transports. v0.1 is a design document.</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Whether any specific cryptographic scheme is adequate. That is per route, in review.</w:t>
      </w:r>
    </w:p>
    <w:p>
      <w:pPr>
        <w:spacing w:after="80" w:lineRule="auto" w:line="300"/>
        <w:ind w:left="340" w:hanging="340"/>
      </w:pPr>
      <w:r>
        <w:rPr>
          <w:rFonts w:ascii="Calibri" w:hAnsi="Calibri" w:cs="Calibri"/>
          <w:b w:val="0"/>
          <w:i w:val="0"/>
          <w:sz w:val="22"/>
        </w:rPr>
        <w:t>•</w:t>
        <w:tab/>
      </w:r>
      <w:r>
        <w:rPr>
          <w:rFonts w:ascii="Calibri" w:hAnsi="Calibri" w:cs="Calibri"/>
          <w:b w:val="0"/>
          <w:i w:val="0"/>
          <w:sz w:val="22"/>
        </w:rPr>
        <w:t>Legal instruments between institutions. The protocol carries what was agreed; it does not replace the agreement. The co-host agreement question belongs to the secretariat.</w:t>
      </w:r>
    </w:p>
    <w:p/>
    <w:p>
      <w:pPr>
        <w:pStyle w:val="Heading2"/>
      </w:pPr>
      <w:r>
        <w:t>5. Read-back</w:t>
      </w:r>
    </w:p>
    <w:p/>
    <w:p>
      <w:r>
        <w:rPr>
          <w:rFonts w:ascii="Calibri" w:hAnsi="Calibri" w:cs="Calibri"/>
          <w:b w:val="0"/>
          <w:i w:val="0"/>
          <w:sz w:val="22"/>
        </w:rPr>
        <w:t>At 35 minutes the chair reads back D1 to D4 as decided, with an owner and a date for each, and they go into the minutes unchanged.</w:t>
      </w:r>
    </w:p>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7" w:val="right"/>
      </w:tabs>
    </w:pPr>
    <w:r>
      <w:rPr>
        <w:rFonts w:ascii="Calibri" w:hAnsi="Calibri" w:cs="Calibri"/>
        <w:b w:val="0"/>
        <w:i w:val="0"/>
        <w:color w:val="6B7280"/>
        <w:sz w:val="18"/>
      </w:rPr>
      <w:t>GI-AI4H-WGD-OCI-006</w:t>
    </w:r>
    <w:r>
      <w:tab/>
    </w:r>
    <w:r/>
    <w:r>
      <w:rPr>
        <w:rFonts w:ascii="Calibri" w:hAnsi="Calibri" w:cs="Calibri"/>
        <w:b w:val="0"/>
        <w:i w:val="0"/>
        <w:color w:val="6B7280"/>
        <w:sz w:val="18"/>
      </w:rPr>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3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6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D6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D6B"/>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val="0"/>
      <w:iCs/>
      <w:color w:val="003D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