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8787" w:val="right"/>
        </w:tabs>
        <w:spacing w:after="0"/>
      </w:pPr>
      <w:r>
        <w:rPr>
          <w:rFonts w:ascii="Calibri" w:hAnsi="Calibri" w:cs="Calibri"/>
          <w:b/>
          <w:i w:val="0"/>
          <w:color w:val="003D6B"/>
          <w:sz w:val="24"/>
        </w:rPr>
        <w:t>GI-AI4H</w:t>
      </w:r>
      <w:r>
        <w:rPr>
          <w:rFonts w:ascii="Calibri" w:hAnsi="Calibri" w:cs="Calibri"/>
          <w:b w:val="0"/>
          <w:i w:val="0"/>
          <w:color w:val="6B7280"/>
          <w:sz w:val="20"/>
        </w:rPr>
        <w:t xml:space="preserve">   ·   ITU · WHO · WIPO</w:t>
      </w:r>
      <w:r>
        <w:tab/>
      </w:r>
      <w:r>
        <w:rPr>
          <w:rFonts w:ascii="Consolas" w:hAnsi="Consolas" w:cs="Consolas"/>
          <w:b w:val="0"/>
          <w:i w:val="0"/>
          <w:color w:val="6B7280"/>
          <w:sz w:val="20"/>
        </w:rPr>
        <w:t>GI-AI4H-WGD-OCI-003</w:t>
      </w:r>
    </w:p>
    <w:p>
      <w:pPr>
        <w:spacing w:after="80"/>
      </w:pPr>
      <w:r>
        <w:rPr>
          <w:rFonts w:ascii="Calibri" w:hAnsi="Calibri" w:cs="Calibri"/>
          <w:b w:val="0"/>
          <w:i/>
          <w:color w:val="6B7280"/>
          <w:sz w:val="20"/>
        </w:rPr>
        <w:t>ITU/WHO/WIPO Global Initiative on AI for Health (GI-AI4H)</w:t>
      </w:r>
    </w:p>
    <w:p>
      <w:pPr>
        <w:spacing w:before="40" w:after="160"/>
        <w:pBdr>
          <w:bottom w:val="single" w:sz="6" w:space="1" w:color="CBD5E0"/>
        </w:pBdr>
      </w:pPr>
    </w:p>
    <w:p>
      <w:pPr>
        <w:spacing w:after="560"/>
      </w:pPr>
      <w:r>
        <w:rPr>
          <w:rFonts w:ascii="Calibri" w:hAnsi="Calibri" w:cs="Calibri"/>
          <w:b/>
          <w:i w:val="0"/>
          <w:color w:val="003D6B"/>
          <w:sz w:val="18"/>
        </w:rPr>
        <w:t>WG-DATA</w:t>
      </w:r>
      <w:r>
        <w:rPr>
          <w:rFonts w:ascii="Calibri" w:hAnsi="Calibri" w:cs="Calibri"/>
          <w:b w:val="0"/>
          <w:i w:val="0"/>
          <w:color w:val="6B7280"/>
          <w:sz w:val="18"/>
        </w:rPr>
        <w:t xml:space="preserve">   ·   </w:t>
      </w:r>
      <w:r>
        <w:rPr>
          <w:rFonts w:ascii="Calibri" w:hAnsi="Calibri" w:cs="Calibri"/>
          <w:b w:val="0"/>
          <w:i w:val="0"/>
          <w:color w:val="6B7280"/>
          <w:sz w:val="18"/>
        </w:rPr>
        <w:t>2026 meeting cycle — date TBD</w:t>
      </w:r>
    </w:p>
    <w:p>
      <w:pPr>
        <w:spacing w:after="160"/>
      </w:pPr>
      <w:r>
        <w:rPr>
          <w:rFonts w:ascii="Calibri" w:hAnsi="Calibri" w:cs="Calibri"/>
          <w:b/>
          <w:i w:val="0"/>
          <w:color w:val="FFFFFF"/>
          <w:sz w:val="18"/>
          <w:shd w:val="clear" w:color="auto" w:fill="003D6B"/>
        </w:rPr>
        <w:t xml:space="preserve">  DISCUSSION  </w:t>
      </w:r>
    </w:p>
    <w:p>
      <w:pPr>
        <w:spacing w:before="160" w:after="80" w:lineRule="auto" w:line="276"/>
      </w:pPr>
      <w:r>
        <w:rPr>
          <w:rFonts w:ascii="Calibri" w:hAnsi="Calibri" w:cs="Calibri"/>
          <w:b/>
          <w:i w:val="0"/>
          <w:color w:val="111827"/>
          <w:sz w:val="48"/>
        </w:rPr>
        <w:t>Dataset-level provenance attachment in BIOCroissant</w:t>
      </w:r>
    </w:p>
    <w:p>
      <w:pPr>
        <w:spacing w:after="560"/>
      </w:pPr>
      <w:r>
        <w:rPr>
          <w:rFonts w:ascii="Calibri" w:hAnsi="Calibri" w:cs="Calibri"/>
          <w:b w:val="0"/>
          <w:i/>
          <w:color w:val="6B7280"/>
          <w:sz w:val="22"/>
        </w:rPr>
        <w:t>Contribution to GI-AI4H WG-Data   ·   2026-06-17</w:t>
      </w:r>
    </w:p>
    <w:p>
      <w:pPr>
        <w:tabs>
          <w:tab w:pos="2268" w:val="left"/>
        </w:tabs>
        <w:spacing w:after="120"/>
      </w:pPr>
      <w:r>
        <w:rPr>
          <w:rFonts w:ascii="Calibri" w:hAnsi="Calibri" w:cs="Calibri"/>
          <w:b/>
          <w:i w:val="0"/>
          <w:color w:val="6B7280"/>
          <w:sz w:val="18"/>
        </w:rPr>
        <w:t>SOURCE</w:t>
      </w:r>
      <w:r>
        <w:tab/>
      </w:r>
      <w:r>
        <w:rPr>
          <w:rFonts w:ascii="Calibri" w:hAnsi="Calibri" w:cs="Calibri"/>
          <w:b w:val="0"/>
          <w:i w:val="0"/>
          <w:color w:val="111827"/>
          <w:sz w:val="22"/>
        </w:rPr>
        <w:t>OCI Platform team</w:t>
      </w:r>
      <w:r>
        <w:br/>
        <w:tab/>
      </w:r>
      <w:r>
        <w:rPr>
          <w:rFonts w:ascii="Calibri" w:hAnsi="Calibri" w:cs="Calibri"/>
          <w:b w:val="0"/>
          <w:i w:val="0"/>
          <w:color w:val="111827"/>
          <w:sz w:val="22"/>
        </w:rPr>
        <w:t>Marc Lecoultre, MLLab.ai</w:t>
      </w:r>
      <w:r>
        <w:br/>
        <w:tab/>
      </w:r>
      <w:r>
        <w:rPr>
          <w:rFonts w:ascii="Calibri" w:hAnsi="Calibri" w:cs="Calibri"/>
          <w:b w:val="0"/>
          <w:i w:val="0"/>
          <w:color w:val="111827"/>
          <w:sz w:val="22"/>
        </w:rPr>
        <w:t>GI-AI4H Open Code Infrastructure</w:t>
      </w:r>
    </w:p>
    <w:p>
      <w:pPr>
        <w:tabs>
          <w:tab w:pos="2268" w:val="left"/>
        </w:tabs>
        <w:spacing w:after="120"/>
      </w:pPr>
      <w:r>
        <w:rPr>
          <w:rFonts w:ascii="Calibri" w:hAnsi="Calibri" w:cs="Calibri"/>
          <w:b/>
          <w:i w:val="0"/>
          <w:color w:val="6B7280"/>
          <w:sz w:val="18"/>
        </w:rPr>
        <w:t>CONTACT</w:t>
      </w:r>
      <w:r>
        <w:tab/>
      </w:r>
      <w:r>
        <w:rPr>
          <w:rFonts w:ascii="Calibri" w:hAnsi="Calibri" w:cs="Calibri"/>
          <w:b w:val="0"/>
          <w:i w:val="0"/>
          <w:color w:val="111827"/>
          <w:sz w:val="22"/>
        </w:rPr>
        <w:t>Marc Lecoultre, MLLab.ai (OCI Platform team)</w:t>
      </w:r>
      <w:r>
        <w:br/>
        <w:tab/>
      </w:r>
      <w:r>
        <w:rPr>
          <w:rFonts w:ascii="Calibri" w:hAnsi="Calibri" w:cs="Calibri"/>
          <w:b w:val="0"/>
          <w:i w:val="0"/>
          <w:color w:val="111827"/>
          <w:sz w:val="22"/>
        </w:rPr>
        <w:t>ml@mllab.ai</w:t>
      </w:r>
    </w:p>
    <w:p>
      <w:pPr>
        <w:tabs>
          <w:tab w:pos="2268" w:val="left"/>
        </w:tabs>
        <w:spacing w:after="120"/>
      </w:pPr>
      <w:r>
        <w:rPr>
          <w:rFonts w:ascii="Calibri" w:hAnsi="Calibri" w:cs="Calibri"/>
          <w:b/>
          <w:i w:val="0"/>
          <w:color w:val="6B7280"/>
          <w:sz w:val="18"/>
        </w:rPr>
        <w:t>PURPOSE</w:t>
      </w:r>
      <w:r>
        <w:tab/>
      </w:r>
      <w:r>
        <w:rPr>
          <w:rFonts w:ascii="Calibri" w:hAnsi="Calibri" w:cs="Calibri"/>
          <w:b w:val="0"/>
          <w:i w:val="0"/>
          <w:color w:val="111827"/>
          <w:sz w:val="22"/>
        </w:rPr>
        <w:t>Discussion</w:t>
      </w:r>
    </w:p>
    <w:p>
      <w:pPr>
        <w:tabs>
          <w:tab w:pos="2268" w:val="left"/>
        </w:tabs>
        <w:spacing w:after="120"/>
      </w:pPr>
      <w:r>
        <w:rPr>
          <w:rFonts w:ascii="Calibri" w:hAnsi="Calibri" w:cs="Calibri"/>
          <w:b/>
          <w:i w:val="0"/>
          <w:color w:val="6B7280"/>
          <w:sz w:val="18"/>
        </w:rPr>
        <w:t>DOCUMENT</w:t>
      </w:r>
      <w:r>
        <w:tab/>
      </w:r>
      <w:r>
        <w:rPr>
          <w:rFonts w:ascii="Calibri" w:hAnsi="Calibri" w:cs="Calibri"/>
          <w:b w:val="0"/>
          <w:i w:val="0"/>
          <w:color w:val="111827"/>
          <w:sz w:val="22"/>
        </w:rPr>
        <w:t>GI-AI4H-WGD-OCI-003</w:t>
      </w:r>
    </w:p>
    <w:p>
      <w:pPr>
        <w:spacing w:before="0" w:after="160"/>
      </w:pPr>
    </w:p>
    <w:p>
      <w:pPr>
        <w:spacing w:before="40" w:after="160"/>
        <w:pBdr>
          <w:bottom w:val="single" w:sz="6" w:space="1" w:color="CBD5E0"/>
        </w:pBdr>
      </w:pPr>
    </w:p>
    <w:p>
      <w:pPr>
        <w:spacing w:before="80" w:after="120"/>
      </w:pPr>
      <w:r>
        <w:rPr>
          <w:rFonts w:ascii="Calibri" w:hAnsi="Calibri" w:cs="Calibri"/>
          <w:b/>
          <w:i w:val="0"/>
          <w:color w:val="003D6B"/>
          <w:sz w:val="28"/>
        </w:rPr>
        <w:t>Abstract</w:t>
      </w:r>
    </w:p>
    <w:p>
      <w:pPr>
        <w:spacing w:after="240" w:lineRule="auto" w:line="336"/>
        <w:ind w:left="0" w:right="0"/>
      </w:pPr>
      <w:r>
        <w:rPr>
          <w:rFonts w:ascii="Calibri" w:hAnsi="Calibri"/>
          <w:sz w:val="22"/>
        </w:rPr>
        <w:t>This contribution proposes a unified provenance profile for BIOCroissant, the life-sciences extension of the MLCommons Croissant metadata standard under discussion in GI-AI4H WG-Data. It is the provenance counterpart to contribution OCI-002, which established that data-use terms (DUO/ODRL) and data-protection metadata attach at the dataset level and that the requester side of the access handshake is out of Croissant's scope. The Open Code Infrastructure (OCI) platform today records provenance in two disconnected places: machine-actionable PROV-O and Responsible-AI collection properties at the catalog/dataset level, and fine-grained per-annotation provenance — annotator identity, tool and schema version, time-on-task, and a tamper-evident hash chain with cryptographic receipts — produced by annotation campaigns and written back as a new dataset distribution. This contribution argues that these two loci should be reconciled into a single, coherent provenance model that a data host, a downstream consumer, and a regulator can all read from one manifest. It proposes anchoring that model on W3C PROV-O (already present in Croissant 1.1), mapping it to HL7 FHIR Provenance for clinical interoperability, and aligning it with the provenance modules of the German Medical Informatics Initiative core dataset and the emerging European Health Data Space secondary-use regime. The contribution frames three open questions for WG-Data — whether provenance is a distinct profile or an extension of the OCI-002 attachment, which external standards to bind to, and how to engage national health-data-infrastructure provenance experts as critical reflection partners — and is offered for discussion rather than as a finished specification.</w:t>
      </w:r>
    </w:p>
    <w:p>
      <w:r>
        <w:br w:type="page"/>
      </w:r>
    </w:p>
    <w:p>
      <w:pPr>
        <w:pStyle w:val="Heading1"/>
      </w:pPr>
      <w:r>
        <w:t>Background</w:t>
      </w:r>
    </w:p>
    <w:p/>
    <w:p>
      <w:r>
        <w:rPr>
          <w:rFonts w:ascii="Calibri" w:hAnsi="Calibri" w:cs="Calibri"/>
          <w:b w:val="0"/>
          <w:i w:val="0"/>
          <w:sz w:val="22"/>
        </w:rPr>
        <w:t>The OCI Platform catalog declares conformance to Croissant 1.1 with the Responsible AI extension, and publishes a provisional BIOCroissant v0.1 draft pending assignment of a canonical WG-Data namespace. Croissant 1.1 already carries machine-actionable provenance through its PROV-O integration, and the Responsible AI extension adds collection- and annotation-process properties such as data collection method, collection timeframe, and annotation protocol.</w:t>
      </w:r>
    </w:p>
    <w:p/>
    <w:p>
      <w:r>
        <w:rPr>
          <w:rFonts w:ascii="Calibri" w:hAnsi="Calibri" w:cs="Calibri"/>
          <w:b w:val="0"/>
          <w:i w:val="0"/>
          <w:sz w:val="22"/>
        </w:rPr>
        <w:t>A prior contribution, OCI-002, addressed how usage and protection metadata attach to a BIOCroissant manifest. Following guidance relayed from the MLCommons Croissant core team, OCI adopted dataset-level attachment for Data Use Ontology terms, ODRL usage rules, and the data-protection block, reserving RecordSet-level attachment for sub-cohorts that carry distinct consent or restriction. The same exchange confirmed that the requester side of the access handshake — intended use, ethics approvals, retention and redistribution intent — is out of Croissant's scope and belongs to the platform's access-control layer. Provenance, however, was left open. This contribution takes it up.</w:t>
      </w:r>
    </w:p>
    <w:p/>
    <w:p>
      <w:pPr>
        <w:pStyle w:val="Heading1"/>
      </w:pPr>
      <w:r>
        <w:t>The two-locus problem</w:t>
      </w:r>
    </w:p>
    <w:p/>
    <w:p>
      <w:r>
        <w:rPr>
          <w:rFonts w:ascii="Calibri" w:hAnsi="Calibri" w:cs="Calibri"/>
          <w:b w:val="0"/>
          <w:i w:val="0"/>
          <w:sz w:val="22"/>
        </w:rPr>
        <w:t>Provenance in OCI is presently recorded in two places that do not yet speak to each other.</w:t>
      </w:r>
    </w:p>
    <w:p/>
    <w:p>
      <w:pPr>
        <w:pStyle w:val="Heading2"/>
      </w:pPr>
      <w:r>
        <w:t>Dataset-level provenance</w:t>
      </w:r>
    </w:p>
    <w:p/>
    <w:p>
      <w:r>
        <w:rPr>
          <w:rFonts w:ascii="Calibri" w:hAnsi="Calibri" w:cs="Calibri"/>
          <w:b w:val="0"/>
          <w:i w:val="0"/>
          <w:sz w:val="22"/>
        </w:rPr>
        <w:t>At the catalog level, a dataset's BIOCroissant manifest expresses where the data came from and how it was assembled, using Croissant 1.1 PROV-O constructs and Responsible-AI collection properties. This is the provenance a host authors once and a consumer or regulator reads when assessing a dataset for suitability.</w:t>
      </w:r>
    </w:p>
    <w:p/>
    <w:p>
      <w:pPr>
        <w:pStyle w:val="Heading2"/>
      </w:pPr>
      <w:r>
        <w:t>Annotation-level provenance</w:t>
      </w:r>
    </w:p>
    <w:p/>
    <w:p>
      <w:r>
        <w:rPr>
          <w:rFonts w:ascii="Calibri" w:hAnsi="Calibri" w:cs="Calibri"/>
          <w:b w:val="0"/>
          <w:i w:val="0"/>
          <w:sz w:val="22"/>
        </w:rPr>
        <w:t>When an OCI annotation campaign runs over a dataset, it produces provenance at a much finer grain. Every accepted annotation records the annotator's GA4GH Passport subject claim and role, the annotation tool and its version, the schema version that validated the payload, time-on-task, and whether the sample contributed to inter-rater reliability. These records are linked in a SHA-256 hash chain so that any retroactive tampering is detectable, and for controlled and sensitive datasets each is covered by a cryptographic receipt. The completed campaign is written back to the catalog as a new Croissant Responsible-AI distribution.</w:t>
      </w:r>
    </w:p>
    <w:p/>
    <w:p>
      <w:pPr>
        <w:pStyle w:val="Heading2"/>
      </w:pPr>
      <w:r>
        <w:t>Why this matters</w:t>
      </w:r>
    </w:p>
    <w:p/>
    <w:p>
      <w:r>
        <w:rPr>
          <w:rFonts w:ascii="Calibri" w:hAnsi="Calibri" w:cs="Calibri"/>
          <w:b w:val="0"/>
          <w:i w:val="0"/>
          <w:sz w:val="22"/>
        </w:rPr>
        <w:t>The result is two provenance vocabularies of different granularity, generated at different times by different actors, that a reader must currently stitch together by hand. A regulator asking who produced a given label, with which tool, under what protocol, and whether it can be proven unaltered, should be able to answer from one manifest. Today they cannot.</w:t>
      </w:r>
    </w:p>
    <w:p/>
    <w:p>
      <w:pPr>
        <w:pStyle w:val="Heading1"/>
      </w:pPr>
      <w:r>
        <w:t>A unified provenance model</w:t>
      </w:r>
    </w:p>
    <w:p/>
    <w:p>
      <w:r>
        <w:rPr>
          <w:rFonts w:ascii="Calibri" w:hAnsi="Calibri" w:cs="Calibri"/>
          <w:b w:val="0"/>
          <w:i w:val="0"/>
          <w:sz w:val="22"/>
        </w:rPr>
        <w:t>This contribution proposes that BIOCroissant carry a single provenance model spanning both loci, built on standards the field has already converged on.</w:t>
      </w:r>
    </w:p>
    <w:p/>
    <w:p>
      <w:pPr>
        <w:pStyle w:val="Heading2"/>
      </w:pPr>
      <w:r>
        <w:t>Anchor on W3C PROV-O</w:t>
      </w:r>
    </w:p>
    <w:p/>
    <w:p>
      <w:r>
        <w:rPr>
          <w:rFonts w:ascii="Calibri" w:hAnsi="Calibri" w:cs="Calibri"/>
          <w:b w:val="0"/>
          <w:i w:val="0"/>
          <w:sz w:val="22"/>
        </w:rPr>
        <w:t>PROV-O is already the provenance vocabulary of Croissant 1.1, which makes it the natural anchor. Its Entity, Activity, and Agent triad maps cleanly onto OCI's concepts: the dataset and each annotation distribution are entities, the collection and annotation campaigns are activities, and data sources, annotators, and tools are agents. Building on PROV-O rather than inventing a parallel vocabulary keeps OCI manifests readable by the wider ecosystem already consuming Croissant.</w:t>
      </w:r>
    </w:p>
    <w:p/>
    <w:p>
      <w:pPr>
        <w:pStyle w:val="Heading2"/>
      </w:pPr>
      <w:r>
        <w:t>Map to FHIR Provenance for clinical interoperability</w:t>
      </w:r>
    </w:p>
    <w:p/>
    <w:p>
      <w:r>
        <w:rPr>
          <w:rFonts w:ascii="Calibri" w:hAnsi="Calibri" w:cs="Calibri"/>
          <w:b w:val="0"/>
          <w:i w:val="0"/>
          <w:sz w:val="22"/>
        </w:rPr>
        <w:t>Health-data consumers and regulators increasingly expect provenance expressed as HL7 FHIR Provenance resources. The contribution proposes a documented, lossless mapping between the PROV-O profile and FHIR Provenance, so that an OCI dataset's lineage can be surfaced into a clinical or EHR context without re-authoring. This mirrors the multi-form persistence already adopted for annotations, where one internal source of truth is derived into DICOM Structured Reporting, FHIR, and Croissant forms on demand.</w:t>
      </w:r>
    </w:p>
    <w:p/>
    <w:p>
      <w:pPr>
        <w:pStyle w:val="Heading2"/>
      </w:pPr>
      <w:r>
        <w:t>Align with national health-data infrastructures</w:t>
      </w:r>
    </w:p>
    <w:p/>
    <w:p>
      <w:r>
        <w:rPr>
          <w:rFonts w:ascii="Calibri" w:hAnsi="Calibri" w:cs="Calibri"/>
          <w:b w:val="0"/>
          <w:i w:val="0"/>
          <w:sz w:val="22"/>
        </w:rPr>
        <w:t>Two national programmes are further ahead than most on medical provenance and are the right external reference points. The German Medical Informatics Initiative has defined provenance modules within its core dataset that a federated profile should not contradict. The European Health Data Space secondary-use regime, for which the Finnish Findata service is the de facto reference implementation, will govern how provenance and permissions travel together when European health data is shared for secondary use. Aligning the BIOCroissant provenance profile with these now makes OCI interoperable by design with the regime that will govern European health data, rather than retrofitting later.</w:t>
      </w:r>
    </w:p>
    <w:p/>
    <w:p>
      <w:pPr>
        <w:pStyle w:val="Heading1"/>
      </w:pPr>
      <w:r>
        <w:t>Proposed attachment shape</w:t>
      </w:r>
    </w:p>
    <w:p/>
    <w:p>
      <w:pPr>
        <w:pStyle w:val="Heading2"/>
      </w:pPr>
      <w:r>
        <w:t>Attachment point</w:t>
      </w:r>
    </w:p>
    <w:p/>
    <w:p>
      <w:r>
        <w:rPr>
          <w:rFonts w:ascii="Calibri" w:hAnsi="Calibri" w:cs="Calibri"/>
          <w:b w:val="0"/>
          <w:i w:val="0"/>
          <w:sz w:val="22"/>
        </w:rPr>
        <w:t>Consistent with OCI-002 and the Croissant core-team guidance, provenance attaches at the dataset level by default, with RecordSet-level attachment reserved for sub-cohorts whose lineage genuinely differs. Annotation-campaign provenance enters the manifest through the write-back distribution, carrying its hash-chain root and receipt references as PROV-O qualified properties on that distribution entity.</w:t>
      </w:r>
    </w:p>
    <w:p/>
    <w:p>
      <w:pPr>
        <w:pStyle w:val="Heading2"/>
      </w:pPr>
      <w:r>
        <w:t>Relationship to OCI-002</w:t>
      </w:r>
    </w:p>
    <w:p/>
    <w:p>
      <w:r>
        <w:rPr>
          <w:rFonts w:ascii="Calibri" w:hAnsi="Calibri" w:cs="Calibri"/>
          <w:b w:val="0"/>
          <w:i w:val="0"/>
          <w:sz w:val="22"/>
        </w:rPr>
        <w:t>The first question this contribution puts to WG-Data is whether provenance should be a distinct BIOCroissant profile or an extension of the OCI-002 attachment block. The two describe different things: OCI-002 describes what may be done with a dataset, while provenance describes where it came from and who touched it. That argues for separable profiles that compose, which is also how OCI's layered validator already treats independent schema layers.</w:t>
      </w:r>
    </w:p>
    <w:p/>
    <w:p>
      <w:pPr>
        <w:pStyle w:val="Heading2"/>
      </w:pPr>
      <w:r>
        <w:t>Integrity</w:t>
      </w:r>
    </w:p>
    <w:p/>
    <w:p>
      <w:r>
        <w:rPr>
          <w:rFonts w:ascii="Calibri" w:hAnsi="Calibri" w:cs="Calibri"/>
          <w:b w:val="0"/>
          <w:i w:val="0"/>
          <w:sz w:val="22"/>
        </w:rPr>
        <w:t>Because OCI already maintains a tamper-evident hash chain and cryptographic receipts at the annotation level, the provenance profile should expose these as verifiable provenance, not merely descriptive metadata. A reader should be able to follow a manifest's provenance to a receipt reference and independently verify that a distribution has not been altered.</w:t>
      </w:r>
    </w:p>
    <w:p/>
    <w:p>
      <w:pPr>
        <w:pStyle w:val="Heading1"/>
      </w:pPr>
      <w:r>
        <w:t>Open questions for WG-Data</w:t>
      </w:r>
    </w:p>
    <w:p/>
    <w:p>
      <w:r>
        <w:rPr>
          <w:rFonts w:ascii="Calibri" w:hAnsi="Calibri" w:cs="Calibri"/>
          <w:b w:val="0"/>
          <w:i w:val="0"/>
          <w:sz w:val="22"/>
        </w:rPr>
        <w:t>First, should provenance be a separate BIOCroissant profile, or folded into the OCI-002 attachment block?</w:t>
      </w:r>
    </w:p>
    <w:p/>
    <w:p>
      <w:r>
        <w:rPr>
          <w:rFonts w:ascii="Calibri" w:hAnsi="Calibri" w:cs="Calibri"/>
          <w:b w:val="0"/>
          <w:i w:val="0"/>
          <w:sz w:val="22"/>
        </w:rPr>
        <w:t>Second, which external standards should the profile formally bind to, and how deeply? PROV-O as the anchor is clear, but the depth of FHIR Provenance, Medical Informatics Initiative, and European Health Data Space alignment is a policy choice for the group.</w:t>
      </w:r>
    </w:p>
    <w:p/>
    <w:p>
      <w:r>
        <w:rPr>
          <w:rFonts w:ascii="Calibri" w:hAnsi="Calibri" w:cs="Calibri"/>
          <w:b w:val="0"/>
          <w:i w:val="0"/>
          <w:sz w:val="22"/>
        </w:rPr>
        <w:t>Third, how should the group engage national-infrastructure provenance experts, and on what terms, to pressure-test the model before it hardens?</w:t>
      </w:r>
    </w:p>
    <w:p/>
    <w:p>
      <w:pPr>
        <w:pStyle w:val="Heading1"/>
      </w:pPr>
      <w:r>
        <w:t>External engagement</w:t>
      </w:r>
    </w:p>
    <w:p/>
    <w:p>
      <w:r>
        <w:rPr>
          <w:rFonts w:ascii="Calibri" w:hAnsi="Calibri" w:cs="Calibri"/>
          <w:b w:val="0"/>
          <w:i w:val="0"/>
          <w:sz w:val="22"/>
        </w:rPr>
        <w:t>Through the WG-Data network, OCI has access to two relevant experts: a principal investigator in medical informatics at Greifswald working on a national German health-data-sharing proposal and specialising in medical provenance modelling, and a core developer of the Finnish Healthcare Data Space with more than a decade of operational experience. The contribution proposes engaging both as critical reflection partners on the provenance model in the first instance, with the prospect of longer WG-Data involvement if the collaboration proves productive.</w:t>
      </w:r>
    </w:p>
    <w:p/>
    <w:p>
      <w:pPr>
        <w:pStyle w:val="Heading1"/>
      </w:pPr>
      <w:r>
        <w:t>Next steps</w:t>
      </w:r>
    </w:p>
    <w:p/>
    <w:p>
      <w:r>
        <w:rPr>
          <w:rFonts w:ascii="Calibri" w:hAnsi="Calibri" w:cs="Calibri"/>
          <w:b w:val="0"/>
          <w:i w:val="0"/>
          <w:sz w:val="22"/>
        </w:rPr>
        <w:t>This document is offered for discussion. Subject to WG-Data input, the next steps are to draft the concrete PROV-O profile shape and its FHIR mapping against the OCI BIOCroissant v0.1 validator, to circulate it to the MLCommons Croissant core team alongside OCI-002, and to schedule the reflection-partner sessions described above.</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787" w:val="right"/>
      </w:tabs>
    </w:pPr>
    <w:r>
      <w:rPr>
        <w:rFonts w:ascii="Calibri" w:hAnsi="Calibri" w:cs="Calibri"/>
        <w:b w:val="0"/>
        <w:i w:val="0"/>
        <w:color w:val="6B7280"/>
        <w:sz w:val="18"/>
      </w:rPr>
      <w:t>GI-AI4H-WGD-OCI-003</w:t>
    </w:r>
    <w:r>
      <w:tab/>
    </w:r>
    <w:r/>
    <w:r>
      <w:rPr>
        <w:rFonts w:ascii="Calibri" w:hAnsi="Calibri" w:cs="Calibri"/>
        <w:b w:val="0"/>
        <w:i w:val="0"/>
        <w:color w:val="6B7280"/>
        <w:sz w:val="18"/>
      </w:rPr>
    </w: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Rule="auto" w:line="3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03D6B"/>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3D6B"/>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3D6B"/>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val="0"/>
      <w:iCs/>
      <w:color w:val="003D6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