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8787" w:val="right"/>
        </w:tabs>
        <w:spacing w:after="0"/>
      </w:pPr>
      <w:r>
        <w:rPr>
          <w:rFonts w:ascii="Calibri" w:hAnsi="Calibri" w:cs="Calibri"/>
          <w:b/>
          <w:i w:val="0"/>
          <w:color w:val="003D6B"/>
          <w:sz w:val="24"/>
        </w:rPr>
        <w:t>GI-AI4H</w:t>
      </w:r>
      <w:r>
        <w:rPr>
          <w:rFonts w:ascii="Calibri" w:hAnsi="Calibri" w:cs="Calibri"/>
          <w:b w:val="0"/>
          <w:i w:val="0"/>
          <w:color w:val="6B7280"/>
          <w:sz w:val="20"/>
        </w:rPr>
        <w:t xml:space="preserve">   ·   ITU · WHO · WIPO</w:t>
      </w:r>
      <w:r>
        <w:tab/>
      </w:r>
      <w:r>
        <w:rPr>
          <w:rFonts w:ascii="Consolas" w:hAnsi="Consolas" w:cs="Consolas"/>
          <w:b w:val="0"/>
          <w:i w:val="0"/>
          <w:color w:val="6B7280"/>
          <w:sz w:val="20"/>
        </w:rPr>
        <w:t>GI-AI4H-WGD-OCI-002</w:t>
      </w:r>
    </w:p>
    <w:p>
      <w:pPr>
        <w:spacing w:after="80"/>
      </w:pPr>
      <w:r>
        <w:rPr>
          <w:rFonts w:ascii="Calibri" w:hAnsi="Calibri" w:cs="Calibri"/>
          <w:b w:val="0"/>
          <w:i/>
          <w:color w:val="6B7280"/>
          <w:sz w:val="20"/>
        </w:rPr>
        <w:t>ITU/WHO/WIPO Global Initiative on AI for Health (GI-AI4H)</w:t>
      </w:r>
    </w:p>
    <w:p>
      <w:pPr>
        <w:spacing w:before="40" w:after="160"/>
        <w:pBdr>
          <w:bottom w:val="single" w:sz="6" w:space="1" w:color="CBD5E0"/>
        </w:pBdr>
      </w:pPr>
    </w:p>
    <w:p>
      <w:pPr>
        <w:spacing w:after="560"/>
      </w:pPr>
      <w:r>
        <w:rPr>
          <w:rFonts w:ascii="Calibri" w:hAnsi="Calibri" w:cs="Calibri"/>
          <w:b/>
          <w:i w:val="0"/>
          <w:color w:val="003D6B"/>
          <w:sz w:val="18"/>
        </w:rPr>
        <w:t>WG-DATA</w:t>
      </w:r>
      <w:r>
        <w:rPr>
          <w:rFonts w:ascii="Calibri" w:hAnsi="Calibri" w:cs="Calibri"/>
          <w:b w:val="0"/>
          <w:i w:val="0"/>
          <w:color w:val="6B7280"/>
          <w:sz w:val="18"/>
        </w:rPr>
        <w:t xml:space="preserve">   ·   </w:t>
      </w:r>
      <w:r>
        <w:rPr>
          <w:rFonts w:ascii="Calibri" w:hAnsi="Calibri" w:cs="Calibri"/>
          <w:b w:val="0"/>
          <w:i w:val="0"/>
          <w:color w:val="6B7280"/>
          <w:sz w:val="18"/>
        </w:rPr>
        <w:t>2026 meeting cycle — date TBD</w:t>
      </w:r>
    </w:p>
    <w:p>
      <w:pPr>
        <w:spacing w:after="160"/>
      </w:pPr>
      <w:r>
        <w:rPr>
          <w:rFonts w:ascii="Calibri" w:hAnsi="Calibri" w:cs="Calibri"/>
          <w:b/>
          <w:i w:val="0"/>
          <w:color w:val="FFFFFF"/>
          <w:sz w:val="18"/>
          <w:shd w:val="clear" w:color="auto" w:fill="003D6B"/>
        </w:rPr>
        <w:t xml:space="preserve">  DISCUSSION  </w:t>
      </w:r>
    </w:p>
    <w:p>
      <w:pPr>
        <w:spacing w:before="160" w:after="80" w:lineRule="auto" w:line="276"/>
      </w:pPr>
      <w:r>
        <w:rPr>
          <w:rFonts w:ascii="Calibri" w:hAnsi="Calibri" w:cs="Calibri"/>
          <w:b/>
          <w:i w:val="0"/>
          <w:color w:val="111827"/>
          <w:sz w:val="48"/>
        </w:rPr>
        <w:t>Dataset-level DUO/ODRL + data-protection attachment in BIOCroissant</w:t>
      </w:r>
    </w:p>
    <w:p>
      <w:pPr>
        <w:spacing w:after="560"/>
      </w:pPr>
      <w:r>
        <w:rPr>
          <w:rFonts w:ascii="Calibri" w:hAnsi="Calibri" w:cs="Calibri"/>
          <w:b w:val="0"/>
          <w:i/>
          <w:color w:val="6B7280"/>
          <w:sz w:val="22"/>
        </w:rPr>
        <w:t>Contribution to GI-AI4H WG-Data   ·   2026-05-30</w:t>
      </w:r>
    </w:p>
    <w:p>
      <w:pPr>
        <w:tabs>
          <w:tab w:pos="2268" w:val="left"/>
        </w:tabs>
        <w:spacing w:after="120"/>
      </w:pPr>
      <w:r>
        <w:rPr>
          <w:rFonts w:ascii="Calibri" w:hAnsi="Calibri" w:cs="Calibri"/>
          <w:b/>
          <w:i w:val="0"/>
          <w:color w:val="6B7280"/>
          <w:sz w:val="18"/>
        </w:rPr>
        <w:t>SOURCE</w:t>
      </w:r>
      <w:r>
        <w:tab/>
      </w:r>
      <w:r>
        <w:rPr>
          <w:rFonts w:ascii="Calibri" w:hAnsi="Calibri" w:cs="Calibri"/>
          <w:b w:val="0"/>
          <w:i w:val="0"/>
          <w:color w:val="111827"/>
          <w:sz w:val="22"/>
        </w:rPr>
        <w:t>OCI Platform team</w:t>
      </w:r>
      <w:r>
        <w:br/>
        <w:tab/>
      </w:r>
      <w:r>
        <w:rPr>
          <w:rFonts w:ascii="Calibri" w:hAnsi="Calibri" w:cs="Calibri"/>
          <w:b w:val="0"/>
          <w:i w:val="0"/>
          <w:color w:val="111827"/>
          <w:sz w:val="22"/>
        </w:rPr>
        <w:t>Marc Lecoultre, MLLab.ai</w:t>
      </w:r>
      <w:r>
        <w:br/>
        <w:tab/>
      </w:r>
      <w:r>
        <w:rPr>
          <w:rFonts w:ascii="Calibri" w:hAnsi="Calibri" w:cs="Calibri"/>
          <w:b w:val="0"/>
          <w:i w:val="0"/>
          <w:color w:val="111827"/>
          <w:sz w:val="22"/>
        </w:rPr>
        <w:t>GI-AI4H Open Code Infrastructure</w:t>
      </w:r>
    </w:p>
    <w:p>
      <w:pPr>
        <w:tabs>
          <w:tab w:pos="2268" w:val="left"/>
        </w:tabs>
        <w:spacing w:after="120"/>
      </w:pPr>
      <w:r>
        <w:rPr>
          <w:rFonts w:ascii="Calibri" w:hAnsi="Calibri" w:cs="Calibri"/>
          <w:b/>
          <w:i w:val="0"/>
          <w:color w:val="6B7280"/>
          <w:sz w:val="18"/>
        </w:rPr>
        <w:t>CONTACT</w:t>
      </w:r>
      <w:r>
        <w:tab/>
      </w:r>
      <w:r>
        <w:rPr>
          <w:rFonts w:ascii="Calibri" w:hAnsi="Calibri" w:cs="Calibri"/>
          <w:b w:val="0"/>
          <w:i w:val="0"/>
          <w:color w:val="111827"/>
          <w:sz w:val="22"/>
        </w:rPr>
        <w:t>Marc Lecoultre, MLLab.ai (OCI Platform team)</w:t>
      </w:r>
      <w:r>
        <w:br/>
        <w:tab/>
      </w:r>
      <w:r>
        <w:rPr>
          <w:rFonts w:ascii="Calibri" w:hAnsi="Calibri" w:cs="Calibri"/>
          <w:b w:val="0"/>
          <w:i w:val="0"/>
          <w:color w:val="111827"/>
          <w:sz w:val="22"/>
        </w:rPr>
        <w:t>ml@mllab.ai</w:t>
      </w:r>
    </w:p>
    <w:p>
      <w:pPr>
        <w:tabs>
          <w:tab w:pos="2268" w:val="left"/>
        </w:tabs>
        <w:spacing w:after="120"/>
      </w:pPr>
      <w:r>
        <w:rPr>
          <w:rFonts w:ascii="Calibri" w:hAnsi="Calibri" w:cs="Calibri"/>
          <w:b/>
          <w:i w:val="0"/>
          <w:color w:val="6B7280"/>
          <w:sz w:val="18"/>
        </w:rPr>
        <w:t>PURPOSE</w:t>
      </w:r>
      <w:r>
        <w:tab/>
      </w:r>
      <w:r>
        <w:rPr>
          <w:rFonts w:ascii="Calibri" w:hAnsi="Calibri" w:cs="Calibri"/>
          <w:b w:val="0"/>
          <w:i w:val="0"/>
          <w:color w:val="111827"/>
          <w:sz w:val="22"/>
        </w:rPr>
        <w:t>Discussion</w:t>
      </w:r>
    </w:p>
    <w:p>
      <w:pPr>
        <w:tabs>
          <w:tab w:pos="2268" w:val="left"/>
        </w:tabs>
        <w:spacing w:after="120"/>
      </w:pPr>
      <w:r>
        <w:rPr>
          <w:rFonts w:ascii="Calibri" w:hAnsi="Calibri" w:cs="Calibri"/>
          <w:b/>
          <w:i w:val="0"/>
          <w:color w:val="6B7280"/>
          <w:sz w:val="18"/>
        </w:rPr>
        <w:t>DOCUMENT</w:t>
      </w:r>
      <w:r>
        <w:tab/>
      </w:r>
      <w:r>
        <w:rPr>
          <w:rFonts w:ascii="Calibri" w:hAnsi="Calibri" w:cs="Calibri"/>
          <w:b w:val="0"/>
          <w:i w:val="0"/>
          <w:color w:val="111827"/>
          <w:sz w:val="22"/>
        </w:rPr>
        <w:t>GI-AI4H-WGD-OCI-002</w:t>
      </w:r>
    </w:p>
    <w:p>
      <w:pPr>
        <w:spacing w:before="0" w:after="160"/>
      </w:pPr>
    </w:p>
    <w:p>
      <w:pPr>
        <w:spacing w:before="40" w:after="160"/>
        <w:pBdr>
          <w:bottom w:val="single" w:sz="6" w:space="1" w:color="CBD5E0"/>
        </w:pBdr>
      </w:pPr>
    </w:p>
    <w:p>
      <w:pPr>
        <w:spacing w:before="80" w:after="120"/>
      </w:pPr>
      <w:r>
        <w:rPr>
          <w:rFonts w:ascii="Calibri" w:hAnsi="Calibri" w:cs="Calibri"/>
          <w:b/>
          <w:i w:val="0"/>
          <w:color w:val="003D6B"/>
          <w:sz w:val="28"/>
        </w:rPr>
        <w:t>Abstract</w:t>
      </w:r>
    </w:p>
    <w:p>
      <w:pPr>
        <w:spacing w:after="240" w:lineRule="auto" w:line="336"/>
        <w:ind w:left="0" w:right="0"/>
      </w:pPr>
      <w:r>
        <w:rPr>
          <w:rFonts w:ascii="Calibri" w:hAnsi="Calibri"/>
          <w:sz w:val="22"/>
        </w:rPr>
        <w:t>The OCI Platform asked the MLCommons Croissant core team two questions: where DUO and ODRL usage terms should attach on a Croissant 1.1 manifest, and whether the requester side of a data-access handshake falls within Croissant's scope. The core team advised attaching policy at the dataset level by default, reserving RecordSet-level attachment for rules that apply only to specific subsets, and confirmed that the requester payload is out of Croissant's scope — it is the responsibility of the platform's access-control architecture, namely the matching algorithm and the storage of proofs. This contribution records the resulting OCI attachment shape: GA4GH Data Use Ontology terms, ODRL usage rules, and the BIOCroissant v0.1 data-protection block, all attached at the dataset level. It affirms the scope split under which a dataset declares its requirements in Croissant while the requester side is owned by the platform via GA4GH Passport. It asks WG-Data to review the dataset-level shape, to open a path to a canonical BIOCroissant IRI that would replace OCI's provisional namespace, and to confirm the dataset/requester scope split as the WG-Data position.</w:t>
      </w:r>
    </w:p>
    <w:p>
      <w:r>
        <w:br w:type="page"/>
      </w:r>
    </w:p>
    <w:p>
      <w:pPr>
        <w:pStyle w:val="Heading1"/>
      </w:pPr>
      <w:r>
        <w:t>1 Background</w:t>
      </w:r>
    </w:p>
    <w:p/>
    <w:p>
      <w:r>
        <w:rPr>
          <w:rFonts w:ascii="Calibri" w:hAnsi="Calibri" w:cs="Calibri"/>
          <w:b w:val="0"/>
          <w:i w:val="0"/>
          <w:sz w:val="22"/>
        </w:rPr>
        <w:t>The OCI Platform (Open Code Infrastructure) catalog declares conformance to Croissant 1.1 and publishes a draft health extension, BIOCroissant v0.1, on a provisional namespace. To align with the ecosystem rather than invent a parallel shape, OCI put two questions to the MLCommons Croissant core team, relayed through Dr. Steffen Vogler (Bayer): first, whether Croissant has a recommended attachment point for DUO and ODRL usage terms; second, whether the representation of the data requester — intended use, ethics-board references, retention and redistribution intent — falls within Croissant's scope.</w:t>
      </w:r>
    </w:p>
    <w:p/>
    <w:p>
      <w:r>
        <w:rPr>
          <w:rFonts w:ascii="Calibri" w:hAnsi="Calibri" w:cs="Calibri"/>
          <w:b w:val="0"/>
          <w:i w:val="0"/>
          <w:sz w:val="22"/>
        </w:rPr>
        <w:t>This contribution records the core team's guidance, the resulting OCI design decision, and three requests to WG-Data.</w:t>
      </w:r>
    </w:p>
    <w:p/>
    <w:p>
      <w:pPr>
        <w:pStyle w:val="Heading1"/>
      </w:pPr>
      <w:r>
        <w:t>2 Croissant core-team guidance</w:t>
      </w:r>
    </w:p>
    <w:p/>
    <w:p>
      <w:pPr>
        <w:pStyle w:val="Heading2"/>
      </w:pPr>
      <w:r>
        <w:t>2.1 Attachment point</w:t>
      </w:r>
    </w:p>
    <w:p/>
    <w:p>
      <w:r>
        <w:rPr>
          <w:rFonts w:ascii="Calibri" w:hAnsi="Calibri" w:cs="Calibri"/>
          <w:b w:val="0"/>
          <w:i w:val="0"/>
          <w:sz w:val="22"/>
        </w:rPr>
        <w:t>The core team confirmed that Croissant supports usage-policy attachment at more than one level for different purposes. Dataset-level attachment expresses a general policy for the whole dataset; RecordSet-level attachment expresses more granular rules that apply to specific subsets of the data. The recommended approach is to start at the dataset level and add finer-grained annotations only when a genuine need arises.</w:t>
      </w:r>
    </w:p>
    <w:p/>
    <w:p>
      <w:pPr>
        <w:pStyle w:val="Heading2"/>
      </w:pPr>
      <w:r>
        <w:t>2.2 Requester representation is out of scope</w:t>
      </w:r>
    </w:p>
    <w:p/>
    <w:p>
      <w:r>
        <w:rPr>
          <w:rFonts w:ascii="Calibri" w:hAnsi="Calibri" w:cs="Calibri"/>
          <w:b w:val="0"/>
          <w:i w:val="0"/>
          <w:sz w:val="22"/>
        </w:rPr>
        <w:t>On the second question the core team was explicit. Croissant is about describing datasets. While Croissant uses ODRL to declare what a dataset requires, standardising the requester's payload — the user's side of the handshake — falls outside Croissant's scope and remains the responsibility of the platform's access-control architecture. In concrete terms this means the matching algorithm that decides whether a requester's intended use satisfies the dataset's terms, and the storage of the proofs a requester presents, such as verifiable identities and approval documents.</w:t>
      </w:r>
    </w:p>
    <w:p/>
    <w:p>
      <w:r>
        <w:rPr>
          <w:rFonts w:ascii="Calibri" w:hAnsi="Calibri" w:cs="Calibri"/>
          <w:b w:val="0"/>
          <w:i w:val="0"/>
          <w:sz w:val="22"/>
        </w:rPr>
        <w:t>The core team also indicated openness to reviewing the specific information OCI attaches and to supporting the initiative beyond the usual level of engagement.</w:t>
      </w:r>
    </w:p>
    <w:p/>
    <w:p>
      <w:pPr>
        <w:pStyle w:val="Heading1"/>
      </w:pPr>
      <w:r>
        <w:t>3 The OCI dataset-level attachment shape</w:t>
      </w:r>
    </w:p>
    <w:p/>
    <w:p>
      <w:r>
        <w:rPr>
          <w:rFonts w:ascii="Calibri" w:hAnsi="Calibri" w:cs="Calibri"/>
          <w:b w:val="0"/>
          <w:i w:val="0"/>
          <w:sz w:val="22"/>
        </w:rPr>
        <w:t>Following the guidance, every usage-policy and data-protection element OCI attaches sits at the dataset level. RecordSet-level attachment is held in reserve for the single case described in section 3.4.</w:t>
      </w:r>
    </w:p>
    <w:p/>
    <w:p>
      <w:pPr>
        <w:pStyle w:val="Heading2"/>
      </w:pPr>
      <w:r>
        <w:t>3.1 Data-use terms</w:t>
      </w:r>
    </w:p>
    <w:p/>
    <w:p>
      <w:r>
        <w:rPr>
          <w:rFonts w:ascii="Calibri" w:hAnsi="Calibri" w:cs="Calibri"/>
          <w:b w:val="0"/>
          <w:i w:val="0"/>
          <w:sz w:val="22"/>
        </w:rPr>
        <w:t>OCI attaches GA4GH Data Use Ontology terms through the Croissant data-use-terms property. A dataset typically declares one permission term, such as General Research Use or Health or Medical or Biomedical research, optionally narrowed by one or more restriction terms such as Non-Commercial Use Only or Geographic-or-Other restriction, and qualified by modifier terms such as Ethics-Approval-Required, Publication-Required, Collaboration-Required, or a Time-Limit. Each term carries a small, machine-readable semantics — in particular whether commercial use is permitted and whether an ethics approval is required — so that an automated matcher can compute a verdict against a requester's declared intended use.</w:t>
      </w:r>
    </w:p>
    <w:p/>
    <w:p>
      <w:pPr>
        <w:pStyle w:val="Heading2"/>
      </w:pPr>
      <w:r>
        <w:t>3.2 Usage rules</w:t>
      </w:r>
    </w:p>
    <w:p/>
    <w:p>
      <w:r>
        <w:rPr>
          <w:rFonts w:ascii="Calibri" w:hAnsi="Calibri" w:cs="Calibri"/>
          <w:b w:val="0"/>
          <w:i w:val="0"/>
          <w:sz w:val="22"/>
        </w:rPr>
        <w:t>In addition to the ontology terms, OCI carries machine-actionable ODRL usage rules at the dataset level, as anticipated by the Croissant 1.1 release. ODRL expresses permissions, prohibitions, and duties in a form a policy engine can evaluate, complementing the coarser-grained DUO vocabulary.</w:t>
      </w:r>
    </w:p>
    <w:p/>
    <w:p>
      <w:pPr>
        <w:pStyle w:val="Heading2"/>
      </w:pPr>
      <w:r>
        <w:t>3.3 The BIOCroissant data-protection block</w:t>
      </w:r>
    </w:p>
    <w:p/>
    <w:p>
      <w:r>
        <w:rPr>
          <w:rFonts w:ascii="Calibri" w:hAnsi="Calibri" w:cs="Calibri"/>
          <w:b w:val="0"/>
          <w:i w:val="0"/>
          <w:sz w:val="22"/>
        </w:rPr>
        <w:t>Health datasets carry a data-protection block under the BIOCroissant v0.1 draft, attached at the dataset level. It records the consent legal basis under which the data was collected, drawn from a controlled set spanning explicit informed consent, published opt-out programmes, retrospective ethics-board waivers, archival exceptions, public-interest bases, and fully anonymous data not subject to consent law. It records a per-jurisdiction lawful basis expressed as framework-agnostic article references, so a General Data Protection Regulation cell citing Article 6 and Article 9 and a non-GDPR regime can be expressed in the same shape. It records a de-identification level on a four-step scale aligned to identified, limited, de-identified, and anonymised data. It records the controller and processor parties and their jurisdictions, and references to the governing ethics-board approval. These fields are the provenance a data-protection impact assessment and a regulator read against, and they belong to the dataset, not to any requester.</w:t>
      </w:r>
    </w:p>
    <w:p/>
    <w:p>
      <w:r>
        <w:rPr>
          <w:rFonts w:ascii="Calibri" w:hAnsi="Calibri" w:cs="Calibri"/>
          <w:b w:val="0"/>
          <w:i w:val="0"/>
          <w:sz w:val="22"/>
        </w:rPr>
        <w:t>BIOCroissant v0.1 currently uses the provisional namespace https://oci.ai4h.net/biocroissant/v0.1#, which OCI owns and will redirect to the canonical WG-Data IRI once one is assigned.</w:t>
      </w:r>
    </w:p>
    <w:p/>
    <w:p>
      <w:pPr>
        <w:pStyle w:val="Heading2"/>
      </w:pPr>
      <w:r>
        <w:t>3.4 RecordSet-level attachment</w:t>
      </w:r>
    </w:p>
    <w:p/>
    <w:p>
      <w:r>
        <w:rPr>
          <w:rFonts w:ascii="Calibri" w:hAnsi="Calibri" w:cs="Calibri"/>
          <w:b w:val="0"/>
          <w:i w:val="0"/>
          <w:sz w:val="22"/>
        </w:rPr>
        <w:t>RecordSet-level attachment is reserved for the case where a subset of a dataset carries consent or restriction terms distinct from the dataset as a whole — for example a sensitive sub-cohort within an otherwise broadly consented dataset. In that case the differing terms attach to the relevant RecordSet, leaving the dataset-level policy as the default for everything else.</w:t>
      </w:r>
    </w:p>
    <w:p/>
    <w:p>
      <w:pPr>
        <w:pStyle w:val="Heading1"/>
      </w:pPr>
      <w:r>
        <w:t>4 The dataset and requester scope split</w:t>
      </w:r>
    </w:p>
    <w:p/>
    <w:p>
      <w:r>
        <w:rPr>
          <w:rFonts w:ascii="Calibri" w:hAnsi="Calibri" w:cs="Calibri"/>
          <w:b w:val="0"/>
          <w:i w:val="0"/>
          <w:sz w:val="22"/>
        </w:rPr>
        <w:t>The core team's answer aligns with the architecture OCI has already built, and OCI affirms it as the working split. A dataset declares its requirements in Croissant, through DUO terms and ODRL rules at the dataset level. The requester side — the declared intended use, ethics-board references, retention commitments, and redistribution intent — together with the algorithm that matches a request against a dataset's terms and the storage of the requester's proofs, is owned by the platform's access-control architecture. In OCI this is realised through GA4GH Passport and the Authentication and Authorization Infrastructure for requester identity and verifiable claims, a data-use matcher, and signed receipts.</w:t>
      </w:r>
    </w:p>
    <w:p/>
    <w:p>
      <w:r>
        <w:rPr>
          <w:rFonts w:ascii="Calibri" w:hAnsi="Calibri" w:cs="Calibri"/>
          <w:b w:val="0"/>
          <w:i w:val="0"/>
          <w:sz w:val="22"/>
        </w:rPr>
        <w:t>OCI therefore does not propose to move the requester payload into Croissant. Doing so would duplicate the GA4GH Passport ecosystem and stretch Croissant beyond describing datasets. The 2024 work of Pandit and Esteves on extending the Data Use Ontology with ODRL and the Data Privacy Vocabulary gestures toward richer machine-actionable terms, and OCI tracks it as adjacent work; but the requester payload remains, in OCI's reading and the core team's, a concern of access-control architecture rather than of the dataset descriptor.</w:t>
      </w:r>
    </w:p>
    <w:p/>
    <w:p>
      <w:pPr>
        <w:pStyle w:val="Heading1"/>
      </w:pPr>
      <w:r>
        <w:t>5 Requests to WG-Data</w:t>
      </w:r>
    </w:p>
    <w:p/>
    <w:p>
      <w:r>
        <w:rPr>
          <w:rFonts w:ascii="Calibri" w:hAnsi="Calibri" w:cs="Calibri"/>
          <w:b w:val="0"/>
          <w:i w:val="0"/>
          <w:sz w:val="22"/>
        </w:rPr>
        <w:t>First, OCI asks WG-Data to review the dataset-level attachment shape in section 3 and to carry it to the Croissant core team for their recommendation, taking up the core team's offer to look at the specific information attached.</w:t>
      </w:r>
    </w:p>
    <w:p/>
    <w:p>
      <w:r>
        <w:rPr>
          <w:rFonts w:ascii="Calibri" w:hAnsi="Calibri" w:cs="Calibri"/>
          <w:b w:val="0"/>
          <w:i w:val="0"/>
          <w:sz w:val="22"/>
        </w:rPr>
        <w:t>Second, OCI asks WG-Data to open a path to a canonical BIOCroissant IRI to replace the provisional namespace, so that the data-protection block resolves against a stable, working-group-owned identifier.</w:t>
      </w:r>
    </w:p>
    <w:p/>
    <w:p>
      <w:r>
        <w:rPr>
          <w:rFonts w:ascii="Calibri" w:hAnsi="Calibri" w:cs="Calibri"/>
          <w:b w:val="0"/>
          <w:i w:val="0"/>
          <w:sz w:val="22"/>
        </w:rPr>
        <w:t>Third, OCI asks WG-Data to confirm the dataset and requester scope split described in section 4 as the working-group position, so that platforms building on BIOCroissant share a common understanding of what the dataset descriptor carries and what the access-control layer owns.</w:t>
      </w:r>
    </w:p>
    <w:p/>
    <w:p>
      <w:pPr>
        <w:pStyle w:val="Heading1"/>
      </w:pPr>
      <w:r>
        <w:t>6 References</w:t>
      </w:r>
    </w:p>
    <w:p/>
    <w:p>
      <w:r>
        <w:rPr>
          <w:rFonts w:ascii="Calibri" w:hAnsi="Calibri" w:cs="Calibri"/>
          <w:b w:val="0"/>
          <w:i w:val="0"/>
          <w:sz w:val="22"/>
        </w:rPr>
        <w:t>MLCommons Croissant 1.1 standard, February 2026.</w:t>
      </w:r>
    </w:p>
    <w:p/>
    <w:p>
      <w:r>
        <w:rPr>
          <w:rFonts w:ascii="Calibri" w:hAnsi="Calibri" w:cs="Calibri"/>
          <w:b w:val="0"/>
          <w:i w:val="0"/>
          <w:sz w:val="22"/>
        </w:rPr>
        <w:t>MLCommons Croissant Responsible AI extension.</w:t>
      </w:r>
    </w:p>
    <w:p/>
    <w:p>
      <w:r>
        <w:rPr>
          <w:rFonts w:ascii="Calibri" w:hAnsi="Calibri" w:cs="Calibri"/>
          <w:b w:val="0"/>
          <w:i w:val="0"/>
          <w:sz w:val="22"/>
        </w:rPr>
        <w:t>GA4GH Data Use Ontology, EBISPOT/DUO.</w:t>
      </w:r>
    </w:p>
    <w:p/>
    <w:p>
      <w:r>
        <w:rPr>
          <w:rFonts w:ascii="Calibri" w:hAnsi="Calibri" w:cs="Calibri"/>
          <w:b w:val="0"/>
          <w:i w:val="0"/>
          <w:sz w:val="22"/>
        </w:rPr>
        <w:t>GA4GH Passport and Authentication and Authorization Infrastructure specifications.</w:t>
      </w:r>
    </w:p>
    <w:p/>
    <w:p>
      <w:r>
        <w:rPr>
          <w:rFonts w:ascii="Calibri" w:hAnsi="Calibri" w:cs="Calibri"/>
          <w:b w:val="0"/>
          <w:i w:val="0"/>
          <w:sz w:val="22"/>
        </w:rPr>
        <w:t>W3C Open Digital Rights Language (ODRL) model.</w:t>
      </w:r>
    </w:p>
    <w:p/>
    <w:p>
      <w:r>
        <w:rPr>
          <w:rFonts w:ascii="Calibri" w:hAnsi="Calibri" w:cs="Calibri"/>
          <w:b w:val="0"/>
          <w:i w:val="0"/>
          <w:sz w:val="22"/>
        </w:rPr>
        <w:t>Pandit and Esteves, extending the Data Use Ontology with ODRL and the Data Privacy Vocabulary, 2024.</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787" w:val="right"/>
      </w:tabs>
    </w:pPr>
    <w:r>
      <w:rPr>
        <w:rFonts w:ascii="Calibri" w:hAnsi="Calibri" w:cs="Calibri"/>
        <w:b w:val="0"/>
        <w:i w:val="0"/>
        <w:color w:val="6B7280"/>
        <w:sz w:val="18"/>
      </w:rPr>
      <w:t>GI-AI4H-WGD-OCI-002</w:t>
    </w:r>
    <w:r>
      <w:tab/>
    </w:r>
    <w:r/>
    <w:r>
      <w:rPr>
        <w:rFonts w:ascii="Calibri" w:hAnsi="Calibri" w:cs="Calibri"/>
        <w:b w:val="0"/>
        <w:i w:val="0"/>
        <w:color w:val="6B7280"/>
        <w:sz w:val="18"/>
      </w:rPr>
    </w:r>
    <w:fldSimple w:instr="PAGE">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Rule="auto" w:line="3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03D6B"/>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3D6B"/>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3D6B"/>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val="0"/>
      <w:iCs/>
      <w:color w:val="003D6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