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8787" w:val="right"/>
        </w:tabs>
        <w:spacing w:after="0"/>
      </w:pPr>
      <w:r>
        <w:rPr>
          <w:rFonts w:ascii="Calibri" w:hAnsi="Calibri" w:cs="Calibri"/>
          <w:b/>
          <w:i w:val="0"/>
          <w:color w:val="003D6B"/>
          <w:sz w:val="24"/>
        </w:rPr>
        <w:t>GI-AI4H</w:t>
      </w:r>
      <w:r>
        <w:rPr>
          <w:rFonts w:ascii="Calibri" w:hAnsi="Calibri" w:cs="Calibri"/>
          <w:b w:val="0"/>
          <w:i w:val="0"/>
          <w:color w:val="6B7280"/>
          <w:sz w:val="20"/>
        </w:rPr>
        <w:t xml:space="preserve">   ·   ITU · WHO · WIPO</w:t>
      </w:r>
      <w:r>
        <w:tab/>
      </w:r>
      <w:r>
        <w:rPr>
          <w:rFonts w:ascii="Consolas" w:hAnsi="Consolas" w:cs="Consolas"/>
          <w:b w:val="0"/>
          <w:i w:val="0"/>
          <w:color w:val="6B7280"/>
          <w:sz w:val="20"/>
        </w:rPr>
        <w:t>GI-AI4H-WGD-OCI-001</w:t>
      </w:r>
    </w:p>
    <w:p>
      <w:pPr>
        <w:spacing w:after="80"/>
      </w:pPr>
      <w:r>
        <w:rPr>
          <w:rFonts w:ascii="Calibri" w:hAnsi="Calibri" w:cs="Calibri"/>
          <w:b w:val="0"/>
          <w:i/>
          <w:color w:val="6B7280"/>
          <w:sz w:val="20"/>
        </w:rPr>
        <w:t>ITU/WHO/WIPO Global Initiative on AI for Health (GI-AI4H)</w:t>
      </w:r>
    </w:p>
    <w:p>
      <w:pPr>
        <w:spacing w:before="40" w:after="160"/>
        <w:pBdr>
          <w:bottom w:val="single" w:sz="6" w:space="1" w:color="CBD5E0"/>
        </w:pBdr>
      </w:pPr>
    </w:p>
    <w:p>
      <w:pPr>
        <w:spacing w:after="560"/>
      </w:pPr>
      <w:r>
        <w:rPr>
          <w:rFonts w:ascii="Calibri" w:hAnsi="Calibri" w:cs="Calibri"/>
          <w:b/>
          <w:i w:val="0"/>
          <w:color w:val="003D6B"/>
          <w:sz w:val="18"/>
        </w:rPr>
        <w:t>WG-DATA</w:t>
      </w:r>
      <w:r>
        <w:rPr>
          <w:rFonts w:ascii="Calibri" w:hAnsi="Calibri" w:cs="Calibri"/>
          <w:b w:val="0"/>
          <w:i w:val="0"/>
          <w:color w:val="6B7280"/>
          <w:sz w:val="18"/>
        </w:rPr>
        <w:t xml:space="preserve">   ·   </w:t>
      </w:r>
      <w:r>
        <w:rPr>
          <w:rFonts w:ascii="Calibri" w:hAnsi="Calibri" w:cs="Calibri"/>
          <w:b w:val="0"/>
          <w:i w:val="0"/>
          <w:color w:val="6B7280"/>
          <w:sz w:val="18"/>
        </w:rPr>
        <w:t>2026 meeting cycle — date TBD</w:t>
      </w:r>
    </w:p>
    <w:p>
      <w:pPr>
        <w:spacing w:after="160"/>
      </w:pPr>
      <w:r>
        <w:rPr>
          <w:rFonts w:ascii="Calibri" w:hAnsi="Calibri" w:cs="Calibri"/>
          <w:b/>
          <w:i w:val="0"/>
          <w:color w:val="FFFFFF"/>
          <w:sz w:val="18"/>
          <w:shd w:val="clear" w:color="auto" w:fill="003D6B"/>
        </w:rPr>
        <w:t xml:space="preserve">  DISCUSSION  </w:t>
      </w:r>
    </w:p>
    <w:p>
      <w:pPr>
        <w:spacing w:before="160" w:after="80" w:lineRule="auto" w:line="276"/>
      </w:pPr>
      <w:r>
        <w:rPr>
          <w:rFonts w:ascii="Calibri" w:hAnsi="Calibri" w:cs="Calibri"/>
          <w:b/>
          <w:i w:val="0"/>
          <w:color w:val="111827"/>
          <w:sz w:val="48"/>
        </w:rPr>
        <w:t>BuilderStatus — Proposed Visa Type extension to GA4GH Passport for AI builder accreditation</w:t>
      </w:r>
    </w:p>
    <w:p>
      <w:pPr>
        <w:spacing w:after="560"/>
      </w:pPr>
      <w:r>
        <w:rPr>
          <w:rFonts w:ascii="Calibri" w:hAnsi="Calibri" w:cs="Calibri"/>
          <w:b w:val="0"/>
          <w:i/>
          <w:color w:val="6B7280"/>
          <w:sz w:val="22"/>
        </w:rPr>
        <w:t>Contribution to GI-AI4H WG-Data   ·   2026-05-09</w:t>
      </w:r>
    </w:p>
    <w:p>
      <w:pPr>
        <w:tabs>
          <w:tab w:pos="2268" w:val="left"/>
        </w:tabs>
        <w:spacing w:after="120"/>
      </w:pPr>
      <w:r>
        <w:rPr>
          <w:rFonts w:ascii="Calibri" w:hAnsi="Calibri" w:cs="Calibri"/>
          <w:b/>
          <w:i w:val="0"/>
          <w:color w:val="6B7280"/>
          <w:sz w:val="18"/>
        </w:rPr>
        <w:t>SOURCE</w:t>
      </w:r>
      <w:r>
        <w:tab/>
      </w:r>
      <w:r>
        <w:rPr>
          <w:rFonts w:ascii="Calibri" w:hAnsi="Calibri" w:cs="Calibri"/>
          <w:b w:val="0"/>
          <w:i w:val="0"/>
          <w:color w:val="111827"/>
          <w:sz w:val="22"/>
        </w:rPr>
        <w:t>OCI Platform team</w:t>
      </w:r>
      <w:r>
        <w:br/>
        <w:tab/>
      </w:r>
      <w:r>
        <w:rPr>
          <w:rFonts w:ascii="Calibri" w:hAnsi="Calibri" w:cs="Calibri"/>
          <w:b w:val="0"/>
          <w:i w:val="0"/>
          <w:color w:val="111827"/>
          <w:sz w:val="22"/>
        </w:rPr>
        <w:t>Marc Lecoultre, MLLab.ai</w:t>
      </w:r>
      <w:r>
        <w:br/>
        <w:tab/>
      </w:r>
      <w:r>
        <w:rPr>
          <w:rFonts w:ascii="Calibri" w:hAnsi="Calibri" w:cs="Calibri"/>
          <w:b w:val="0"/>
          <w:i w:val="0"/>
          <w:color w:val="111827"/>
          <w:sz w:val="22"/>
        </w:rPr>
        <w:t>GI-AI4H Open Code Infrastructure</w:t>
      </w:r>
    </w:p>
    <w:p>
      <w:pPr>
        <w:tabs>
          <w:tab w:pos="2268" w:val="left"/>
        </w:tabs>
        <w:spacing w:after="120"/>
      </w:pPr>
      <w:r>
        <w:rPr>
          <w:rFonts w:ascii="Calibri" w:hAnsi="Calibri" w:cs="Calibri"/>
          <w:b/>
          <w:i w:val="0"/>
          <w:color w:val="6B7280"/>
          <w:sz w:val="18"/>
        </w:rPr>
        <w:t>CONTACT</w:t>
      </w:r>
      <w:r>
        <w:tab/>
      </w:r>
      <w:r>
        <w:rPr>
          <w:rFonts w:ascii="Calibri" w:hAnsi="Calibri" w:cs="Calibri"/>
          <w:b w:val="0"/>
          <w:i w:val="0"/>
          <w:color w:val="111827"/>
          <w:sz w:val="22"/>
        </w:rPr>
        <w:t>Marc Lecoultre, MLLab.ai (OCI Platform team)</w:t>
      </w:r>
      <w:r>
        <w:br/>
        <w:tab/>
      </w:r>
      <w:r>
        <w:rPr>
          <w:rFonts w:ascii="Calibri" w:hAnsi="Calibri" w:cs="Calibri"/>
          <w:b w:val="0"/>
          <w:i w:val="0"/>
          <w:color w:val="111827"/>
          <w:sz w:val="22"/>
        </w:rPr>
        <w:t>ml@mllab.ai</w:t>
      </w:r>
    </w:p>
    <w:p>
      <w:pPr>
        <w:tabs>
          <w:tab w:pos="2268" w:val="left"/>
        </w:tabs>
        <w:spacing w:after="120"/>
      </w:pPr>
      <w:r>
        <w:rPr>
          <w:rFonts w:ascii="Calibri" w:hAnsi="Calibri" w:cs="Calibri"/>
          <w:b/>
          <w:i w:val="0"/>
          <w:color w:val="6B7280"/>
          <w:sz w:val="18"/>
        </w:rPr>
        <w:t>PURPOSE</w:t>
      </w:r>
      <w:r>
        <w:tab/>
      </w:r>
      <w:r>
        <w:rPr>
          <w:rFonts w:ascii="Calibri" w:hAnsi="Calibri" w:cs="Calibri"/>
          <w:b w:val="0"/>
          <w:i w:val="0"/>
          <w:color w:val="111827"/>
          <w:sz w:val="22"/>
        </w:rPr>
        <w:t>Discussion</w:t>
      </w:r>
    </w:p>
    <w:p>
      <w:pPr>
        <w:tabs>
          <w:tab w:pos="2268" w:val="left"/>
        </w:tabs>
        <w:spacing w:after="120"/>
      </w:pPr>
      <w:r>
        <w:rPr>
          <w:rFonts w:ascii="Calibri" w:hAnsi="Calibri" w:cs="Calibri"/>
          <w:b/>
          <w:i w:val="0"/>
          <w:color w:val="6B7280"/>
          <w:sz w:val="18"/>
        </w:rPr>
        <w:t>DOCUMENT</w:t>
      </w:r>
      <w:r>
        <w:tab/>
      </w:r>
      <w:r>
        <w:rPr>
          <w:rFonts w:ascii="Calibri" w:hAnsi="Calibri" w:cs="Calibri"/>
          <w:b w:val="0"/>
          <w:i w:val="0"/>
          <w:color w:val="111827"/>
          <w:sz w:val="22"/>
        </w:rPr>
        <w:t>GI-AI4H-WGD-OCI-001</w:t>
      </w:r>
    </w:p>
    <w:p>
      <w:pPr>
        <w:spacing w:before="0" w:after="160"/>
      </w:pPr>
    </w:p>
    <w:p>
      <w:pPr>
        <w:spacing w:before="40" w:after="160"/>
        <w:pBdr>
          <w:bottom w:val="single" w:sz="6" w:space="1" w:color="CBD5E0"/>
        </w:pBdr>
      </w:pPr>
    </w:p>
    <w:p>
      <w:pPr>
        <w:spacing w:before="80" w:after="120"/>
      </w:pPr>
      <w:r>
        <w:rPr>
          <w:rFonts w:ascii="Calibri" w:hAnsi="Calibri" w:cs="Calibri"/>
          <w:b/>
          <w:i w:val="0"/>
          <w:color w:val="003D6B"/>
          <w:sz w:val="28"/>
        </w:rPr>
        <w:t>Abstract</w:t>
      </w:r>
    </w:p>
    <w:p>
      <w:pPr>
        <w:spacing w:after="240" w:lineRule="auto" w:line="336"/>
        <w:ind w:left="0" w:right="0"/>
      </w:pPr>
      <w:r>
        <w:rPr>
          <w:rFonts w:ascii="Calibri" w:hAnsi="Calibri"/>
          <w:sz w:val="22"/>
        </w:rPr>
        <w:t>This contribution proposes BuilderStatus, a new GA4GH Passport Visa Type for accrediting commercial AI solution developers — particularly LMIC startups, MedTech vendors, and academic spin-offs — building deployable AI for WHO public-health priorities. The current GA4GH Passport spec defines five standard Visa Types (ControlledAccessGrants, AffiliationAndRole, AcceptedTermsAndPolicies, ResearcherStatus, LinkedIdentities) but none covers entity-level accreditation by an innovation programme such as the WHO Innovation Hub or a national MoH innovation track. The contribution outlines the schema, comparison with existing Visa Types, operational fit with peer platforms (EGA, NIH dbGaP, Sage Bionetworks), and a dual-track implementation plan: OCI Platform issues BuilderStatus Visas under a platform-controlled URI immediately (Phase 2), while submitting the extension to GA4GH WG-Data DURI for standardisation in parallel. The intent is to socialise the proposal within GI-AI4H WG-Data ahead of the external GA4GH submission, and to invite co-authorship by Topic Groups with relevant LMIC AI-builder cohorts.</w:t>
      </w:r>
    </w:p>
    <w:p>
      <w:r>
        <w:br w:type="page"/>
      </w:r>
    </w:p>
    <w:p>
      <w:pPr>
        <w:pStyle w:val="Heading1"/>
      </w:pPr>
      <w:r>
        <w:t>1   Scope</w:t>
      </w:r>
    </w:p>
    <w:p/>
    <w:p>
      <w:r>
        <w:t>This contribution proposes a new GA4GH Passport Visa Type — BuilderStatus — to capture entity-level accreditation by an innovation programme such as the WHO Innovation Hub or a national Ministry of Health innovation track. The Visa Type complements (does not replace) the existing five standard Visa Types defined in the GA4GH Passport v1 specification.</w:t>
      </w:r>
    </w:p>
    <w:p/>
    <w:p>
      <w:r>
        <w:t>The contribution is positioned for discussion within GI-AI4H WG-Data ahead of formal submission to GA4GH Work Stream DURI (Data Use &amp; Researcher Identity). The intent is to surface the design, invite co-authorship from Topic Groups with LMIC AI-builder cohorts, and align on GI-AI4H's voice in the GA4GH standards process.</w:t>
      </w:r>
    </w:p>
    <w:p/>
    <w:p>
      <w:pPr>
        <w:pStyle w:val="Heading1"/>
      </w:pPr>
      <w:r>
        <w:t>2   Background</w:t>
      </w:r>
    </w:p>
    <w:p/>
    <w:p>
      <w:pPr>
        <w:pStyle w:val="Heading2"/>
      </w:pPr>
      <w:r>
        <w:t>2.1   The GI-AI4H mission and the AI-builder audience</w:t>
      </w:r>
    </w:p>
    <w:p/>
    <w:p>
      <w:r>
        <w:t>The Open Code Infrastructure (OCI) Platform, operated under the ITU/WHO/WIPO Global Initiative on AI for Health (GI-AI4H), exists to enable AI solutions for WHO public-health priorities — particularly in low- and middle-income countries (LMICs). A core observation behind the OCI's access-governance design is that this work is largely done by commercial actors: LMIC startups, MedTech vendors, academic spin-offs, and development-finance-backed initiatives, alongside academic researchers.</w:t>
      </w:r>
    </w:p>
    <w:p/>
    <w:p>
      <w:r>
        <w:t>Peer health-data platforms (Synapse / Sage Bionetworks, the European Genome-phenome Archive, NIH dbGaP, UK Biobank) have served the academic-researcher audience well, but their default access flows assume an individual researcher with an institutional affiliation under a non-commercial-research use case. This default excludes precisely the audience GI-AI4H exists to serve.</w:t>
      </w:r>
    </w:p>
    <w:p/>
    <w:p>
      <w:pPr>
        <w:pStyle w:val="Heading2"/>
      </w:pPr>
      <w:r>
        <w:t>2.2   Why the current Visa Types are insufficient</w:t>
      </w:r>
    </w:p>
    <w:p/>
    <w:p>
      <w:r>
        <w:t>GA4GH Passport v1 defines five standard Visa Types: ControlledAccessGrants, AffiliationAndRole, AcceptedTermsAndPolicies, ResearcherStatus, and LinkedIdentities. These cover the academic path well — AffiliationAndRole captures institutional employment, ResearcherStatus records bona-fide-researcher recognition by a recognised body, and ControlledAccessGrants records per-dataset Data Access Committee approval.</w:t>
      </w:r>
    </w:p>
    <w:p/>
    <w:p>
      <w:r>
        <w:t>None of the existing Visa Types captures the entity-level accreditation pattern that defines an AI-builder access path. The accrediting body is an innovation programme (WHO Innovation Hub, national MoH innovation track, development-finance grant programme) rather than a research institution. The accredited subject is typically a legal entity (a company or consortium) rather than an individual researcher. The use case is product or service deployment, not academic research with publication as output. Conditions are typically scoped by deployment jurisdiction, regulatory pathway, and priority area — none of which the existing Visa Types capture in their value field semantics.</w:t>
      </w:r>
    </w:p>
    <w:p/>
    <w:p>
      <w:pPr>
        <w:pStyle w:val="Heading1"/>
      </w:pPr>
      <w:r>
        <w:t>3   Proposal — BuilderStatus Visa Type</w:t>
      </w:r>
    </w:p>
    <w:p/>
    <w:p>
      <w:pPr>
        <w:pStyle w:val="Heading2"/>
      </w:pPr>
      <w:r>
        <w:t>3.1   Visa shape</w:t>
      </w:r>
    </w:p>
    <w:p/>
    <w:p>
      <w:r>
        <w:t>BuilderStatus follows the standard GA4GH Passport Visa shape (signed JWT, JWS Compact Serialization, ga4gh_visa_v1 payload). The semantic difference is in the value, source, and conditions fields.</w:t>
      </w:r>
    </w:p>
    <w:p/>
    <w:p>
      <w:pPr>
        <w:pStyle w:val="Heading2"/>
      </w:pPr>
      <w:r>
        <w:t>3.2   Required fields</w:t>
      </w:r>
    </w:p>
    <w:p/>
    <w:p>
      <w:r>
        <w:t>The value field contains a URI naming the accreditation programme. Examples include https://innovation.who.int/programmes/ai-for-health-2026, https://nationalmoh.example.gov/innovation-programme, and https://wellcome.org/grant-id/12345.</w:t>
      </w:r>
    </w:p>
    <w:p/>
    <w:p>
      <w:r>
        <w:t>The source field contains the publicly resolvable identifier of the accreditation body.</w:t>
      </w:r>
    </w:p>
    <w:p/>
    <w:p>
      <w:r>
        <w:t>The by field is set to "accrediting-body" (the issuer is the programme itself).</w:t>
      </w:r>
    </w:p>
    <w:p/>
    <w:p>
      <w:pPr>
        <w:pStyle w:val="Heading2"/>
      </w:pPr>
      <w:r>
        <w:t>3.3   Optional conditions field</w:t>
      </w:r>
    </w:p>
    <w:p/>
    <w:p>
      <w:r>
        <w:t>A suggested schema for the conditions object: deployment_jurisdictions (ISO 3166-1 alpha-2 country codes), regulatory_pathway (free-form, e.g. WHO_PREQUAL, FDA_510K, EU_MDR_IIa), priority_areas (WHO priority taxonomy: TB, malaria, maternal-health, etc.), valid_from and valid_until (ISO 8601 date strings).</w:t>
      </w:r>
    </w:p>
    <w:p/>
    <w:p>
      <w:pPr>
        <w:pStyle w:val="Heading2"/>
      </w:pPr>
      <w:r>
        <w:t>3.4   Comparison with existing Visa Types</w:t>
      </w:r>
    </w:p>
    <w:p/>
    <w:p>
      <w:r>
        <w:t>ResearcherStatus has subject = individual, issuer = research body, mission = research-only. BuilderStatus has subject = accredited entity, issuer = innovation programme, mission = product/deployment with commercial use OK if mission-aligned.</w:t>
      </w:r>
    </w:p>
    <w:p/>
    <w:p>
      <w:r>
        <w:t>A platform that supports both Visa Types serves both audiences without conflating them. A platform that supports only ResearcherStatus either rejects accredited builders or misuses the existing Visa.</w:t>
      </w:r>
    </w:p>
    <w:p/>
    <w:p>
      <w:pPr>
        <w:pStyle w:val="Heading1"/>
      </w:pPr>
      <w:r>
        <w:t>4   Operational fit with existing platforms</w:t>
      </w:r>
    </w:p>
    <w:p/>
    <w:p>
      <w:r>
        <w:t>EGA already conforms to GA4GH Passports and would add BuilderStatus to its verification list as a minimal additive change. NIH dbGaP / RAS, which is researcher-focused and does not currently serve commercial use, can opt out of issuing or verifying BuilderStatus without breaking compatibility. Sage Bionetworks (planned Synapse broker) has a tiered Access Requirement model that is conceptually aligned; the OCI Platform team has reached out to Sage colleagues to discuss co-sponsorship and mutual relying-party trust.</w:t>
      </w:r>
    </w:p>
    <w:p/>
    <w:p>
      <w:pPr>
        <w:pStyle w:val="Heading1"/>
      </w:pPr>
      <w:r>
        <w:t>5   Dual-track implementation sequencing</w:t>
      </w:r>
    </w:p>
    <w:p/>
    <w:p>
      <w:r>
        <w:t>Custom Visa Types are explicitly supported by the GA4GH Passport spec. The OCI Platform implements BuilderStatus immediately under a platform-controlled URI, and submits the extension to GA4GH WG-Data DURI in parallel. If standardised, the URI is migrated to the standard one — a configuration change, not a redesign. If not standardised, the custom URI remains; peer platforms opt in to honour OCI-issued BuilderStatus Visas via their trust-list configuration.</w:t>
      </w:r>
    </w:p>
    <w:p/>
    <w:p>
      <w:r>
        <w:t>The implementation URI (custom) is https://oci.ai4h.net/passport/v1/visa/builder-status. Schema documentation will live at docs/standards/oci-passport-extensions.md in the OCI Platform repository, suitable for peer platforms to read when deciding whether to honour our Visas.</w:t>
      </w:r>
    </w:p>
    <w:p/>
    <w:p>
      <w:pPr>
        <w:pStyle w:val="Heading1"/>
      </w:pPr>
      <w:r>
        <w:t>6   Open questions for WG-Data discussion</w:t>
      </w:r>
    </w:p>
    <w:p/>
    <w:p>
      <w:r>
        <w:t>Should BuilderStatus be a parallel new Visa Type, or an extension of ResearcherStatus with a category discriminant? OCI's position: parallel — different semantics, different lifecycle, different issuers.</w:t>
      </w:r>
    </w:p>
    <w:p/>
    <w:p>
      <w:r>
        <w:t>Is the proposed conditions schema sufficient, or should it be formalised as a separate spec (similar to how DUO formalised consent codes)?</w:t>
      </w:r>
    </w:p>
    <w:p/>
    <w:p>
      <w:r>
        <w:t>How does BuilderStatus revocation work? Accreditation can be withdrawn (e.g. funding ended). Standard Visa expiry handles validity dates; accreditation withdrawal needs a faster signal.</w:t>
      </w:r>
    </w:p>
    <w:p/>
    <w:p>
      <w:r>
        <w:t>Should there be a registry of recognised accrediting bodies, comparable to the eduGAIN trust list for SAML federation?</w:t>
      </w:r>
    </w:p>
    <w:p/>
    <w:p>
      <w:r>
        <w:t>Topic Groups with relevant LMIC AI-builder cohorts (TG-Ophthalmo, TG-Radio, TG-Symptom, others) are invited to indicate co-authorship interest before formal submission to GA4GH.</w:t>
      </w:r>
    </w:p>
    <w:p/>
    <w:p>
      <w:pPr>
        <w:pStyle w:val="Heading1"/>
      </w:pPr>
      <w:r>
        <w:t>7   Asks of WG-Data</w:t>
      </w:r>
    </w:p>
    <w:p/>
    <w:p>
      <w:r>
        <w:t>Discuss this contribution at the next WG-Data session.</w:t>
      </w:r>
    </w:p>
    <w:p/>
    <w:p>
      <w:r>
        <w:t>Indicate which Topic Groups would co-author the formal GA4GH submission. The OCI Platform team will draft and steward the submission; co-author Topic Groups would review and endorse.</w:t>
      </w:r>
    </w:p>
    <w:p/>
    <w:p>
      <w:r>
        <w:t>Surface any legal, ethical, or compliance considerations that the OCI position has not addressed.</w:t>
      </w:r>
    </w:p>
    <w:p/>
    <w:p>
      <w:r>
        <w:t>Authorise OCI Platform to submit the proposal to GA4GH WG-Data DURI on behalf of GI-AI4H once internal alignment is reached.</w:t>
      </w:r>
    </w:p>
    <w:p/>
    <w:p>
      <w:pPr>
        <w:pStyle w:val="Heading1"/>
      </w:pPr>
      <w:r>
        <w:t>8   References</w:t>
      </w:r>
    </w:p>
    <w:p/>
    <w:p>
      <w:r>
        <w:t>GA4GH Passport v1 specification — https://ga4gh.github.io/data-security/ga4gh-passport</w:t>
      </w:r>
    </w:p>
    <w:p/>
    <w:p>
      <w:r>
        <w:t>GA4GH Data Use Ontology — https://www.ga4gh.org/product/data-use-ontology-duo/</w:t>
      </w:r>
    </w:p>
    <w:p/>
    <w:p>
      <w:r>
        <w:t>OCI ADR-0003 — Tiered identity assurance and Access Requirements (OCI Platform repository, private during Phase A; PDF available on request).</w:t>
      </w:r>
    </w:p>
    <w:p/>
    <w:p>
      <w:r>
        <w:t>Synapse User Tiers — https://help.synapse.org/docs/User-Account-Tiers.2007072795.html</w:t>
      </w:r>
    </w:p>
    <w:p/>
    <w:p>
      <w:r>
        <w:t>ELIXIR-EGA AAI — https://elixir-europe.org/activities/secure-access-genomic-data-distributed-authentication-european-genome-phenome-archive-ega</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787" w:val="right"/>
      </w:tabs>
    </w:pPr>
    <w:r>
      <w:rPr>
        <w:rFonts w:ascii="Calibri" w:hAnsi="Calibri" w:cs="Calibri"/>
        <w:b w:val="0"/>
        <w:i w:val="0"/>
        <w:color w:val="6B7280"/>
        <w:sz w:val="18"/>
      </w:rPr>
      <w:t>GI-AI4H-WGD-OCI-001</w:t>
    </w:r>
    <w:r>
      <w:tab/>
    </w:r>
    <w:r/>
    <w:r>
      <w:rPr>
        <w:rFonts w:ascii="Calibri" w:hAnsi="Calibri" w:cs="Calibri"/>
        <w:b w:val="0"/>
        <w:i w:val="0"/>
        <w:color w:val="6B7280"/>
        <w:sz w:val="18"/>
      </w:rPr>
    </w:r>
    <w:fldSimple w:instr="PAGE">
      <w:r>
        <w:rPr>
          <w:sz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Rule="auto" w:line="30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003D6B"/>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03D6B"/>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3D6B"/>
      <w:sz w:val="24"/>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val="0"/>
      <w:iCs/>
      <w:color w:val="003D6B"/>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