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8787" w:val="right"/>
        </w:tabs>
        <w:spacing w:after="0"/>
      </w:pPr>
      <w:r>
        <w:rPr>
          <w:rFonts w:ascii="Calibri" w:hAnsi="Calibri" w:cs="Calibri"/>
          <w:b/>
          <w:i w:val="0"/>
          <w:color w:val="003D6B"/>
          <w:sz w:val="24"/>
        </w:rPr>
        <w:t>GI-AI4H</w:t>
      </w:r>
      <w:r>
        <w:rPr>
          <w:rFonts w:ascii="Calibri" w:hAnsi="Calibri" w:cs="Calibri"/>
          <w:b w:val="0"/>
          <w:i w:val="0"/>
          <w:color w:val="6B7280"/>
          <w:sz w:val="20"/>
        </w:rPr>
        <w:t xml:space="preserve">   ·   ITU · WHO · WIPO</w:t>
      </w:r>
      <w:r>
        <w:tab/>
      </w:r>
      <w:r>
        <w:rPr>
          <w:rFonts w:ascii="Consolas" w:hAnsi="Consolas" w:cs="Consolas"/>
          <w:b w:val="0"/>
          <w:i w:val="0"/>
          <w:color w:val="6B7280"/>
          <w:sz w:val="20"/>
        </w:rPr>
        <w:t>GI-AI4H-WGD-OCI-001</w:t>
      </w:r>
    </w:p>
    <w:p>
      <w:pPr>
        <w:spacing w:after="80"/>
      </w:pPr>
      <w:r>
        <w:rPr>
          <w:rFonts w:ascii="Calibri" w:hAnsi="Calibri" w:cs="Calibri"/>
          <w:b w:val="0"/>
          <w:i/>
          <w:color w:val="6B7280"/>
          <w:sz w:val="20"/>
        </w:rPr>
        <w:t>ITU/WHO/WIPO Global Initiative on AI for Health (GI-AI4H)</w:t>
      </w:r>
    </w:p>
    <w:p>
      <w:pPr>
        <w:spacing w:before="40" w:after="160"/>
        <w:pBdr>
          <w:bottom w:val="single" w:sz="6" w:space="1" w:color="CBD5E0"/>
        </w:pBdr>
      </w:pPr>
    </w:p>
    <w:p>
      <w:pPr>
        <w:spacing w:after="560"/>
      </w:pPr>
      <w:r>
        <w:rPr>
          <w:rFonts w:ascii="Calibri" w:hAnsi="Calibri" w:cs="Calibri"/>
          <w:b/>
          <w:i w:val="0"/>
          <w:color w:val="003D6B"/>
          <w:sz w:val="18"/>
        </w:rPr>
        <w:t>WG-DATA</w:t>
      </w:r>
      <w:r>
        <w:rPr>
          <w:rFonts w:ascii="Calibri" w:hAnsi="Calibri" w:cs="Calibri"/>
          <w:b w:val="0"/>
          <w:i w:val="0"/>
          <w:color w:val="6B7280"/>
          <w:sz w:val="18"/>
        </w:rPr>
        <w:t xml:space="preserve">   ·   </w:t>
      </w:r>
      <w:r>
        <w:rPr>
          <w:rFonts w:ascii="Calibri" w:hAnsi="Calibri" w:cs="Calibri"/>
          <w:b w:val="0"/>
          <w:i w:val="0"/>
          <w:color w:val="6B7280"/>
          <w:sz w:val="18"/>
        </w:rPr>
        <w:t>2026 meeting cycle — date TBD</w:t>
      </w:r>
    </w:p>
    <w:p>
      <w:pPr>
        <w:spacing w:after="160"/>
      </w:pPr>
      <w:r>
        <w:rPr>
          <w:rFonts w:ascii="Calibri" w:hAnsi="Calibri" w:cs="Calibri"/>
          <w:b/>
          <w:i w:val="0"/>
          <w:color w:val="FFFFFF"/>
          <w:sz w:val="18"/>
          <w:shd w:val="clear" w:color="auto" w:fill="003D6B"/>
        </w:rPr>
        <w:t xml:space="preserve">  DISCUSSION  </w:t>
      </w:r>
    </w:p>
    <w:p>
      <w:pPr>
        <w:spacing w:before="160" w:after="80" w:lineRule="auto" w:line="276"/>
      </w:pPr>
      <w:r>
        <w:rPr>
          <w:rFonts w:ascii="Calibri" w:hAnsi="Calibri" w:cs="Calibri"/>
          <w:b/>
          <w:i w:val="0"/>
          <w:color w:val="111827"/>
          <w:sz w:val="48"/>
        </w:rPr>
        <w:t>BuilderStatus — Proposed Visa Type extension to GA4GH Passport for AI builder accreditation</w:t>
      </w:r>
    </w:p>
    <w:p>
      <w:pPr>
        <w:spacing w:after="560"/>
      </w:pPr>
      <w:r>
        <w:rPr>
          <w:rFonts w:ascii="Calibri" w:hAnsi="Calibri" w:cs="Calibri"/>
          <w:b w:val="0"/>
          <w:i/>
          <w:color w:val="6B7280"/>
          <w:sz w:val="22"/>
        </w:rPr>
        <w:t>Contribution to GI-AI4H WG-Data   ·   2026-05-09</w:t>
      </w:r>
    </w:p>
    <w:p>
      <w:pPr>
        <w:tabs>
          <w:tab w:pos="2268" w:val="left"/>
        </w:tabs>
        <w:spacing w:after="120"/>
      </w:pPr>
      <w:r>
        <w:rPr>
          <w:rFonts w:ascii="Calibri" w:hAnsi="Calibri" w:cs="Calibri"/>
          <w:b/>
          <w:i w:val="0"/>
          <w:color w:val="6B7280"/>
          <w:sz w:val="18"/>
        </w:rPr>
        <w:t>SOURCE</w:t>
      </w:r>
      <w:r>
        <w:tab/>
      </w:r>
      <w:r>
        <w:rPr>
          <w:rFonts w:ascii="Calibri" w:hAnsi="Calibri" w:cs="Calibri"/>
          <w:b w:val="0"/>
          <w:i w:val="0"/>
          <w:color w:val="111827"/>
          <w:sz w:val="22"/>
        </w:rPr>
        <w:t>OCI Platform team</w:t>
      </w:r>
      <w:r>
        <w:br/>
        <w:tab/>
      </w:r>
      <w:r>
        <w:rPr>
          <w:rFonts w:ascii="Calibri" w:hAnsi="Calibri" w:cs="Calibri"/>
          <w:b w:val="0"/>
          <w:i w:val="0"/>
          <w:color w:val="111827"/>
          <w:sz w:val="22"/>
        </w:rPr>
        <w:t>Marc Lecoultre, MLLab.ai</w:t>
      </w:r>
      <w:r>
        <w:br/>
        <w:tab/>
      </w:r>
      <w:r>
        <w:rPr>
          <w:rFonts w:ascii="Calibri" w:hAnsi="Calibri" w:cs="Calibri"/>
          <w:b w:val="0"/>
          <w:i w:val="0"/>
          <w:color w:val="111827"/>
          <w:sz w:val="22"/>
        </w:rPr>
        <w:t>GI-AI4H Open Code Infrastructure</w:t>
      </w:r>
    </w:p>
    <w:p>
      <w:pPr>
        <w:tabs>
          <w:tab w:pos="2268" w:val="left"/>
        </w:tabs>
        <w:spacing w:after="120"/>
      </w:pPr>
      <w:r>
        <w:rPr>
          <w:rFonts w:ascii="Calibri" w:hAnsi="Calibri" w:cs="Calibri"/>
          <w:b/>
          <w:i w:val="0"/>
          <w:color w:val="6B7280"/>
          <w:sz w:val="18"/>
        </w:rPr>
        <w:t>CONTACT</w:t>
      </w:r>
      <w:r>
        <w:tab/>
      </w:r>
      <w:r>
        <w:rPr>
          <w:rFonts w:ascii="Calibri" w:hAnsi="Calibri" w:cs="Calibri"/>
          <w:b w:val="0"/>
          <w:i w:val="0"/>
          <w:color w:val="111827"/>
          <w:sz w:val="22"/>
        </w:rPr>
        <w:t>Marc Lecoultre, MLLab.ai (OCI Platform team)</w:t>
      </w:r>
      <w:r>
        <w:br/>
        <w:tab/>
      </w:r>
      <w:r>
        <w:rPr>
          <w:rFonts w:ascii="Calibri" w:hAnsi="Calibri" w:cs="Calibri"/>
          <w:b w:val="0"/>
          <w:i w:val="0"/>
          <w:color w:val="111827"/>
          <w:sz w:val="22"/>
        </w:rPr>
        <w:t>ml@mllab.ai</w:t>
      </w:r>
    </w:p>
    <w:p>
      <w:pPr>
        <w:tabs>
          <w:tab w:pos="2268" w:val="left"/>
        </w:tabs>
        <w:spacing w:after="120"/>
      </w:pPr>
      <w:r>
        <w:rPr>
          <w:rFonts w:ascii="Calibri" w:hAnsi="Calibri" w:cs="Calibri"/>
          <w:b/>
          <w:i w:val="0"/>
          <w:color w:val="6B7280"/>
          <w:sz w:val="18"/>
        </w:rPr>
        <w:t>PURPOSE</w:t>
      </w:r>
      <w:r>
        <w:tab/>
      </w:r>
      <w:r>
        <w:rPr>
          <w:rFonts w:ascii="Calibri" w:hAnsi="Calibri" w:cs="Calibri"/>
          <w:b w:val="0"/>
          <w:i w:val="0"/>
          <w:color w:val="111827"/>
          <w:sz w:val="22"/>
        </w:rPr>
        <w:t>Discussion</w:t>
      </w:r>
    </w:p>
    <w:p>
      <w:pPr>
        <w:tabs>
          <w:tab w:pos="2268" w:val="left"/>
        </w:tabs>
        <w:spacing w:after="120"/>
      </w:pPr>
      <w:r>
        <w:rPr>
          <w:rFonts w:ascii="Calibri" w:hAnsi="Calibri" w:cs="Calibri"/>
          <w:b/>
          <w:i w:val="0"/>
          <w:color w:val="6B7280"/>
          <w:sz w:val="18"/>
        </w:rPr>
        <w:t>DOCUMENT</w:t>
      </w:r>
      <w:r>
        <w:tab/>
      </w:r>
      <w:r>
        <w:rPr>
          <w:rFonts w:ascii="Calibri" w:hAnsi="Calibri" w:cs="Calibri"/>
          <w:b w:val="0"/>
          <w:i w:val="0"/>
          <w:color w:val="111827"/>
          <w:sz w:val="22"/>
        </w:rPr>
        <w:t>GI-AI4H-WGD-OCI-001</w:t>
      </w:r>
    </w:p>
    <w:p>
      <w:pPr>
        <w:spacing w:before="0" w:after="160"/>
      </w:pPr>
    </w:p>
    <w:p>
      <w:pPr>
        <w:spacing w:before="40" w:after="160"/>
        <w:pBdr>
          <w:bottom w:val="single" w:sz="6" w:space="1" w:color="CBD5E0"/>
        </w:pBdr>
      </w:pPr>
    </w:p>
    <w:p>
      <w:pPr>
        <w:spacing w:before="80" w:after="120"/>
      </w:pPr>
      <w:r>
        <w:rPr>
          <w:rFonts w:ascii="Calibri" w:hAnsi="Calibri" w:cs="Calibri"/>
          <w:b/>
          <w:i w:val="0"/>
          <w:color w:val="003D6B"/>
          <w:sz w:val="28"/>
        </w:rPr>
        <w:t>Abstract</w:t>
      </w:r>
    </w:p>
    <w:p>
      <w:pPr>
        <w:spacing w:after="240" w:lineRule="auto" w:line="336"/>
        <w:ind w:left="0" w:right="0"/>
      </w:pPr>
      <w:r>
        <w:rPr>
          <w:rFonts w:ascii="Calibri" w:hAnsi="Calibri"/>
          <w:sz w:val="22"/>
        </w:rPr>
        <w:t>This contribution opens a discussion within GI-AI4H WG-Data on whether the GA4GH Passport specification could be extended to recognise entity-level accreditations — for example by an innovation programme such as the WHO Innovation Hub, a national Ministry of Health innovation track, or a development-finance grant programme. The current GA4GH Passport defines five Visa Types optimised for the academic-researcher path; none captures entity-level accreditation in the way an AI-builder access path would benefit from. The contribution sketches a possible new Visa Type (BuilderStatus), compares it with existing types, surveys operational fit with peer platforms (EGA, NIH dbGaP, Sage Bionetworks), and proposes a dual-track way forward: OCI Platform may issue this Visa Type under a platform-controlled URI for its own dataset access flow, while the standardisation question goes to GA4GH at the appropriate Work Stream — the Data Use &amp; Researcher Identity (DURI) WS or the recently-launched AI Work Stream — depending on WG-Data's view of the better venue. The OCI Platform team has not yet engaged any candidate issuer; the proposal is a design exploration, not an implementation announcement. WG-Data is invited to assess whether the design holds up, whether candidate issuers exist within GI-AI4H's network, and whether the proposal is worth carrying forward.</w:t>
      </w:r>
    </w:p>
    <w:p>
      <w:r>
        <w:br w:type="page"/>
      </w:r>
    </w:p>
    <w:p>
      <w:pPr>
        <w:pStyle w:val="Heading1"/>
      </w:pPr>
      <w:r>
        <w:t>1   Scope</w:t>
      </w:r>
    </w:p>
    <w:p/>
    <w:p>
      <w:r>
        <w:t>This contribution opens a design discussion within GI-AI4H WG-Data on whether the GA4GH Passport specification could be extended to recognise entity-level accreditations. The proposed Visa Type — BuilderStatus — would complement (not replace) the five standard Visa Types defined in GA4GH Passport v1.</w:t>
      </w:r>
    </w:p>
    <w:p/>
    <w:p>
      <w:r>
        <w:t>The contribution is positioned for **discussion**, not approval. The intent is to surface the design, invite WG-Data members to assess it, identify candidate issuers within GI-AI4H's network, and decide whether the proposal is worth carrying forward to GA4GH at the appropriate Work Stream — the Data Use &amp; Researcher Identity (DURI) Work Stream, or the recently-launched AI Work Stream (April 2026), whichever WG-Data judges the better venue.</w:t>
      </w:r>
    </w:p>
    <w:p/>
    <w:p>
      <w:pPr>
        <w:pStyle w:val="Heading1"/>
      </w:pPr>
      <w:r>
        <w:t>2   Background</w:t>
      </w:r>
    </w:p>
    <w:p/>
    <w:p>
      <w:pPr>
        <w:pStyle w:val="Heading2"/>
      </w:pPr>
      <w:r>
        <w:t>2.1   The GI-AI4H mission and the AI-builder audience</w:t>
      </w:r>
    </w:p>
    <w:p/>
    <w:p>
      <w:r>
        <w:t>The Open Code Infrastructure (OCI) Platform, operated under the ITU/WHO/WIPO Global Initiative on AI for Health (GI-AI4H), exists to enable AI solutions for WHO public-health priorities — particularly in low- and middle-income countries (LMICs). A core observation behind the OCI's access-governance design is that this work is largely done by commercial actors: LMIC startups, MedTech vendors, academic spin-offs, and development-finance-backed initiatives, alongside academic researchers.</w:t>
      </w:r>
    </w:p>
    <w:p/>
    <w:p>
      <w:r>
        <w:t>Peer health-data platforms (Synapse / Sage Bionetworks, the European Genome-phenome Archive, NIH dbGaP, UK Biobank) have served the academic-researcher audience well, but their default access flows assume an individual researcher with an institutional affiliation under a non-commercial-research use case. This default does not naturally serve the AI-builder audience GI-AI4H also exists to enable.</w:t>
      </w:r>
    </w:p>
    <w:p/>
    <w:p>
      <w:pPr>
        <w:pStyle w:val="Heading2"/>
      </w:pPr>
      <w:r>
        <w:t>2.2   Why the current Visa Types do not fit the AI-builder shape</w:t>
      </w:r>
    </w:p>
    <w:p/>
    <w:p>
      <w:r>
        <w:t>GA4GH Passport v1 defines five standard Visa Types: ControlledAccessGrants, AffiliationAndRole, AcceptedTermsAndPolicies, ResearcherStatus, and LinkedIdentities. These cover the academic path well — AffiliationAndRole captures institutional employment, ResearcherStatus records bona-fide-researcher recognition by a recognised body, and ControlledAccessGrants records per-dataset Data Access Committee approval.</w:t>
      </w:r>
    </w:p>
    <w:p/>
    <w:p>
      <w:r>
        <w:t>None of the existing Visa Types captures the entity-level accreditation pattern that an AI-builder access path would benefit from. The accrediting body, in the AI-builder shape, is an innovation programme rather than a research institution — for example the WHO Innovation Hub, a national Ministry of Health innovation track, or a development-finance grant programme. The accredited subject is typically a legal entity (a company or consortium) rather than an individual researcher. The use case is product or service deployment, not academic research with publication as output.</w:t>
      </w:r>
    </w:p>
    <w:p/>
    <w:p>
      <w:pPr>
        <w:pStyle w:val="Heading1"/>
      </w:pPr>
      <w:r>
        <w:t>3   Proposal — BuilderStatus Visa Type (sketch)</w:t>
      </w:r>
    </w:p>
    <w:p/>
    <w:p>
      <w:pPr>
        <w:pStyle w:val="Heading2"/>
      </w:pPr>
      <w:r>
        <w:t>3.1   Visa shape</w:t>
      </w:r>
    </w:p>
    <w:p/>
    <w:p>
      <w:r>
        <w:t>BuilderStatus would follow the standard GA4GH Passport Visa shape (signed JWT, JWS Compact Serialization, ga4gh_visa_v1 payload). The semantic difference is in the value, source, and conditions fields.</w:t>
      </w:r>
    </w:p>
    <w:p/>
    <w:p>
      <w:pPr>
        <w:pStyle w:val="Heading2"/>
      </w:pPr>
      <w:r>
        <w:t>3.2   Proposed required fields</w:t>
      </w:r>
    </w:p>
    <w:p/>
    <w:p>
      <w:r>
        <w:t>The value field would contain a URI naming the accreditation programme. URIs are placeholders here, since no accrediting body has yet been engaged on this proposal:</w:t>
      </w:r>
    </w:p>
    <w:p/>
    <w:p>
      <w:r>
        <w:t xml:space="preserve">  https://example-accreditor.example/programmes/&lt;programme-id&gt;</w:t>
      </w:r>
    </w:p>
    <w:p/>
    <w:p>
      <w:r>
        <w:t>The source field would contain the publicly resolvable identifier of the accreditation body.</w:t>
      </w:r>
    </w:p>
    <w:p/>
    <w:p>
      <w:r>
        <w:t>The by field would be set to "accrediting-body" (the issuer is the programme itself).</w:t>
      </w:r>
    </w:p>
    <w:p/>
    <w:p>
      <w:pPr>
        <w:pStyle w:val="Heading2"/>
      </w:pPr>
      <w:r>
        <w:t>3.3   Proposed optional conditions field</w:t>
      </w:r>
    </w:p>
    <w:p/>
    <w:p>
      <w:r>
        <w:t>A suggested schema for the conditions object: deployment_jurisdictions (ISO 3166-1 alpha-2 country codes), regulatory_pathway (free-form, e.g. WHO_PREQUAL, FDA_510K, EU_MDR_IIa), priority_areas (WHO priority taxonomy: TB, malaria, maternal-health, etc.), valid_from and valid_until (ISO 8601 date strings).</w:t>
      </w:r>
    </w:p>
    <w:p/>
    <w:p>
      <w:pPr>
        <w:pStyle w:val="Heading2"/>
      </w:pPr>
      <w:r>
        <w:t>3.4   Comparison with existing Visa Types</w:t>
      </w:r>
    </w:p>
    <w:p/>
    <w:p>
      <w:r>
        <w:t>ResearcherStatus has subject = individual, issuer = research body, mission = research-only. BuilderStatus would have subject = accredited entity, issuer = innovation programme, mission = product or service deployment.</w:t>
      </w:r>
    </w:p>
    <w:p/>
    <w:p>
      <w:r>
        <w:t>A platform that supports both Visa Types serves both audiences without conflating them. A platform that supports only ResearcherStatus either rejects accredited builders or misuses the existing Visa.</w:t>
      </w:r>
    </w:p>
    <w:p/>
    <w:p>
      <w:pPr>
        <w:pStyle w:val="Heading1"/>
      </w:pPr>
      <w:r>
        <w:t>4   Operational fit with existing platforms</w:t>
      </w:r>
    </w:p>
    <w:p/>
    <w:p>
      <w:r>
        <w:t>EGA already conforms to the GA4GH Passport standard and would in principle add BuilderStatus to its verification list as a minimal additive change, if the Visa Type is standardised and an issuer participates. NIH dbGaP / RAS, which is researcher-focused and does not currently serve commercial use, can opt out of issuing or verifying BuilderStatus without breaking compatibility. Sage Bionetworks (planned Synapse broker) has a tiered Access Requirement model that is conceptually aligned; the OCI Platform team has reached out to Sage colleagues for their perspective on the AI-builder access pattern.</w:t>
      </w:r>
    </w:p>
    <w:p/>
    <w:p>
      <w:r>
        <w:t>None of these platforms currently issues BuilderStatus-shaped credentials. The Visa Type, if standardised, defines a slot; identifying real issuers is the discussion this contribution invites.</w:t>
      </w:r>
    </w:p>
    <w:p/>
    <w:p>
      <w:pPr>
        <w:pStyle w:val="Heading1"/>
      </w:pPr>
      <w:r>
        <w:t>5   Implementation track and standardisation track</w:t>
      </w:r>
    </w:p>
    <w:p/>
    <w:p>
      <w:r>
        <w:t>The GA4GH Passport spec explicitly allows custom Visa Types. The OCI Platform may therefore implement BuilderStatus under a platform-controlled URI for its own access flow, regardless of whether the Visa Type is standardised. If standardised at GA4GH, the URI migrates to the standard one — a configuration change, not a redesign. If not standardised, the custom URI remains; peer platforms opt in to honour OCI-issued attestations only if they choose to.</w:t>
      </w:r>
    </w:p>
    <w:p/>
    <w:p>
      <w:r>
        <w:t>The proposed implementation URI (custom, OCI-issued only) is https://oci.ai4h.net/passport/v1/visa/builder-status. Schema documentation will live at docs/standards/oci-passport-extensions.md in the OCI Platform repository.</w:t>
      </w:r>
    </w:p>
    <w:p/>
    <w:p>
      <w:r>
        <w:t>The standardisation track may proceed via GA4GH WG-Data DURI or the GA4GH AI Work Stream (launched April 2026); the venue choice is one of the open questions WG-Data is invited to weigh in on. The AI Work Stream's framing — "responsible AI for genomics and health, with a focus on AI-ready data access, authorisation, provenance, evaluation, and governance across federated biomedical environments" — sits closer to the AI-builder access pattern this contribution describes; DURI's framing — researcher-identity standardisation — aligns more directly with the existing five Visa Types BuilderStatus would complement. WG-Data's view on which Work Stream is the more receptive home would help the OCI Platform team route the formal submission appropriately.</w:t>
      </w:r>
    </w:p>
    <w:p/>
    <w:p>
      <w:pPr>
        <w:pStyle w:val="Heading1"/>
      </w:pPr>
      <w:r>
        <w:t>6   Open questions for WG-Data discussion</w:t>
      </w:r>
    </w:p>
    <w:p/>
    <w:p>
      <w:r>
        <w:t>Should BuilderStatus be a parallel new Visa Type, or an extension of ResearcherStatus with a category discriminant? The OCI position is parallel — different semantics, different lifecycle, different issuer profile.</w:t>
      </w:r>
    </w:p>
    <w:p/>
    <w:p>
      <w:r>
        <w:t>Are there candidate issuers within GI-AI4H's network who would consider issuing this Visa Type? Identifying real issuers — innovation programmes, national MoH innovation tracks, development-finance grant programmes, or others — is part of the WG-Data discussion, not assumed by this contribution. The OCI Platform team has not yet engaged any candidate.</w:t>
      </w:r>
    </w:p>
    <w:p/>
    <w:p>
      <w:r>
        <w:t>Is the proposed conditions schema sufficient, or should it be formalised as a separate spec (similar to how DUO formalised consent codes)?</w:t>
      </w:r>
    </w:p>
    <w:p/>
    <w:p>
      <w:r>
        <w:t>How would BuilderStatus revocation work? Accreditation can be withdrawn (e.g. funding ended). Standard Visa expiry handles validity dates; accreditation withdrawal needs a faster signal.</w:t>
      </w:r>
    </w:p>
    <w:p/>
    <w:p>
      <w:r>
        <w:t>Should there be a registry of recognised accrediting bodies, comparable to the eduGAIN trust list for SAML federation?</w:t>
      </w:r>
    </w:p>
    <w:p/>
    <w:p>
      <w:r>
        <w:t>Are there Topic Groups with relevant LMIC AI-builder cohorts (TG-Ophthalmo, TG-Radio, TG-Symptom, others) that would be interested in co-authoring a formal GA4GH submission?</w:t>
      </w:r>
    </w:p>
    <w:p/>
    <w:p>
      <w:pPr>
        <w:pStyle w:val="Heading1"/>
      </w:pPr>
      <w:r>
        <w:t>7   Asks of WG-Data</w:t>
      </w:r>
    </w:p>
    <w:p/>
    <w:p>
      <w:r>
        <w:t>Discuss this contribution at the next WG-Data session.</w:t>
      </w:r>
    </w:p>
    <w:p/>
    <w:p>
      <w:r>
        <w:t>Surface any candidate issuers within GI-AI4H's network — innovation programmes, national MoH tracks, development-finance grants, or others — that the OCI Platform team has not engaged yet but should consider.</w:t>
      </w:r>
    </w:p>
    <w:p/>
    <w:p>
      <w:r>
        <w:t>Surface any legal, ethical, or compliance considerations the OCI position has not addressed.</w:t>
      </w:r>
    </w:p>
    <w:p/>
    <w:p>
      <w:r>
        <w:t>If the design holds up internally and at least one candidate issuer expresses interest, authorise OCI Platform to submit the proposal to GA4GH at the appropriate Work Stream — DURI or AI Work Stream, whichever WG-Data judges the better venue — for standardisation discussion. Standardisation does not commit any party to issue or honour the Visa Type; it just creates the option.</w:t>
      </w:r>
    </w:p>
    <w:p/>
    <w:p>
      <w:pPr>
        <w:pStyle w:val="Heading1"/>
      </w:pPr>
      <w:r>
        <w:t>8   References</w:t>
      </w:r>
    </w:p>
    <w:p/>
    <w:p>
      <w:r>
        <w:t>GA4GH Passport v1 specification — https://ga4gh.github.io/data-security/ga4gh-passport</w:t>
      </w:r>
    </w:p>
    <w:p/>
    <w:p>
      <w:r>
        <w:t>GA4GH Data Use Ontology (DUO) — https://www.ga4gh.org/product/data-use-ontology-duo/</w:t>
      </w:r>
    </w:p>
    <w:p/>
    <w:p>
      <w:r>
        <w:t>GA4GH AI Work Stream (launched April 2026) — https://www.ga4gh.org/</w:t>
      </w:r>
    </w:p>
    <w:p/>
    <w:p>
      <w:r>
        <w:t>MLCommons Croissant 1.1 — https://mlcommons.org/2026/02/croissant-1-1-standard/</w:t>
      </w:r>
    </w:p>
    <w:p/>
    <w:p>
      <w:r>
        <w:t>MLCommons Croissant Responsible AI (RAI) extension — https://mlcommons.org/</w:t>
      </w:r>
    </w:p>
    <w:p/>
    <w:p>
      <w:r>
        <w:t>BIOCroissant — Croissant biomedical extension under development by GI-AI4H WG-Data; OCI Platform is the reference implementation.</w:t>
      </w:r>
    </w:p>
    <w:p/>
    <w:p>
      <w:r>
        <w:t>CHAI Model Cards — Coalition for Health AI — https://www.chai.org/</w:t>
      </w:r>
    </w:p>
    <w:p/>
    <w:p>
      <w:r>
        <w:t>HL7 FHIR — https://hl7.org/fhir/</w:t>
      </w:r>
    </w:p>
    <w:p/>
    <w:p>
      <w:r>
        <w:t>OCI ADR-0003 — Tiered identity assurance and Access Requirements (OCI Platform repository, private during Phase A; PDF available on request).</w:t>
      </w:r>
    </w:p>
    <w:p/>
    <w:p>
      <w:r>
        <w:t>Synapse User Tiers — Sage Bionetworks — https://help.synapse.org/docs/User-Account-Tiers.2007072795.html</w:t>
      </w:r>
    </w:p>
    <w:p/>
    <w:p>
      <w:r>
        <w:t>ELIXIR-EGA AAI — https://elixir-europe.org/activities/secure-access-genomic-data-distributed-authentication-european-genome-phenome-archive-ega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787" w:val="right"/>
      </w:tabs>
    </w:pPr>
    <w:r>
      <w:rPr>
        <w:rFonts w:ascii="Calibri" w:hAnsi="Calibri" w:cs="Calibri"/>
        <w:b w:val="0"/>
        <w:i w:val="0"/>
        <w:color w:val="6B7280"/>
        <w:sz w:val="18"/>
      </w:rPr>
      <w:t>GI-AI4H-WGD-OCI-001</w:t>
    </w:r>
    <w:r>
      <w:tab/>
    </w:r>
    <w:r/>
    <w:r>
      <w:rPr>
        <w:rFonts w:ascii="Calibri" w:hAnsi="Calibri" w:cs="Calibri"/>
        <w:b w:val="0"/>
        <w:i w:val="0"/>
        <w:color w:val="6B7280"/>
        <w:sz w:val="18"/>
      </w:rPr>
    </w:r>
    <w:fldSimple w:instr="PAGE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Rule="auto" w:line="3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3D6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3D6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3D6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 w:val="0"/>
      <w:iCs/>
      <w:color w:val="003D6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