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787" w:val="right"/>
        </w:tabs>
        <w:spacing w:after="40"/>
      </w:pPr>
      <w:r>
        <w:rPr>
          <w:rFonts w:ascii="Calibri" w:hAnsi="Calibri" w:cs="Calibri"/>
          <w:b/>
          <w:i w:val="0"/>
          <w:color w:val="003D6B"/>
          <w:sz w:val="24"/>
        </w:rPr>
        <w:t>GI-AI4H</w:t>
      </w:r>
      <w:r>
        <w:rPr>
          <w:rFonts w:ascii="Calibri" w:hAnsi="Calibri" w:cs="Calibri"/>
          <w:b w:val="0"/>
          <w:i w:val="0"/>
          <w:color w:val="6B7280"/>
          <w:sz w:val="20"/>
        </w:rPr>
        <w:t xml:space="preserve">   ·   ITU · WHO · WIPO</w:t>
      </w:r>
      <w:r>
        <w:tab/>
      </w:r>
      <w:r>
        <w:rPr>
          <w:rFonts w:ascii="Consolas" w:hAnsi="Consolas" w:cs="Consolas"/>
          <w:b w:val="0"/>
          <w:i w:val="0"/>
          <w:color w:val="6B7280"/>
          <w:sz w:val="20"/>
        </w:rPr>
        <w:t>OCI-ADR-0003</w:t>
      </w:r>
    </w:p>
    <w:p>
      <w:pPr>
        <w:spacing w:after="0"/>
      </w:pPr>
      <w:r>
        <w:rPr>
          <w:rFonts w:ascii="Calibri" w:hAnsi="Calibri" w:cs="Calibri"/>
          <w:b w:val="0"/>
          <w:i/>
          <w:color w:val="6B7280"/>
          <w:sz w:val="20"/>
        </w:rPr>
        <w:t>OCI Platform · GI-AI4H Open Code Infrastructure · Architecture Decision Record</w:t>
      </w:r>
    </w:p>
    <w:p>
      <w:pPr>
        <w:spacing w:before="40" w:after="160"/>
        <w:pBdr>
          <w:bottom w:val="single" w:sz="6" w:space="1" w:color="CBD5E0"/>
        </w:pBdr>
      </w:pPr>
    </w:p>
    <w:p>
      <w:pPr>
        <w:spacing w:before="40" w:after="160" w:lineRule="auto" w:line="276"/>
      </w:pPr>
      <w:r>
        <w:rPr>
          <w:rFonts w:ascii="Calibri" w:hAnsi="Calibri" w:cs="Calibri"/>
          <w:b/>
          <w:i w:val="0"/>
          <w:color w:val="111827"/>
          <w:sz w:val="44"/>
        </w:rPr>
        <w:t>ADR-0003: Tiered identity assurance and Access Requirements (GA4GH-first)</w:t>
      </w:r>
    </w:p>
    <w:p/>
    <w:p>
      <w:r>
        <w:t>- **Status:** proposed</w:t>
      </w:r>
    </w:p>
    <w:p>
      <w:r>
        <w:t>- **Date:** 2026-05-08</w:t>
      </w:r>
    </w:p>
    <w:p>
      <w:r>
        <w:t>- **Deciders:** Marc Lecoultre (architect), pending review by Simao Campos (ITU-T) for the GI-AI4H steering side</w:t>
      </w:r>
    </w:p>
    <w:p>
      <w:r>
        <w:t>- **Tags:** `area:catalog`, `area:access-control`, `package:DP`, `governance`</w:t>
      </w:r>
    </w:p>
    <w:p/>
    <w:p>
      <w:pPr>
        <w:pStyle w:val="Heading2"/>
      </w:pPr>
      <w:r>
        <w:t>Context</w:t>
      </w:r>
    </w:p>
    <w:p/>
    <w:p>
      <w:r>
        <w:t>The OCI Catalog ships today (PR F + PR J.1, [#75](https://github.com/FG-AI4H/oci-platform/pull/75), [#93](https://github.com/FG-AI4H/oci-platform/pull/93)) with a single-tier access-request flow: requester writes a free-text justification, ticks a fixed set of attestation checkboxes (IRB approval, non-commercial use, etc.), the API auto-matches those against the dataset's GA4GH DUO consent terms, and the host approves or denies. Identity is whatever email the requester used to sign in via Cognito.</w:t>
      </w:r>
    </w:p>
    <w:p/>
    <w:p>
      <w:r>
        <w:t>Two pressures are forcing the model to evolve:</w:t>
      </w:r>
    </w:p>
    <w:p/>
    <w:p>
      <w:r>
        <w:t>1. **Hosts of more sensitive datasets** (e.g. the seeded `uhz-cardiac-mri-2024` PRIVATE fixture, which represents Swiss-jurisdiction patient-level cardiac MRI bound by KEK-ZH IRB approval) cannot legally hand out distribution URLs against an unverified email. They need: institutional affiliation evidence, a signed Data Use Agreement, an institutional Signing Official countersignature, an audit-quality record of the act of signing, and — for some EU jurisdictions — a Qualified Electronic Signature (QES) under eIDAS Regulation 910/2014.</w:t>
      </w:r>
    </w:p>
    <w:p/>
    <w:p>
      <w:r>
        <w:t>2. **Federation pressure**: the broader biomedical-data field has converged on the **GA4GH Passport** standard (signed JWT bundles of _Visas_ — `ResearcherStatus`, `AffiliationAndRole`, `AcceptedTermsAndPolicies`, `ControlledAccessGrants`, `LinkedIdentities`). EGA, NIH dbGaP, and ELIXIR AAI are issuers; Synapse (Sage Bionetworks, our partner) has it on the roadmap. A platform that doesn't speak Passports re-asks every researcher questions other platforms already verified, and re-credentials each time. A platform that _only_ speaks Passports excludes everyone who arrives without one.</w:t>
      </w:r>
    </w:p>
    <w:p/>
    <w:p>
      <w:r>
        <w:t>3. **Mission scope** — OCI is not just an academic-research catalogue. The platform's distinctive mandate under GI-AI4H is to **enable AI solutions for WHO public-health priorities, especially in LMICs**, and that work is largely done by commercial actors (LMIC startups, MedTech vendors, academic spin-offs commercialising research models, development-finance-backed initiatives). Peer platforms (Synapse, EGA, dbGaP) skew toward an academic-non-commercial-research default that excludes exactly the AI-builder population OCI exists to serve. The access-governance architecture must therefore treat **commercial use as a first-class scenario**, not a corner case — with a DUA template that supports product / deployment use, request-form fields tuned to deployment country and regulatory pathway, and a path that doesn't require a US R1 university affiliation.</w:t>
      </w:r>
    </w:p>
    <w:p/>
    <w:p>
      <w:r>
        <w:t>Background research synthesising what Synapse, dbGaP, EGA, and UK Biobank do, plus the eIDAS framing, is captured in [docs/research/access-governance-2026-05-08.md](../research/access-governance-2026-05-08.md). This ADR records the architectural choice; the research doc records _why we believe what we believe_ about the field.</w:t>
      </w:r>
    </w:p>
    <w:p/>
    <w:p>
      <w:r>
        <w:t>The forces in tension:</w:t>
      </w:r>
    </w:p>
    <w:p/>
    <w:p>
      <w:r>
        <w:t>- **Don't break legacy** — existing approved access-requests, existing host workflows, existing tests must keep working.</w:t>
      </w:r>
    </w:p>
    <w:p>
      <w:r>
        <w:t>- **Don't drown in SaaS cost** — the platform is convened by ITU/WHO/WIPO and operates on body-funded budget; per-seat e-signature subscriptions ($45/user/month with envelope quotas) are the wrong shape for our usage pattern (rare, bursty signature events on a small operator team).</w:t>
      </w:r>
    </w:p>
    <w:p>
      <w:r>
        <w:t>- **Be ahead of the curve, not bleeding-edge** — GA4GH Passports are the right bet; W3C Verifiable Credentials and EUDI Wallet (eIDAS 2.0, mandated Nov 2026) are not yet broadly issued. Build for the former, track the latter.</w:t>
      </w:r>
    </w:p>
    <w:p>
      <w:r>
        <w:t>- **Honour the seam** — the existing `@oci/shared-types` schemas are the contract. New identity claims attach to existing types; we don't fork them.</w:t>
      </w:r>
    </w:p>
    <w:p/>
    <w:p>
      <w:pPr>
        <w:pStyle w:val="Heading2"/>
      </w:pPr>
      <w:r>
        <w:t>Decision</w:t>
      </w:r>
    </w:p>
    <w:p/>
    <w:p>
      <w:r>
        <w:t>We adopt a **two-axis access-control model** mirroring Synapse's "user tier × per-dataset Access Requirement" pattern, anchored on **GA4GH Passport semantics from day one** (we read native, we ingest existing, we issue our own), and we use **pay-per-signature eIDAS QTSPs** (Skribble for QES, DocuSeal self-hosted for AdES) instead of per-seat subscriptions.</w:t>
      </w:r>
    </w:p>
    <w:p/>
    <w:p>
      <w:r>
        <w:t>Concretely:</w:t>
      </w:r>
    </w:p>
    <w:p/>
    <w:p>
      <w:r>
        <w:t>1. **Two new fields on `Dataset`**: `accessTier` (`OPEN | REGISTERED | CONTROLLED | SENSITIVE`) decoupled from `visibility`, and an optional `accessRequirements: AccessRequirement[]` describing what each tier demands (click-wrap ToU, signed DUA, IRB attestation, PI countersignature, QES, …).</w:t>
      </w:r>
    </w:p>
    <w:p/>
    <w:p>
      <w:r>
        <w:t>2. **A new `RequesterIdentityContext`** computed at every authorize-decision time, normalising whatever the requester brought (Passport Visas, ORCID employment claims, Cognito email, eduGAIN R&amp;S bundle, OCI-issued quiz pass) into one shape:</w:t>
      </w:r>
    </w:p>
    <w:p/>
    <w:p>
      <w:r>
        <w:t xml:space="preserve">   ```ts</w:t>
      </w:r>
    </w:p>
    <w:p>
      <w:r>
        <w:t xml:space="preserve">   interface RequesterIdentityContext {</w:t>
      </w:r>
    </w:p>
    <w:p>
      <w:r>
        <w:t xml:space="preserve">     identityScore:</w:t>
      </w:r>
    </w:p>
    <w:p>
      <w:r>
        <w:t xml:space="preserve">       | 'EMAIL_ONLY'</w:t>
      </w:r>
    </w:p>
    <w:p>
      <w:r>
        <w:t xml:space="preserve">       | 'EMAIL_DOMAIN_VERIFIED'</w:t>
      </w:r>
    </w:p>
    <w:p>
      <w:r>
        <w:t xml:space="preserve">       | 'ORCID_LINKED'</w:t>
      </w:r>
    </w:p>
    <w:p>
      <w:r>
        <w:t xml:space="preserve">       | 'QUIZ_PASSED'</w:t>
      </w:r>
    </w:p>
    <w:p>
      <w:r>
        <w:t xml:space="preserve">       | 'PI_COUNTERSIGNED'</w:t>
      </w:r>
    </w:p>
    <w:p>
      <w:r>
        <w:t xml:space="preserve">       | 'PASSPORT_VERIFIED';</w:t>
      </w:r>
    </w:p>
    <w:p>
      <w:r>
        <w:t xml:space="preserve">     visas: GA4GHVisa[]; // both ingested + OCI-issued</w:t>
      </w:r>
    </w:p>
    <w:p>
      <w:r>
        <w:t xml:space="preserve">     affiliation: {</w:t>
      </w:r>
    </w:p>
    <w:p>
      <w:r>
        <w:t xml:space="preserve">       institution: string;</w:t>
      </w:r>
    </w:p>
    <w:p>
      <w:r>
        <w:t xml:space="preserve">       role: string;</w:t>
      </w:r>
    </w:p>
    <w:p>
      <w:r>
        <w:t xml:space="preserve">       source: 'self' | 'orcid' | 'edugain' | 'passport';</w:t>
      </w:r>
    </w:p>
    <w:p>
      <w:r>
        <w:t xml:space="preserve">     } | null;</w:t>
      </w:r>
    </w:p>
    <w:p>
      <w:r>
        <w:t xml:space="preserve">     researcherStatus: { confirmedBy: string; iat: number } | null;</w:t>
      </w:r>
    </w:p>
    <w:p>
      <w:r>
        <w:t xml:space="preserve">     acceptedPolicies: { policyUrl: string; sha256: string; iat: number }[];</w:t>
      </w:r>
    </w:p>
    <w:p>
      <w:r>
        <w:t xml:space="preserve">     emailDomainCategory: 'institutional' | 'corporate' | 'public' | 'disposable';</w:t>
      </w:r>
    </w:p>
    <w:p>
      <w:r>
        <w:t xml:space="preserve">   }</w:t>
      </w:r>
    </w:p>
    <w:p>
      <w:r>
        <w:t xml:space="preserve">   ```</w:t>
      </w:r>
    </w:p>
    <w:p/>
    <w:p>
      <w:r>
        <w:t>3. **OCI is a Passport relying party AND a Passport issuer from the start.** We verify Visas against published JWKS for ELIXIR AAI, NIH RAS, and Sage's broker. We sign our own Visas for users who pass our quiz, accept our ToU, get approved for a dataset, or get countersigned by a PI. Other GA4GH-conformant platforms can trust our `ControlledAccessGrants` for OCI-hosted datasets.</w:t>
      </w:r>
    </w:p>
    <w:p/>
    <w:p>
      <w:r>
        <w:t>4. **Click-wrap with SHA-256 evidence is the SES-grade default.** We hash the policy text + timestamp + user sub, store the hash, and emit an `AcceptedTermsAndPolicies` Visa. Legally binding under US ESIGN/UETA today; sufficient for `OPEN` and `REGISTERED` tiers.</w:t>
      </w:r>
    </w:p>
    <w:p/>
    <w:p>
      <w:r>
        <w:t>5. **AdES via DocuSeal self-hosted** (open-source, MIT-licensed, runs in our existing ECS cluster). Used for `CONTROLLED` tier DUAs. Zero per-signature cost beyond infra.</w:t>
      </w:r>
    </w:p>
    <w:p/>
    <w:p>
      <w:r>
        <w:t>6. **QES via Yousign (pay-per-signature, AWS Marketplace)**, gated on `SENSITIVE` tier policy decision. Yousign is an EU QTSP on the EU Trust List, available through AWS Marketplace — so the QES bill consolidates onto our existing AWS account (no separate vendor procurement). Pay ~€1–2 per signature, no minimum, no monthly fee. _Not_ DocuSign — DocuSign is per-seat with envelope quotas, wrong shape for our usage. Skribble (Swiss QTSP, Swisscom backend, dual eIDAS+ZertES conformance) was the runner-up but bills direct; we can revisit if a Swiss-only host with strict ZertES requirements emerges.</w:t>
      </w:r>
    </w:p>
    <w:p/>
    <w:p>
      <w:r>
        <w:t xml:space="preserve">   AWS does not offer a first-party eIDAS-compliant signature service: AWS Signer is for code, QLDB is an immutable ledger (not a signing tool), and KMS/CloudHSM provide cryptographic primitives but not the QTSP+QSCD trust chain QES requires. Becoming our own QTSP is theoretically possible via KMS+CloudHSM but requires ETSI EN 319 411 audit by an EU notified body — a workstream of its own, off the table for OCI.</w:t>
      </w:r>
    </w:p>
    <w:p/>
    <w:p>
      <w:r>
        <w:t>7. **Two reviewer roles** mirroring Synapse:</w:t>
      </w:r>
    </w:p>
    <w:p>
      <w:r>
        <w:t xml:space="preserve">   - **Host** (existing) — reviews dataset-specific requests for `RESTRICTED` / `CONTROLLED` tier.</w:t>
      </w:r>
    </w:p>
    <w:p>
      <w:r>
        <w:t xml:space="preserve">   - **OCI ACT** (new — GI-AI4H Access &amp; Compliance Team, an ITU/WHO-appointed body) — reviews `SENSITIVE` tier requests + Validated User profile applications. Implemented as a new Cognito group `oci-act` mapped to existing role plumbing.</w:t>
      </w:r>
    </w:p>
    <w:p/>
    <w:p>
      <w:r>
        <w:t>8. **Two parallel request-form templates and DUA templates**, sharing the same identity-tier and DUO-matching infrastructure but tuned to their respective audiences:</w:t>
      </w:r>
    </w:p>
    <w:p>
      <w:r>
        <w:t xml:space="preserve">   - **Researcher form / DUA** — assumes publication-as-output. Asks IRB approval, project description, output type (`PUBLICATION` / `MODEL_WEIGHTS` / `DERIVATIVE_DATASET` / etc.), retention period.</w:t>
      </w:r>
    </w:p>
    <w:p>
      <w:r>
        <w:t xml:space="preserve">   - **AI-builder form / DUA** — assumes product-as-output. Asks legal entity, deployment country / region, regulatory pathway (FDA 510(k) / De Novo / EU MDR class / national equivalent), WHO health-priority alignment, WHO Innovation Hub or national-MoH accreditation, royalty / commercialisation plan, post-market data flow.</w:t>
      </w:r>
    </w:p>
    <w:p/>
    <w:p>
      <w:r>
        <w:t xml:space="preserve">   The form a requester sees is selected by their declared use category (`Commercial research` / `Product development` / `Clinical care` route to the builder template; `Non-commercial research` / `Educational` route to the researcher template). Both flows share the same back-end approval state machine and the same OCI Passport Visa issuance.</w:t>
      </w:r>
    </w:p>
    <w:p/>
    <w:p>
      <w:r>
        <w:t>9. **Commercial-use terms encoded as machine-readable dataset metadata** so AI builders know ex-ante whether a dataset fits their deployment. Three bands:</w:t>
      </w:r>
    </w:p>
    <w:p>
      <w:r>
        <w:t xml:space="preserve">   - `commercial OK` — dataset's host has explicitly granted commercial use, optionally with royalty terms by deployment market.</w:t>
      </w:r>
    </w:p>
    <w:p>
      <w:r>
        <w:t xml:space="preserve">   - `non-commercial only` — DUO_0000046 is set; matcher returns CONFLICT for commercial requests.</w:t>
      </w:r>
    </w:p>
    <w:p>
      <w:r>
        <w:t xml:space="preserve">   - `case-by-case` — host reviews per request, typically with bilateral negotiation on terms.</w:t>
      </w:r>
    </w:p>
    <w:p/>
    <w:p>
      <w:r>
        <w:t xml:space="preserve">   GI-AI4H curated datasets are tagged `commercial OK` by default, with optional `royalty-free for LMIC public-sector deployment` clauses where the curating institution has set those terms (modelled loosely on GAVI / vaccine-pricing tiered-licensing precedent).</w:t>
      </w:r>
    </w:p>
    <w:p/>
    <w:p>
      <w:r>
        <w:t>10. **Pre-grants for accredited LMIC actors** — a startup registered with the WHO Innovation Hub or accredited by a national MoH innovation programme can be pre-granted access to GI-AI4H curated datasets. The accreditation is recorded as a Visa-equivalent identity claim (`ResearcherStatus` extended with a `BuilderStatus` Visa Type — proposed extension to the GA4GH Visa vocabulary, raised as a discussion item in WG-Data); the dataset's `accessTier` rules honour it; the request collapses to a click-wrap.</w:t>
      </w:r>
    </w:p>
    <w:p/>
    <w:p>
      <w:r>
        <w:t>The phased rollout is recorded below in _Consequences → Neutral_; this ADR commits to the architectural shape, not the dates.</w:t>
      </w:r>
    </w:p>
    <w:p/>
    <w:p>
      <w:pPr>
        <w:pStyle w:val="Heading2"/>
      </w:pPr>
      <w:r>
        <w:t>Consequences</w:t>
      </w:r>
    </w:p>
    <w:p/>
    <w:p>
      <w:pPr>
        <w:pStyle w:val="Heading3"/>
      </w:pPr>
      <w:r>
        <w:t>Positive</w:t>
      </w:r>
    </w:p>
    <w:p/>
    <w:p>
      <w:r>
        <w:t>- **Federation works both ways from day one.** A researcher cleared at EGA brings their `ResearcherStatus` and `AffiliationAndRole` Visas to OCI, skipping our quiz. A researcher cleared by OCI is recognisable by Sage's Synapse-Passport platform when it lights up.</w:t>
      </w:r>
    </w:p>
    <w:p>
      <w:r>
        <w:t>- **Cost model scales with usage, not with team size.** Pay-per-signature means CHF ~200/year for a typical 100-signature operator load. Versus DocuSign's $540/year per seat × N operators.</w:t>
      </w:r>
    </w:p>
    <w:p>
      <w:r>
        <w:t>- **Click-wrap evidence is legally defensible today.** SHA-256 hash + timestamp + user sub + policy text is sufficient for SES under eIDAS and ESIGN/UETA — we don't need any external dependency for the common case.</w:t>
      </w:r>
    </w:p>
    <w:p>
      <w:r>
        <w:t>- **Synapse-shape model means Sage can adopt our patterns** (or vice-versa) without translating between two different ontologies. We already collaborate; this strengthens the seam.</w:t>
      </w:r>
    </w:p>
    <w:p>
      <w:r>
        <w:t>- **Identity-context normalizer absorbs heterogeneity.** Adding eduGAIN, W3C VCs, or whatever comes next is a new translator, not a schema change.</w:t>
      </w:r>
    </w:p>
    <w:p>
      <w:r>
        <w:t>- **DUO matcher gets sharper.** Today it matches dataset DUO terms against checkbox attestations. With Visas, it can match against signed institutional claims (`AffiliationAndRole`, `ResearcherStatus`) — much higher signal.</w:t>
      </w:r>
    </w:p>
    <w:p/>
    <w:p>
      <w:pPr>
        <w:pStyle w:val="Heading3"/>
      </w:pPr>
      <w:r>
        <w:t>Negative</w:t>
      </w:r>
    </w:p>
    <w:p/>
    <w:p>
      <w:r>
        <w:t>- **More moving parts in the auth path.** Verifying inbound Visas means trusting external JWKS (ELIXIR AAI, NIH RAS, Sage). Each issuer is a new failure mode — a JWKS rotation we miss, or a key compromise upstream — that can cascade into spurious 403s. Mitigation: cache JWKS aggressively, fail-open at the _trust_ layer (treat unverified Visas as absent, not invalid) but fail-closed at the _authz_ layer (no Visa = no access for that AR).</w:t>
      </w:r>
    </w:p>
    <w:p>
      <w:r>
        <w:t>- **Signing infrastructure is non-trivial.** Running a JWKS endpoint with rotation, encoding Visas correctly per the GA4GH spec, mapping our internal authz decisions to the right Visa Types — this is a real engineering effort, not a checkbox. Skipping shortcuts here means Visas we issue are trusted incorrectly elsewhere.</w:t>
      </w:r>
    </w:p>
    <w:p>
      <w:r>
        <w:t>- **Operator surface area grows.** OCI ACT review for SENSITIVE tier is a new review queue. We need an admin UI, escalation rules, and an SLA. UK Biobank's Access Sub-Committee operates a 10-day SLA — we likely cannot match that with a 1-2 person team initially.</w:t>
      </w:r>
    </w:p>
    <w:p>
      <w:r>
        <w:t>- **Self-hosted DocuSeal is one more service to operate.** ECS service definition, S3 bucket for signed PDFs, KMS-CMK for at-rest encryption, scheduled DB backups. Manageable but real.</w:t>
      </w:r>
    </w:p>
    <w:p>
      <w:r>
        <w:t>- **Quiz content is hard to author defensibly.** Synapse's quiz took years to refine. Our risk: shipping a weak quiz that gives false assurance. Mitigation: ask Sage if we can adopt theirs with attribution — partners-of-partners agreement.</w:t>
      </w:r>
    </w:p>
    <w:p>
      <w:r>
        <w:t>- **DUA template requires legal review** before any e-sig integration. We can't ship this on engineering timelines alone.</w:t>
      </w:r>
    </w:p>
    <w:p/>
    <w:p>
      <w:pPr>
        <w:pStyle w:val="Heading3"/>
      </w:pPr>
      <w:r>
        <w:t>Neutral</w:t>
      </w:r>
    </w:p>
    <w:p/>
    <w:p>
      <w:r>
        <w:t>- **Phased rollout** of the architectural commitment:</w:t>
      </w:r>
    </w:p>
    <w:p/>
    <w:p>
      <w:r>
        <w:t xml:space="preserve">  **Phase 1 (this iteration, ~2 weeks, no SaaS)**:</w:t>
      </w:r>
    </w:p>
    <w:p>
      <w:r>
        <w:t xml:space="preserve">  - Schema additions (`Dataset.accessTier`, `AccessRequest` extensions, `UserCertification`, `PolicyAcceptance`).</w:t>
      </w:r>
    </w:p>
    <w:p>
      <w:r>
        <w:t xml:space="preserve">  - Email-domain checker (disposable blocklist + per-dataset allowlist) in `packages/shared-types`.</w:t>
      </w:r>
    </w:p>
    <w:p>
      <w:r>
        <w:t xml:space="preserve">  - Certification quiz module (NestJS + Next.js, 1-year validity).</w:t>
      </w:r>
    </w:p>
    <w:p>
      <w:r>
        <w:t xml:space="preserve">  - Click-wrap with SHA-256 hash storage (SES evidence).</w:t>
      </w:r>
    </w:p>
    <w:p>
      <w:r>
        <w:t xml:space="preserve">  - Internal `RequesterIdentityContext` with native-only sources.</w:t>
      </w:r>
    </w:p>
    <w:p/>
    <w:p>
      <w:r>
        <w:t xml:space="preserve">  **Phase 2 (1–3 months)**:</w:t>
      </w:r>
    </w:p>
    <w:p>
      <w:r>
        <w:t xml:space="preserve">  - ORCID OAuth integration.</w:t>
      </w:r>
    </w:p>
    <w:p>
      <w:r>
        <w:t xml:space="preserve">  - GA4GH Passport relying-party — accept Visas from ELIXIR AAI, NIH RAS, Sage broker.</w:t>
      </w:r>
    </w:p>
    <w:p>
      <w:r>
        <w:t xml:space="preserve">  - OCI as Passport issuer — JWKS endpoint, sign our own `AcceptedTermsAndPolicies`, `ControlledAccessGrants`, `ResearcherStatus` Visas.</w:t>
      </w:r>
    </w:p>
    <w:p>
      <w:r>
        <w:t xml:space="preserve">  - DocuSeal self-hosted for AdES DUA signing.</w:t>
      </w:r>
    </w:p>
    <w:p>
      <w:r>
        <w:t xml:space="preserve">  - Renewal cron (BullMQ) — 30-day pre-expiry email, auto-revoke at expiry.</w:t>
      </w:r>
    </w:p>
    <w:p/>
    <w:p>
      <w:r>
        <w:t xml:space="preserve">  **Phase 3 (6–12 months, gated on actual demand)**:</w:t>
      </w:r>
    </w:p>
    <w:p>
      <w:r>
        <w:t xml:space="preserve">  - Skribble integration for QES, gated on `accessTier=SENSITIVE` AND policy says QES is required.</w:t>
      </w:r>
    </w:p>
    <w:p>
      <w:r>
        <w:t xml:space="preserve">  - eduGAIN SP via SWITCHaai for direct EU-academic SAML SSO.</w:t>
      </w:r>
    </w:p>
    <w:p>
      <w:r>
        <w:t xml:space="preserve">  - OCI ACT operator UI for `SENSITIVE` tier review.</w:t>
      </w:r>
    </w:p>
    <w:p>
      <w:r>
        <w:t xml:space="preserve">  - Validated User flow (Synapse-style ID-document review) — only ship if a host actually demands it.</w:t>
      </w:r>
    </w:p>
    <w:p>
      <w:r>
        <w:t xml:space="preserve">  - Track W3C Verifiable Credentials + EUDI Wallet for the eIDAS 2.0 transition (Nov 2026).</w:t>
      </w:r>
    </w:p>
    <w:p/>
    <w:p>
      <w:r>
        <w:t>- **Existing `AccessRequest` rows are migrated forward** by setting `requesterIdentityScore = 'EMAIL_ONLY'` (default) and leaving `iduStatement` populated from the existing `justification` text. No backfill of stronger evidence — Phase 1 just makes the new shape available going forward.</w:t>
      </w:r>
    </w:p>
    <w:p/>
    <w:p>
      <w:r>
        <w:t>- **The existing DUO matcher (PR J.1) does not change** for Phase 1. In Phase 2 it gets a richer input (ingested + OCI-issued Visas) but the same auto-MATCH/CONFLICT/UNCLEAR semantics.</w:t>
      </w:r>
    </w:p>
    <w:p/>
    <w:p>
      <w:pPr>
        <w:pStyle w:val="Heading2"/>
      </w:pPr>
      <w:r>
        <w:t>Alternatives considered</w:t>
      </w:r>
    </w:p>
    <w:p/>
    <w:p>
      <w:r>
        <w:t>- **Stick with the current single-tier flow and add fields ad-hoc** — rejected. The current model is a Phase A floor we already know is too weak for the seeded `uhz-cardiac-mri-2024` PRIVATE fixture. Patching it without a coherent model means each future host pushes us in a different direction; we'd accumulate flags rather than design a system.</w:t>
      </w:r>
    </w:p>
    <w:p/>
    <w:p>
      <w:r>
        <w:t>- **Adopt DocuSign as the e-signature canonical** — rejected on cost shape. DocuSign is per-seat / per-month with envelope quotas, optimised for sales-ops use cases (rep sends 100s of contracts/month). OCI's pattern is bursty and rare across a small operator team. Pay-per-signature QTSPs (Skribble, Yousign, Universign) are the right shape and _also_ eIDAS-conformant.</w:t>
      </w:r>
    </w:p>
    <w:p/>
    <w:p>
      <w:r>
        <w:t>- **Build our own e-signature stack from scratch** — rejected. eIDAS QES requires a Qualified Trust Service Provider on the EU Trust List with a Qualified Signature Creation Device. We cannot become a QTSP in any reasonable timeframe, and we shouldn't try; this is the load-bearing reason to integrate one rather than build.</w:t>
      </w:r>
    </w:p>
    <w:p/>
    <w:p>
      <w:r>
        <w:t>- **Defer Passport support to Phase 3 (the agent's original recommendation)** — rejected. Synapse's Passport rollout, ELIXIR AAI's existing Passport issuance, and NIH RAS's production Passport infrastructure mean the relying-party demand exists _now_. Late adoption means re-asking researchers questions they've answered elsewhere — a worse experience and a competitive disadvantage. Phase 2 (1-3 months) is the right insertion point.</w:t>
      </w:r>
    </w:p>
    <w:p/>
    <w:p>
      <w:r>
        <w:t>- **Adopt W3C Verifiable Credentials + EUDI Wallet immediately** — rejected. Universities aren't issuing VCs at scale yet; the EUDI Wallet eIDAS 2.0 mandate hits Nov 2026 but issuance + reliance-party tooling is still maturing. Track, don't bet on.</w:t>
      </w:r>
    </w:p>
    <w:p/>
    <w:p>
      <w:r>
        <w:t>- **Synapse-style separate platform-level ACT _only_ (no host approval)** — rejected. OCI's host-of-record model is a feature, not a bug — dataset hosts have direct accountability for their data. We add an OCI ACT for the `SENSITIVE` tier on top of host approval, not instead of it.</w:t>
      </w:r>
    </w:p>
    <w:p/>
    <w:p>
      <w:r>
        <w:t>- **(Chosen) Two-axis tiered model + GA4GH Passport-native + pay-per-signature QTSPs.** Mirrors Synapse's proven architecture, scales cost with usage, federates with the field, lets us migrate forward without breaking existing approvals.</w:t>
      </w:r>
    </w:p>
    <w:p/>
    <w:p>
      <w:pPr>
        <w:pStyle w:val="Heading2"/>
      </w:pPr>
      <w:r>
        <w:t>References</w:t>
      </w:r>
    </w:p>
    <w:p/>
    <w:p>
      <w:r>
        <w:t>- Research synthesis: [docs/research/access-governance-2026-05-08.md](../research/access-governance-2026-05-08.md)</w:t>
      </w:r>
    </w:p>
    <w:p>
      <w:r>
        <w:t>- Existing access-request implementation: PR F ([#75](https://github.com/FG-AI4H/oci-platform/pull/75)), PR J.1 ([#93](https://github.com/FG-AI4H/oci-platform/pull/93)), PR L.3 ([#99](https://github.com/FG-AI4H/oci-platform/pull/99))</w:t>
      </w:r>
    </w:p>
    <w:p>
      <w:r>
        <w:t>- Related modules: `apps/api/src/modules/access-request/`, `packages/croissant/src/duo/`, `apps/web/src/app/catalog/[slug]/access-cta.tsx`</w:t>
      </w:r>
    </w:p>
    <w:p>
      <w:r>
        <w:t>- GA4GH Passport spec: https://ga4gh.github.io/data-security/ga4gh-passport</w:t>
      </w:r>
    </w:p>
    <w:p>
      <w:r>
        <w:t>- GA4GH DUO product: https://www.ga4gh.org/product/data-use-ontology-duo/</w:t>
      </w:r>
    </w:p>
    <w:p>
      <w:r>
        <w:t>- Synapse User Account Tiers: https://help.synapse.org/docs/User-Account-Tiers.2007072795.html</w:t>
      </w:r>
    </w:p>
    <w:p>
      <w:r>
        <w:t>- eIDAS Regulation 910/2014, Article 25: https://digital-strategy.ec.europa.eu/en/policies/eidas-regulation</w:t>
      </w:r>
    </w:p>
    <w:p>
      <w:r>
        <w:t>- Skribble (Swiss QTSP, ZertES + eIDAS QES): https://www.skribble.com/</w:t>
      </w:r>
    </w:p>
    <w:p>
      <w:r>
        <w:t>- DocuSeal (self-hosted, MIT): https://www.docuseal.com/</w:t>
      </w:r>
    </w:p>
    <w:p>
      <w:r>
        <w:t>- ORCID Affiliations admin guide: https://info.orcid.org/documentation/integration-guide/admin-guide-to-affiliations/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7" w:val="right"/>
      </w:tabs>
    </w:pPr>
    <w:r>
      <w:rPr>
        <w:rFonts w:ascii="Calibri" w:hAnsi="Calibri" w:cs="Calibri"/>
        <w:b w:val="0"/>
        <w:i w:val="0"/>
        <w:color w:val="6B7280"/>
        <w:sz w:val="18"/>
      </w:rPr>
      <w:t>OCI-ADR-0003</w:t>
    </w:r>
    <w:r>
      <w:tab/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D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3D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3D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