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787" w:val="right"/>
        </w:tabs>
        <w:spacing w:after="40"/>
      </w:pPr>
      <w:r>
        <w:rPr>
          <w:rFonts w:ascii="Calibri" w:hAnsi="Calibri" w:cs="Calibri"/>
          <w:b/>
          <w:i w:val="0"/>
          <w:color w:val="003D6B"/>
          <w:sz w:val="24"/>
        </w:rPr>
        <w:t>GI-AI4H</w:t>
      </w:r>
      <w:r>
        <w:rPr>
          <w:rFonts w:ascii="Calibri" w:hAnsi="Calibri" w:cs="Calibri"/>
          <w:b w:val="0"/>
          <w:i w:val="0"/>
          <w:color w:val="6B7280"/>
          <w:sz w:val="20"/>
        </w:rPr>
        <w:t xml:space="preserve">   ·   ITU · WHO · WIPO</w:t>
      </w:r>
      <w:r>
        <w:tab/>
      </w:r>
      <w:r>
        <w:rPr>
          <w:rFonts w:ascii="Consolas" w:hAnsi="Consolas" w:cs="Consolas"/>
          <w:b w:val="0"/>
          <w:i w:val="0"/>
          <w:color w:val="6B7280"/>
          <w:sz w:val="20"/>
        </w:rPr>
        <w:t>OCI-BRIEF-001</w:t>
      </w:r>
    </w:p>
    <w:p>
      <w:pPr>
        <w:spacing w:after="0"/>
      </w:pPr>
      <w:r>
        <w:rPr>
          <w:rFonts w:ascii="Calibri" w:hAnsi="Calibri" w:cs="Calibri"/>
          <w:b w:val="0"/>
          <w:i/>
          <w:color w:val="6B7280"/>
          <w:sz w:val="20"/>
        </w:rPr>
        <w:t>GI-AI4H Open Code Infrastructure · 2026-05-09</w:t>
      </w:r>
    </w:p>
    <w:p>
      <w:pPr>
        <w:spacing w:before="40" w:after="160"/>
        <w:pBdr>
          <w:bottom w:val="single" w:sz="6" w:space="1" w:color="CBD5E0"/>
        </w:pBdr>
      </w:pPr>
    </w:p>
    <w:p>
      <w:pPr>
        <w:spacing w:before="40" w:after="160" w:lineRule="auto" w:line="276"/>
      </w:pPr>
      <w:r>
        <w:rPr>
          <w:rFonts w:ascii="Calibri" w:hAnsi="Calibri" w:cs="Calibri"/>
          <w:b/>
          <w:i w:val="0"/>
          <w:color w:val="111827"/>
          <w:sz w:val="44"/>
        </w:rPr>
        <w:t>OCI Platform — One-page overview</w:t>
      </w:r>
    </w:p>
    <w:p/>
    <w:p>
      <w:pPr>
        <w:pStyle w:val="Heading2"/>
      </w:pPr>
      <w:r>
        <w:t>What it is</w:t>
      </w:r>
    </w:p>
    <w:p/>
    <w:p>
      <w:r>
        <w:t>The Open Code Infrastructure (OCI) is a federated, open-source platform convened by ITU/WHO/WIPO under the Global Initiative on AI for Health (GI-AI4H). It is the operational layer for WG-Data — a unified surface for cataloguing health datasets, expressing their permission terms, governing access, and (Phase C) supporting reproducible model evaluation.</w:t>
      </w:r>
    </w:p>
    <w:p/>
    <w:p>
      <w:pPr>
        <w:pStyle w:val="Heading2"/>
      </w:pPr>
      <w:r>
        <w:t>What is shipped today</w:t>
      </w:r>
    </w:p>
    <w:p/>
    <w:p>
      <w:r>
        <w:t>Croissant 1.1 catalogue with BIOCroissant biomedical extension and MLCommons RAI metadata.</w:t>
      </w:r>
    </w:p>
    <w:p>
      <w:r>
        <w:t>Faceted search across imaging modality, body region, disease condition, anonymisation level, license, and DUO terms.</w:t>
      </w:r>
    </w:p>
    <w:p>
      <w:r>
        <w:t>Host workflow: create draft, upload Croissant manifest, publish, with manifest-validation guardrails.</w:t>
      </w:r>
    </w:p>
    <w:p>
      <w:r>
        <w:t>Access requests with structured intended-use form, IRB attestation, and DUO-aware auto-matching (MATCHED / CONFLICT / UNCLEAR).</w:t>
      </w:r>
    </w:p>
    <w:p>
      <w:r>
        <w:t>Federation: peer-catalogue harvest plus outbound JSON-LD discoverability for Google Dataset Search and peer aggregators.</w:t>
      </w:r>
    </w:p>
    <w:p>
      <w:r>
        <w:t>Audience-organised documentation surface for researchers, AI builders, hosts, governance, strategy, developers, and operators.</w:t>
      </w:r>
    </w:p>
    <w:p>
      <w:r>
        <w:t>Three deployment environments (dev, int, prod) on AWS in Frankfurt; production at oci.ai4h.net.</w:t>
      </w:r>
    </w:p>
    <w:p/>
    <w:p>
      <w:pPr>
        <w:pStyle w:val="Heading2"/>
      </w:pPr>
      <w:r>
        <w:t>What is in flight (Phase B)</w:t>
      </w:r>
    </w:p>
    <w:p/>
    <w:p>
      <w:r>
        <w:t>Tiered identity assurance (six-tier scoring) and tiered Access Requirements per dataset (committed in ADR-0003).</w:t>
      </w:r>
    </w:p>
    <w:p>
      <w:r>
        <w:t>GA4GH Passport relying party plus issuer with JWKS endpoint.</w:t>
      </w:r>
    </w:p>
    <w:p>
      <w:r>
        <w:t>Data Use Agreement template engine with DocuSeal (AdES) and pay-per-signature QES via AWS Marketplace.</w:t>
      </w:r>
    </w:p>
    <w:p>
      <w:r>
        <w:t>AI-builder audience expansion (LMIC startups, MedTech vendors, development-finance grantees) as a first-class access pathway alongside academic researchers.</w:t>
      </w:r>
    </w:p>
    <w:p>
      <w:r>
        <w:t>BuilderStatus Visa Type — design exploration, see contribution GI-AI4H-WGD-OCI-001.</w:t>
      </w:r>
    </w:p>
    <w:p/>
    <w:p>
      <w:pPr>
        <w:pStyle w:val="Heading2"/>
      </w:pPr>
      <w:r>
        <w:t>Where it sits in GI-AI4H</w:t>
      </w:r>
    </w:p>
    <w:p/>
    <w:p>
      <w:r>
        <w:t>OCI is the operational platform for WG-Data and the natural insertion point for cross-WG work (WG-Annotation, WG-Evaluation). It carries GI-AI4H's federation posture into the field as an open implementation that other instances can adopt or fork.</w:t>
      </w:r>
    </w:p>
    <w:p/>
    <w:p>
      <w:pPr>
        <w:pStyle w:val="Heading2"/>
      </w:pPr>
      <w:r>
        <w:t>Standards alignment</w:t>
      </w:r>
    </w:p>
    <w:p/>
    <w:p>
      <w:r>
        <w:t>GA4GH — Data Use Ontology (DUO) live in the catalogue today; Passport relying party plus issuer planned for Phase B; AAI conventions follow GA4GH guidance.</w:t>
      </w:r>
    </w:p>
    <w:p>
      <w:r>
        <w:t>MLCommons — Croissant 1.1 plus RAI extension; OCI is a native catalogue conformant.</w:t>
      </w:r>
    </w:p>
    <w:p>
      <w:r>
        <w:t>BIOCroissant — co-authored extension under GI-AI4H WG-Data; OCI is the reference implementation.</w:t>
      </w:r>
    </w:p>
    <w:p>
      <w:r>
        <w:t>CHAI — Model Cards integration is planned on the evaluation surface (Phase C).</w:t>
      </w:r>
    </w:p>
    <w:p>
      <w:r>
        <w:t>HL7 / FHIR — out of scope today; planned for clinical-data adapters.</w:t>
      </w:r>
    </w:p>
    <w:p>
      <w:r>
        <w:t>W3C — ODRL noted for richer policy expression; deferred until DUO proves insufficient.</w:t>
      </w:r>
    </w:p>
    <w:p/>
    <w:p>
      <w:pPr>
        <w:pStyle w:val="Heading2"/>
      </w:pPr>
      <w:r>
        <w:t>Federation strategy</w:t>
      </w:r>
    </w:p>
    <w:p/>
    <w:p>
      <w:r>
        <w:t>Inbound: harvest Croissant catalogues from peer platforms (hospitals, research consortia, member-state instances). Outbound: expose the OCI catalogue as a Croissant index for crawlers and peers. Identity: GA4GH Passport on both sides (Phase B), so a researcher cleared at one platform travels to others. Permission terms: DUO-aware auto-matching, with optional formal Data Use Agreement signing for sensitive datasets.</w:t>
      </w:r>
    </w:p>
    <w:p/>
    <w:p>
      <w:pPr>
        <w:pStyle w:val="Heading2"/>
      </w:pPr>
      <w:r>
        <w:t>Contact</w:t>
      </w:r>
    </w:p>
    <w:p/>
    <w:p>
      <w:r>
        <w:t>Marc Lecoultre, MLLab.ai — OCI Platform editor — ml@mllab.ai</w:t>
      </w:r>
    </w:p>
    <w:p>
      <w:r>
        <w:t>GI-AI4H Open Code Infrastructure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7" w:val="right"/>
      </w:tabs>
    </w:pPr>
    <w:r>
      <w:rPr>
        <w:rFonts w:ascii="Calibri" w:hAnsi="Calibri" w:cs="Calibri"/>
        <w:b w:val="0"/>
        <w:i w:val="0"/>
        <w:color w:val="6B7280"/>
        <w:sz w:val="18"/>
      </w:rPr>
      <w:t>OCI-BRIEF-001</w:t>
    </w:r>
    <w:r>
      <w:tab/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D6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3D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3D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