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2013113</wp:posOffset>
            </wp:positionH>
            <wp:positionV relativeFrom="paragraph">
              <wp:posOffset>114300</wp:posOffset>
            </wp:positionV>
            <wp:extent cx="1700213" cy="85581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951" l="4011" r="3654" t="28618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855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b w:val="1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b w:val="1"/>
          <w:sz w:val="34"/>
          <w:szCs w:val="3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34"/>
          <w:szCs w:val="34"/>
          <w:rtl w:val="0"/>
        </w:rPr>
        <w:t xml:space="preserve">Reunião Projeto Unity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jc w:val="both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ATA da Reunião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LOCAL: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INÍCIO: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FIM: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ATA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after="200" w:line="276" w:lineRule="auto"/>
        <w:jc w:val="both"/>
        <w:rPr>
          <w:rFonts w:ascii="Titillium Web" w:cs="Titillium Web" w:eastAsia="Titillium Web" w:hAnsi="Titillium Web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jc w:val="both"/>
        <w:rPr>
          <w:rFonts w:ascii="Titillium Web" w:cs="Titillium Web" w:eastAsia="Titillium Web" w:hAnsi="Titillium Web"/>
          <w:b w:val="1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6"/>
          <w:szCs w:val="26"/>
          <w:rtl w:val="0"/>
        </w:rPr>
        <w:t xml:space="preserve">Pautas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720" w:firstLine="0"/>
        <w:jc w:val="both"/>
        <w:rPr>
          <w:rFonts w:ascii="Titillium Web" w:cs="Titillium Web" w:eastAsia="Titillium Web" w:hAnsi="Titillium Web"/>
          <w:color w:val="434343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color w:val="4343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jc w:val="center"/>
        <w:rPr>
          <w:rFonts w:ascii="Titillium Web" w:cs="Titillium Web" w:eastAsia="Titillium Web" w:hAnsi="Titillium Web"/>
          <w:b w:val="1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sz w:val="26"/>
          <w:szCs w:val="26"/>
          <w:rtl w:val="0"/>
        </w:rPr>
        <w:t xml:space="preserve">AVISOS GERAIS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jc w:val="left"/>
        <w:rPr>
          <w:rFonts w:ascii="Titillium Web" w:cs="Titillium Web" w:eastAsia="Titillium Web" w:hAnsi="Titillium Web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1440" w:firstLine="0"/>
        <w:jc w:val="both"/>
        <w:rPr>
          <w:rFonts w:ascii="Titillium Web" w:cs="Titillium Web" w:eastAsia="Titillium Web" w:hAnsi="Titillium Web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left="0" w:firstLine="0"/>
        <w:jc w:val="both"/>
        <w:rPr>
          <w:rFonts w:ascii="Titillium Web" w:cs="Titillium Web" w:eastAsia="Titillium Web" w:hAnsi="Titillium Web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center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center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center"/>
        <w:rPr>
          <w:rFonts w:ascii="Titillium Web" w:cs="Titillium Web" w:eastAsia="Titillium Web" w:hAnsi="Titillium Web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jc w:val="center"/>
        <w:rPr>
          <w:rFonts w:ascii="Titillium Web" w:cs="Titillium Web" w:eastAsia="Titillium Web" w:hAnsi="Titillium Web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tillium Web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itilliumWeb-regular.ttf"/><Relationship Id="rId6" Type="http://schemas.openxmlformats.org/officeDocument/2006/relationships/font" Target="fonts/TitilliumWeb-bold.ttf"/><Relationship Id="rId7" Type="http://schemas.openxmlformats.org/officeDocument/2006/relationships/font" Target="fonts/TitilliumWeb-italic.ttf"/><Relationship Id="rId8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