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10" w:rsidRDefault="00BE5A84" w:rsidP="00100A24">
      <w:pPr>
        <w:pStyle w:val="Heading2"/>
        <w:jc w:val="both"/>
      </w:pPr>
      <w:r>
        <w:t>Théories axées sur le processus</w:t>
      </w:r>
    </w:p>
    <w:p w:rsidR="00BE5A84" w:rsidRPr="00BE5A84" w:rsidRDefault="00BE5A84" w:rsidP="00100A24">
      <w:pPr>
        <w:jc w:val="both"/>
        <w:rPr>
          <w:u w:val="single"/>
        </w:rPr>
      </w:pPr>
      <w:r w:rsidRPr="00BE5A84">
        <w:rPr>
          <w:u w:val="single"/>
        </w:rPr>
        <w:t>La théo</w:t>
      </w:r>
      <w:r>
        <w:rPr>
          <w:u w:val="single"/>
        </w:rPr>
        <w:t>rie du résultat escompté(Vroom) :</w:t>
      </w:r>
    </w:p>
    <w:p w:rsidR="00BE5A84" w:rsidRDefault="00BE5A84" w:rsidP="00100A24">
      <w:pPr>
        <w:jc w:val="both"/>
      </w:pPr>
      <w:r>
        <w:t>Un individu adoptera un comportement de travail adéquat s’il croit que ses efforts seront récompensés par quelque chose qu’il désire</w:t>
      </w:r>
    </w:p>
    <w:p w:rsidR="00BE5A84" w:rsidRDefault="00BE5A84" w:rsidP="00100A24">
      <w:pPr>
        <w:pStyle w:val="Heading4"/>
        <w:jc w:val="both"/>
      </w:pPr>
      <w:r>
        <w:t>Figure 9.5</w:t>
      </w:r>
    </w:p>
    <w:p w:rsidR="00BE5A84" w:rsidRDefault="00BE5A84" w:rsidP="00100A24">
      <w:pPr>
        <w:jc w:val="both"/>
      </w:pPr>
    </w:p>
    <w:p w:rsidR="00BE5A84" w:rsidRPr="00BE5A84" w:rsidRDefault="00BE5A84" w:rsidP="00100A24">
      <w:pPr>
        <w:jc w:val="both"/>
        <w:rPr>
          <w:u w:val="single"/>
        </w:rPr>
      </w:pPr>
      <w:r w:rsidRPr="00BE5A84">
        <w:rPr>
          <w:u w:val="single"/>
        </w:rPr>
        <w:t>La théorie de l’</w:t>
      </w:r>
      <w:r>
        <w:rPr>
          <w:u w:val="single"/>
        </w:rPr>
        <w:t>équité (Stacy &amp; Adams) :</w:t>
      </w:r>
    </w:p>
    <w:p w:rsidR="00BE5A84" w:rsidRDefault="00BE5A84" w:rsidP="00100A24">
      <w:pPr>
        <w:jc w:val="both"/>
      </w:pPr>
      <w:r>
        <w:t>Les individus sont principalement motivés par les concepts de justice et d’équité.</w:t>
      </w:r>
    </w:p>
    <w:p w:rsidR="00BE5A84" w:rsidRDefault="00BE5A84" w:rsidP="00100A24">
      <w:pPr>
        <w:jc w:val="both"/>
      </w:pPr>
    </w:p>
    <w:p w:rsidR="00BE5A84" w:rsidRDefault="009E03CB" w:rsidP="00100A24">
      <w:pPr>
        <w:pStyle w:val="Heading3"/>
        <w:jc w:val="both"/>
      </w:pPr>
      <w:r>
        <w:t>Théorie du renforcement (Skinner) :</w:t>
      </w:r>
    </w:p>
    <w:p w:rsidR="009E03CB" w:rsidRDefault="009E03CB" w:rsidP="00100A24">
      <w:pPr>
        <w:jc w:val="both"/>
      </w:pPr>
      <w:r>
        <w:t>Les individus accompliront certaines tâches pour obtenir une récompense et en feront d’autres pour éviter une punition.</w:t>
      </w:r>
    </w:p>
    <w:p w:rsidR="00541212" w:rsidRDefault="00541212" w:rsidP="00100A24">
      <w:pPr>
        <w:jc w:val="both"/>
      </w:pPr>
    </w:p>
    <w:p w:rsidR="00541212" w:rsidRDefault="00541212" w:rsidP="00100A24">
      <w:pPr>
        <w:pStyle w:val="Heading3"/>
        <w:jc w:val="both"/>
      </w:pPr>
      <w:r>
        <w:t>Les défis actuels de la motivation</w:t>
      </w:r>
    </w:p>
    <w:p w:rsidR="00541212" w:rsidRDefault="00541212" w:rsidP="00100A24">
      <w:pPr>
        <w:jc w:val="both"/>
        <w:rPr>
          <w:u w:val="single"/>
        </w:rPr>
      </w:pPr>
      <w:r w:rsidRPr="00541212">
        <w:rPr>
          <w:u w:val="single"/>
        </w:rPr>
        <w:t>Pour motiver, le gestionnaire doit adopter certaines méthodes et offrir des avantages tels que :</w:t>
      </w:r>
    </w:p>
    <w:p w:rsidR="00541212" w:rsidRDefault="00C2443A" w:rsidP="00100A24">
      <w:pPr>
        <w:pStyle w:val="ListParagraph"/>
        <w:numPr>
          <w:ilvl w:val="0"/>
          <w:numId w:val="1"/>
        </w:numPr>
        <w:jc w:val="both"/>
      </w:pPr>
      <w:r>
        <w:t>des</w:t>
      </w:r>
      <w:r w:rsidR="00541212">
        <w:t xml:space="preserve"> salaires et des avantages sociaux</w:t>
      </w:r>
    </w:p>
    <w:p w:rsidR="00541212" w:rsidRDefault="00C2443A" w:rsidP="00100A24">
      <w:pPr>
        <w:pStyle w:val="ListParagraph"/>
        <w:numPr>
          <w:ilvl w:val="0"/>
          <w:numId w:val="1"/>
        </w:numPr>
        <w:jc w:val="both"/>
      </w:pPr>
      <w:r>
        <w:t>un</w:t>
      </w:r>
      <w:r w:rsidR="00541212">
        <w:t xml:space="preserve"> réaménagement du temps de travail</w:t>
      </w:r>
    </w:p>
    <w:p w:rsidR="00541212" w:rsidRDefault="00C2443A" w:rsidP="00100A24">
      <w:pPr>
        <w:pStyle w:val="ListParagraph"/>
        <w:numPr>
          <w:ilvl w:val="0"/>
          <w:numId w:val="1"/>
        </w:numPr>
        <w:jc w:val="both"/>
      </w:pPr>
      <w:r>
        <w:t>des</w:t>
      </w:r>
      <w:r w:rsidR="00541212">
        <w:t xml:space="preserve"> horaires flexibles</w:t>
      </w:r>
    </w:p>
    <w:p w:rsidR="00541212" w:rsidRDefault="00C2443A" w:rsidP="00100A24">
      <w:pPr>
        <w:pStyle w:val="ListParagraph"/>
        <w:numPr>
          <w:ilvl w:val="0"/>
          <w:numId w:val="1"/>
        </w:numPr>
        <w:jc w:val="both"/>
      </w:pPr>
      <w:r>
        <w:t>des</w:t>
      </w:r>
      <w:r w:rsidR="00541212">
        <w:t xml:space="preserve"> mesures d’équilibre travail-famille</w:t>
      </w:r>
    </w:p>
    <w:p w:rsidR="00541212" w:rsidRDefault="00C2443A" w:rsidP="00100A24">
      <w:pPr>
        <w:pStyle w:val="ListParagraph"/>
        <w:numPr>
          <w:ilvl w:val="0"/>
          <w:numId w:val="1"/>
        </w:numPr>
        <w:jc w:val="both"/>
      </w:pPr>
      <w:r>
        <w:t>des</w:t>
      </w:r>
      <w:r w:rsidR="00541212">
        <w:t xml:space="preserve"> programmes de qualité de vie au travail</w:t>
      </w:r>
    </w:p>
    <w:p w:rsidR="00541212" w:rsidRDefault="00C2443A" w:rsidP="00100A24">
      <w:pPr>
        <w:pStyle w:val="ListParagraph"/>
        <w:numPr>
          <w:ilvl w:val="0"/>
          <w:numId w:val="1"/>
        </w:numPr>
        <w:jc w:val="both"/>
      </w:pPr>
      <w:r>
        <w:t>la</w:t>
      </w:r>
      <w:r w:rsidR="00541212">
        <w:t xml:space="preserve"> mise en place de mécanismes servant à attirer et à retenir les employés clés</w:t>
      </w:r>
    </w:p>
    <w:p w:rsidR="00C2443A" w:rsidRDefault="00C2443A" w:rsidP="00100A24">
      <w:pPr>
        <w:jc w:val="both"/>
      </w:pPr>
    </w:p>
    <w:p w:rsidR="00C2443A" w:rsidRPr="004610AE" w:rsidRDefault="00C2443A" w:rsidP="00100A24">
      <w:pPr>
        <w:jc w:val="both"/>
        <w:rPr>
          <w:u w:val="single"/>
        </w:rPr>
      </w:pPr>
      <w:r w:rsidRPr="004610AE">
        <w:rPr>
          <w:u w:val="single"/>
        </w:rPr>
        <w:t>Pour motiver, le gestionnaire doit utiliser certains leviers de mobilisation comme :</w:t>
      </w:r>
    </w:p>
    <w:p w:rsidR="00C2443A" w:rsidRDefault="00C2443A" w:rsidP="00100A24">
      <w:pPr>
        <w:pStyle w:val="ListParagraph"/>
        <w:numPr>
          <w:ilvl w:val="0"/>
          <w:numId w:val="1"/>
        </w:numPr>
        <w:jc w:val="both"/>
      </w:pPr>
      <w:r>
        <w:t>exercer son leadership</w:t>
      </w:r>
    </w:p>
    <w:p w:rsidR="00C2443A" w:rsidRDefault="00C2443A" w:rsidP="00100A24">
      <w:pPr>
        <w:pStyle w:val="ListParagraph"/>
        <w:numPr>
          <w:ilvl w:val="0"/>
          <w:numId w:val="1"/>
        </w:numPr>
        <w:jc w:val="both"/>
      </w:pPr>
      <w:r>
        <w:t>communiquer clairement sa vision et la partager</w:t>
      </w:r>
    </w:p>
    <w:p w:rsidR="00C2443A" w:rsidRDefault="00C2443A" w:rsidP="00100A24">
      <w:pPr>
        <w:pStyle w:val="ListParagraph"/>
        <w:numPr>
          <w:ilvl w:val="0"/>
          <w:numId w:val="1"/>
        </w:numPr>
        <w:jc w:val="both"/>
      </w:pPr>
      <w:r>
        <w:t>fournir les outils et les ressources nécessaires à la performance</w:t>
      </w:r>
    </w:p>
    <w:p w:rsidR="00C2443A" w:rsidRDefault="00C2443A" w:rsidP="00100A24">
      <w:pPr>
        <w:pStyle w:val="ListParagraph"/>
        <w:numPr>
          <w:ilvl w:val="0"/>
          <w:numId w:val="1"/>
        </w:numPr>
        <w:jc w:val="both"/>
      </w:pPr>
      <w:r>
        <w:t>mettre en place des mécanismes pour attirer et retenir des employés clés</w:t>
      </w:r>
    </w:p>
    <w:p w:rsidR="00C2443A" w:rsidRDefault="00C2443A" w:rsidP="00100A24">
      <w:pPr>
        <w:jc w:val="both"/>
      </w:pPr>
    </w:p>
    <w:p w:rsidR="004610AE" w:rsidRDefault="004610AE" w:rsidP="00100A24">
      <w:pPr>
        <w:pStyle w:val="Heading3"/>
        <w:jc w:val="both"/>
      </w:pPr>
      <w:r>
        <w:t xml:space="preserve">Le modèle de mobilisation selon </w:t>
      </w:r>
      <w:proofErr w:type="spellStart"/>
      <w:r>
        <w:t>Secor</w:t>
      </w:r>
      <w:proofErr w:type="spellEnd"/>
    </w:p>
    <w:p w:rsidR="004610AE" w:rsidRDefault="004610AE" w:rsidP="00100A24">
      <w:pPr>
        <w:jc w:val="both"/>
      </w:pPr>
      <w:r>
        <w:t>L’indice global de mobilisation donne une mesure du niveau global de motivation des employés ciblés dans l’entreprise. Il est mesuré selon quatre dimensions :</w:t>
      </w:r>
    </w:p>
    <w:p w:rsidR="004610AE" w:rsidRDefault="004610AE" w:rsidP="00100A24">
      <w:pPr>
        <w:pStyle w:val="ListParagraph"/>
        <w:numPr>
          <w:ilvl w:val="0"/>
          <w:numId w:val="3"/>
        </w:numPr>
        <w:jc w:val="both"/>
      </w:pPr>
      <w:r>
        <w:t>L’alignement stratégique (orientations, objectifs)</w:t>
      </w:r>
    </w:p>
    <w:p w:rsidR="004610AE" w:rsidRDefault="004610AE" w:rsidP="00100A24">
      <w:pPr>
        <w:pStyle w:val="ListParagraph"/>
        <w:numPr>
          <w:ilvl w:val="0"/>
          <w:numId w:val="3"/>
        </w:numPr>
        <w:jc w:val="both"/>
      </w:pPr>
      <w:r>
        <w:t>La vision client (engagement, compréhension du marché, relation)</w:t>
      </w:r>
    </w:p>
    <w:p w:rsidR="004610AE" w:rsidRDefault="004610AE" w:rsidP="00100A24">
      <w:pPr>
        <w:pStyle w:val="ListParagraph"/>
        <w:numPr>
          <w:ilvl w:val="0"/>
          <w:numId w:val="3"/>
        </w:numPr>
        <w:jc w:val="both"/>
      </w:pPr>
      <w:r>
        <w:t>La responsabilisation (soutien, collaboration, autonomie)</w:t>
      </w:r>
    </w:p>
    <w:p w:rsidR="004610AE" w:rsidRDefault="004610AE" w:rsidP="00100A24">
      <w:pPr>
        <w:pStyle w:val="ListParagraph"/>
        <w:numPr>
          <w:ilvl w:val="0"/>
          <w:numId w:val="3"/>
        </w:numPr>
        <w:jc w:val="both"/>
      </w:pPr>
      <w:r>
        <w:t xml:space="preserve">La considération (sentiment de valeur, confiance, </w:t>
      </w:r>
      <w:proofErr w:type="spellStart"/>
      <w:r>
        <w:t>reconnaisance</w:t>
      </w:r>
      <w:proofErr w:type="spellEnd"/>
      <w:r>
        <w:t>)</w:t>
      </w:r>
    </w:p>
    <w:p w:rsidR="002D2A17" w:rsidRDefault="002D2A17" w:rsidP="00100A24">
      <w:pPr>
        <w:jc w:val="both"/>
      </w:pPr>
    </w:p>
    <w:p w:rsidR="00100A24" w:rsidRDefault="00100A24" w:rsidP="00100A24">
      <w:pPr>
        <w:spacing w:after="160" w:line="259" w:lineRule="auto"/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2D2A17" w:rsidRDefault="002D2A17" w:rsidP="00100A24">
      <w:pPr>
        <w:pStyle w:val="Title"/>
        <w:jc w:val="both"/>
      </w:pPr>
      <w:r>
        <w:lastRenderedPageBreak/>
        <w:t>Chapitre 10</w:t>
      </w:r>
    </w:p>
    <w:p w:rsidR="002D2A17" w:rsidRDefault="002D2A17" w:rsidP="00100A24">
      <w:pPr>
        <w:pStyle w:val="Heading2"/>
        <w:jc w:val="both"/>
      </w:pPr>
      <w:r>
        <w:t>Exercer un leadership : une fonction de pouvoir et d’influence</w:t>
      </w:r>
    </w:p>
    <w:p w:rsidR="002D2A17" w:rsidRDefault="002D2A17" w:rsidP="00100A24">
      <w:pPr>
        <w:jc w:val="both"/>
      </w:pPr>
    </w:p>
    <w:p w:rsidR="002D2A17" w:rsidRDefault="00100A24" w:rsidP="00100A24">
      <w:pPr>
        <w:jc w:val="both"/>
      </w:pPr>
      <w:r>
        <w:t>Leadership, évolution par rapport à Fayol et Taylor; on passe d’une vision ou l’on donne des ordres à une vision plus ouverte et ou on exerce notre autorité d’une nouvelle manière.</w:t>
      </w:r>
    </w:p>
    <w:p w:rsidR="00100A24" w:rsidRDefault="00100A24" w:rsidP="00100A24">
      <w:pPr>
        <w:jc w:val="both"/>
      </w:pPr>
    </w:p>
    <w:p w:rsidR="00100A24" w:rsidRDefault="00100A24" w:rsidP="00100A24">
      <w:pPr>
        <w:pStyle w:val="Heading3"/>
      </w:pPr>
      <w:r>
        <w:t>Leadership</w:t>
      </w:r>
    </w:p>
    <w:p w:rsidR="00100A24" w:rsidRDefault="00100A24" w:rsidP="00100A24">
      <w:r>
        <w:t>Habilité que possède un individu à influence les opinions et les comportements d’un groupe dans le but de réaliser des objectifs communs.</w:t>
      </w:r>
    </w:p>
    <w:p w:rsidR="00100A24" w:rsidRDefault="00100A24" w:rsidP="00100A24"/>
    <w:p w:rsidR="00100A24" w:rsidRPr="00100A24" w:rsidRDefault="00100A24" w:rsidP="00100A24">
      <w:bookmarkStart w:id="0" w:name="_GoBack"/>
      <w:bookmarkEnd w:id="0"/>
    </w:p>
    <w:sectPr w:rsidR="00100A24" w:rsidRPr="00100A24" w:rsidSect="00C2443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0F13"/>
    <w:multiLevelType w:val="hybridMultilevel"/>
    <w:tmpl w:val="6AA23A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2141E"/>
    <w:multiLevelType w:val="hybridMultilevel"/>
    <w:tmpl w:val="F3D25164"/>
    <w:lvl w:ilvl="0" w:tplc="0D9A2D2A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E4FDB"/>
    <w:multiLevelType w:val="hybridMultilevel"/>
    <w:tmpl w:val="519E77D2"/>
    <w:lvl w:ilvl="0" w:tplc="CE24B8E8">
      <w:start w:val="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53328"/>
    <w:multiLevelType w:val="hybridMultilevel"/>
    <w:tmpl w:val="09A6A0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65"/>
    <w:rsid w:val="00100A24"/>
    <w:rsid w:val="00164C65"/>
    <w:rsid w:val="002B19CB"/>
    <w:rsid w:val="002D2A17"/>
    <w:rsid w:val="003401CA"/>
    <w:rsid w:val="004610AE"/>
    <w:rsid w:val="00541212"/>
    <w:rsid w:val="005C4B10"/>
    <w:rsid w:val="009E03CB"/>
    <w:rsid w:val="00A74F81"/>
    <w:rsid w:val="00BE5A84"/>
    <w:rsid w:val="00C2443A"/>
    <w:rsid w:val="00D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60A60-7D8B-4FA4-A180-B9B8BB38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CB"/>
    <w:pPr>
      <w:spacing w:after="0" w:line="240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C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C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C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9CB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19CB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CB"/>
    <w:rPr>
      <w:rFonts w:ascii="Segoe UI" w:eastAsiaTheme="majorEastAsia" w:hAnsi="Segoe U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CB"/>
    <w:rPr>
      <w:rFonts w:ascii="Segoe UI" w:eastAsiaTheme="majorEastAsia" w:hAnsi="Segoe U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CB"/>
    <w:rPr>
      <w:rFonts w:ascii="Segoe UI" w:eastAsiaTheme="majorEastAsia" w:hAnsi="Segoe U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19CB"/>
    <w:rPr>
      <w:rFonts w:ascii="Segoe UI" w:eastAsiaTheme="majorEastAsia" w:hAnsi="Segoe U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19CB"/>
    <w:rPr>
      <w:rFonts w:ascii="Segoe UI" w:eastAsiaTheme="majorEastAsia" w:hAnsi="Segoe U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B19C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CB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607D-5C10-4E10-BF1F-70884493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C-G</dc:creator>
  <cp:keywords/>
  <dc:description/>
  <cp:lastModifiedBy>Thomas C-G</cp:lastModifiedBy>
  <cp:revision>6</cp:revision>
  <dcterms:created xsi:type="dcterms:W3CDTF">2014-11-24T14:58:00Z</dcterms:created>
  <dcterms:modified xsi:type="dcterms:W3CDTF">2014-11-24T15:48:00Z</dcterms:modified>
</cp:coreProperties>
</file>