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71441" w14:textId="77777777" w:rsidR="00396365" w:rsidRDefault="00000000">
      <w:pPr>
        <w:pStyle w:val="Subttulo"/>
      </w:pPr>
      <w:r>
        <w:t>LABORATORIO DE HERRAMIENTAS DIGITALES</w:t>
      </w:r>
    </w:p>
    <w:p w14:paraId="16A0EB6A" w14:textId="77777777" w:rsidR="00396365" w:rsidRDefault="00000000">
      <w:pPr>
        <w:pStyle w:val="Ttulo"/>
      </w:pPr>
      <w:r>
        <w:t>HD-01. Simulación de respuestas a formularios</w:t>
      </w:r>
    </w:p>
    <w:p w14:paraId="36740744" w14:textId="77777777" w:rsidR="00396365" w:rsidRDefault="00000000">
      <w:r>
        <w:t>Parte A del taller San Gabriel | Guía práctica de trabajo autónomo</w:t>
      </w:r>
    </w:p>
    <w:p w14:paraId="1C4799AA" w14:textId="77777777" w:rsidR="00396365" w:rsidRDefault="00000000">
      <w:r>
        <w:rPr>
          <w:b/>
        </w:rPr>
        <w:t>Propósito.</w:t>
      </w:r>
      <w:r>
        <w:t xml:space="preserve"> Generar una base de respuestas sintéticas a partir del formulario aprobado en Google Forms o Microsoft Forms, respetando el diseño adoptado en SG-04. La información simulada servirá posteriormente para elaborar un primer informe descriptivo (HD-02).</w:t>
      </w:r>
    </w:p>
    <w:p w14:paraId="01DEE00F" w14:textId="77777777" w:rsidR="00396365" w:rsidRDefault="00000000">
      <w:pPr>
        <w:pStyle w:val="Ttulo1"/>
      </w:pPr>
      <w:r>
        <w:t>1. Insumos y resultado</w:t>
      </w:r>
    </w:p>
    <w:p w14:paraId="5E4655FF" w14:textId="77777777" w:rsidR="00396365" w:rsidRDefault="00000000">
      <w:r>
        <w:t>Tengan disponibles el formulario aprobado, la hoja exportada con las respuestas iniciales, SG-04 (informe técnico de muestreo), las dos fuentes y al menos un conjunto de datos complementario identificados previamente.</w:t>
      </w:r>
    </w:p>
    <w:p w14:paraId="4B5DFA78" w14:textId="77777777" w:rsidR="00396365" w:rsidRDefault="00000000">
      <w:r>
        <w:t>El resultado será un archivo XLSX o CSV con exactamente 479 registros sintéticos válidos. Las respuestas originales de compañeros pueden utilizarse para reconocer la estructura del formulario, pero no forman parte de esos 479 casos.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1984"/>
        <w:gridCol w:w="2268"/>
      </w:tblGrid>
      <w:tr w:rsidR="00396365" w14:paraId="6057ABD4" w14:textId="77777777" w:rsidTr="003538E7">
        <w:trPr>
          <w:jc w:val="center"/>
        </w:trPr>
        <w:tc>
          <w:tcPr>
            <w:tcW w:w="2131" w:type="dxa"/>
            <w:shd w:val="clear" w:color="auto" w:fill="E6EDF0"/>
          </w:tcPr>
          <w:p w14:paraId="6F5EAE79" w14:textId="77777777" w:rsidR="00396365" w:rsidRDefault="00000000" w:rsidP="003538E7">
            <w:pPr>
              <w:spacing w:after="0"/>
            </w:pPr>
            <w:r>
              <w:rPr>
                <w:b/>
                <w:sz w:val="18"/>
              </w:rPr>
              <w:t>Dominio territorial</w:t>
            </w:r>
          </w:p>
        </w:tc>
        <w:tc>
          <w:tcPr>
            <w:tcW w:w="1984" w:type="dxa"/>
            <w:shd w:val="clear" w:color="auto" w:fill="E6EDF0"/>
          </w:tcPr>
          <w:p w14:paraId="1E5852D8" w14:textId="77777777" w:rsidR="00396365" w:rsidRDefault="00000000" w:rsidP="003538E7">
            <w:pPr>
              <w:spacing w:after="0"/>
            </w:pPr>
            <w:proofErr w:type="spellStart"/>
            <w:r>
              <w:rPr>
                <w:b/>
                <w:sz w:val="18"/>
              </w:rPr>
              <w:t>Registros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sintéticos</w:t>
            </w:r>
            <w:proofErr w:type="spellEnd"/>
          </w:p>
        </w:tc>
        <w:tc>
          <w:tcPr>
            <w:tcW w:w="2268" w:type="dxa"/>
            <w:shd w:val="clear" w:color="auto" w:fill="E6EDF0"/>
          </w:tcPr>
          <w:p w14:paraId="3D6ED7C0" w14:textId="77777777" w:rsidR="00396365" w:rsidRDefault="00000000" w:rsidP="003538E7">
            <w:pPr>
              <w:spacing w:after="0"/>
            </w:pPr>
            <w:r>
              <w:rPr>
                <w:b/>
                <w:sz w:val="18"/>
              </w:rPr>
              <w:t xml:space="preserve">Población de </w:t>
            </w:r>
            <w:proofErr w:type="spellStart"/>
            <w:r>
              <w:rPr>
                <w:b/>
                <w:sz w:val="18"/>
              </w:rPr>
              <w:t>referencia</w:t>
            </w:r>
            <w:proofErr w:type="spellEnd"/>
          </w:p>
        </w:tc>
      </w:tr>
      <w:tr w:rsidR="00396365" w14:paraId="40A0A949" w14:textId="77777777" w:rsidTr="003538E7">
        <w:trPr>
          <w:jc w:val="center"/>
        </w:trPr>
        <w:tc>
          <w:tcPr>
            <w:tcW w:w="2131" w:type="dxa"/>
          </w:tcPr>
          <w:p w14:paraId="1E67BE02" w14:textId="77777777" w:rsidR="00396365" w:rsidRDefault="00000000" w:rsidP="003538E7">
            <w:pPr>
              <w:spacing w:after="0"/>
            </w:pPr>
            <w:r>
              <w:rPr>
                <w:sz w:val="18"/>
              </w:rPr>
              <w:t xml:space="preserve">Urbana </w:t>
            </w:r>
            <w:proofErr w:type="spellStart"/>
            <w:r>
              <w:rPr>
                <w:sz w:val="18"/>
              </w:rPr>
              <w:t>consolidada</w:t>
            </w:r>
            <w:proofErr w:type="spellEnd"/>
          </w:p>
        </w:tc>
        <w:tc>
          <w:tcPr>
            <w:tcW w:w="1984" w:type="dxa"/>
          </w:tcPr>
          <w:p w14:paraId="0CF10BFA" w14:textId="613F6433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w="2268" w:type="dxa"/>
          </w:tcPr>
          <w:p w14:paraId="1665209B" w14:textId="196F7A8E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5.765</w:t>
            </w:r>
          </w:p>
        </w:tc>
      </w:tr>
      <w:tr w:rsidR="00396365" w14:paraId="60216C55" w14:textId="77777777" w:rsidTr="003538E7">
        <w:trPr>
          <w:jc w:val="center"/>
        </w:trPr>
        <w:tc>
          <w:tcPr>
            <w:tcW w:w="2131" w:type="dxa"/>
          </w:tcPr>
          <w:p w14:paraId="2B7C5A80" w14:textId="77777777" w:rsidR="00396365" w:rsidRDefault="00000000" w:rsidP="003538E7">
            <w:pPr>
              <w:spacing w:after="0"/>
            </w:pPr>
            <w:r>
              <w:rPr>
                <w:sz w:val="18"/>
              </w:rPr>
              <w:t xml:space="preserve">Urbana </w:t>
            </w:r>
            <w:proofErr w:type="spellStart"/>
            <w:r>
              <w:rPr>
                <w:sz w:val="18"/>
              </w:rPr>
              <w:t>periférica</w:t>
            </w:r>
            <w:proofErr w:type="spellEnd"/>
          </w:p>
        </w:tc>
        <w:tc>
          <w:tcPr>
            <w:tcW w:w="1984" w:type="dxa"/>
          </w:tcPr>
          <w:p w14:paraId="5CA8ADE6" w14:textId="192006AB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w="2268" w:type="dxa"/>
          </w:tcPr>
          <w:p w14:paraId="4E2442BF" w14:textId="5D0918D3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2.013</w:t>
            </w:r>
          </w:p>
        </w:tc>
      </w:tr>
      <w:tr w:rsidR="00396365" w14:paraId="21F44598" w14:textId="77777777" w:rsidTr="003538E7">
        <w:trPr>
          <w:jc w:val="center"/>
        </w:trPr>
        <w:tc>
          <w:tcPr>
            <w:tcW w:w="2131" w:type="dxa"/>
          </w:tcPr>
          <w:p w14:paraId="24598F52" w14:textId="77777777" w:rsidR="00396365" w:rsidRDefault="00000000" w:rsidP="003538E7">
            <w:pPr>
              <w:spacing w:after="0"/>
            </w:pPr>
            <w:r>
              <w:rPr>
                <w:sz w:val="18"/>
              </w:rPr>
              <w:t xml:space="preserve">Centros </w:t>
            </w:r>
            <w:proofErr w:type="spellStart"/>
            <w:r>
              <w:rPr>
                <w:sz w:val="18"/>
              </w:rPr>
              <w:t>poblados</w:t>
            </w:r>
            <w:proofErr w:type="spellEnd"/>
            <w:r>
              <w:rPr>
                <w:sz w:val="18"/>
              </w:rPr>
              <w:t xml:space="preserve"> y rural</w:t>
            </w:r>
          </w:p>
        </w:tc>
        <w:tc>
          <w:tcPr>
            <w:tcW w:w="1984" w:type="dxa"/>
          </w:tcPr>
          <w:p w14:paraId="1ADC0C24" w14:textId="0794CCF0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2268" w:type="dxa"/>
          </w:tcPr>
          <w:p w14:paraId="06CA8245" w14:textId="085C5498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1.372</w:t>
            </w:r>
          </w:p>
        </w:tc>
      </w:tr>
      <w:tr w:rsidR="00396365" w14:paraId="1A9108B3" w14:textId="77777777" w:rsidTr="003538E7">
        <w:trPr>
          <w:jc w:val="center"/>
        </w:trPr>
        <w:tc>
          <w:tcPr>
            <w:tcW w:w="2131" w:type="dxa"/>
          </w:tcPr>
          <w:p w14:paraId="0E548335" w14:textId="77777777" w:rsidR="00396365" w:rsidRDefault="00000000" w:rsidP="003538E7"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w="1984" w:type="dxa"/>
          </w:tcPr>
          <w:p w14:paraId="5B3A36EF" w14:textId="4DDE4279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479</w:t>
            </w:r>
          </w:p>
        </w:tc>
        <w:tc>
          <w:tcPr>
            <w:tcW w:w="2268" w:type="dxa"/>
          </w:tcPr>
          <w:p w14:paraId="635A4EE1" w14:textId="3D8E3CE6" w:rsidR="00396365" w:rsidRDefault="003538E7" w:rsidP="003538E7">
            <w:pPr>
              <w:spacing w:after="0"/>
              <w:jc w:val="center"/>
            </w:pPr>
            <w:r>
              <w:rPr>
                <w:sz w:val="18"/>
              </w:rPr>
              <w:t>9.150</w:t>
            </w:r>
          </w:p>
        </w:tc>
      </w:tr>
    </w:tbl>
    <w:p w14:paraId="303A5213" w14:textId="77777777" w:rsidR="00396365" w:rsidRDefault="00000000">
      <w:pPr>
        <w:pStyle w:val="Ttulo1"/>
      </w:pPr>
      <w:r>
        <w:t>2. Preparación común (cualquiera sea la herramienta)</w:t>
      </w:r>
    </w:p>
    <w:p w14:paraId="486B6F41" w14:textId="77777777" w:rsidR="00396365" w:rsidRDefault="00000000">
      <w:pPr>
        <w:ind w:left="198" w:hanging="198"/>
      </w:pPr>
      <w:r>
        <w:rPr>
          <w:b/>
        </w:rPr>
        <w:t xml:space="preserve">1. </w:t>
      </w:r>
      <w:r>
        <w:t>Exporten la hoja de respuestas de Forms en XLSX o CSV y conserven una copia original sin modificaciones. Trabajen con un duplicado.</w:t>
      </w:r>
    </w:p>
    <w:p w14:paraId="5C97EDF9" w14:textId="77777777" w:rsidR="00396365" w:rsidRDefault="00000000">
      <w:pPr>
        <w:ind w:left="198" w:hanging="198"/>
      </w:pPr>
      <w:r>
        <w:rPr>
          <w:b/>
        </w:rPr>
        <w:t xml:space="preserve">2. </w:t>
      </w:r>
      <w:r>
        <w:t>En la copia, identifiquen y eliminen las respuestas de prueba del profesor. No las utilicen para definir patrones de generación.</w:t>
      </w:r>
    </w:p>
    <w:p w14:paraId="4B914FBC" w14:textId="77777777" w:rsidR="00396365" w:rsidRDefault="00000000">
      <w:pPr>
        <w:ind w:left="198" w:hanging="198"/>
      </w:pPr>
      <w:r>
        <w:rPr>
          <w:b/>
        </w:rPr>
        <w:t xml:space="preserve">3. </w:t>
      </w:r>
      <w:r>
        <w:t>Revisen encabezados, opciones, escalas, preguntas abiertas, obligatoriedad, selección múltiple y ramificaciones. La base sintética debe conservar la estructura del instrumento; si una pregunta de selección múltiple requiere varias columnas, respeten cómo la exporta su formulario.</w:t>
      </w:r>
    </w:p>
    <w:p w14:paraId="20ACB6D1" w14:textId="77777777" w:rsidR="00396365" w:rsidRDefault="00000000">
      <w:pPr>
        <w:ind w:left="198" w:hanging="198"/>
      </w:pPr>
      <w:r>
        <w:rPr>
          <w:b/>
        </w:rPr>
        <w:t xml:space="preserve">4. </w:t>
      </w:r>
      <w:r>
        <w:t>Utilicen las respuestas de compañeros únicamente como referencia para entender el archivo y observar posibilidades de respuesta. No incluyan nombres, correos u otros datos personales reales. No repliquen mecánicamente esos registros ni los multipliquen mediante pequeñas variaciones.</w:t>
      </w:r>
    </w:p>
    <w:p w14:paraId="1CEE2966" w14:textId="77777777" w:rsidR="00396365" w:rsidRDefault="00000000">
      <w:pPr>
        <w:ind w:left="198" w:hanging="198"/>
      </w:pPr>
      <w:r>
        <w:rPr>
          <w:b/>
        </w:rPr>
        <w:t xml:space="preserve">5. </w:t>
      </w:r>
      <w:r>
        <w:t>Establezcan reglas plausibles de generación con apoyo de las fuentes complementarias: categorías permitidas, edades elegibles, diferencias territoriales justificables, relaciones entre preguntas, datos faltantes admisibles y respuestas poco frecuentes. Eviten crear resultados destinados a confirmar la intervención deseada.</w:t>
      </w:r>
    </w:p>
    <w:p w14:paraId="77B6EDBE" w14:textId="77777777" w:rsidR="00396365" w:rsidRDefault="00000000">
      <w:r>
        <w:t>Cada fila sintética representará a una persona ficticia distinta de 18 a 28 años. Añadan un identificador artificial y una columna de dominio territorial. Los saltos del formulario deben respetarse: una pregunta que no aplica a un caso no se responde arbitrariamente.</w:t>
      </w:r>
    </w:p>
    <w:p w14:paraId="3FCB7B00" w14:textId="77777777" w:rsidR="00396365" w:rsidRDefault="00000000">
      <w:pPr>
        <w:pStyle w:val="Ttulo1"/>
      </w:pPr>
      <w:r>
        <w:lastRenderedPageBreak/>
        <w:t>3. Ruta A. Simulación con apoyo de inteligencia artificial</w:t>
      </w:r>
    </w:p>
    <w:p w14:paraId="7C3A74E8" w14:textId="77777777" w:rsidR="00396365" w:rsidRDefault="00000000">
      <w:r>
        <w:t>Pueden utilizar la plataforma de IA a la que tengan acceso, siempre que permita trabajar con la estructura del formulario y obtener una salida tabular descargable o copiable.</w:t>
      </w:r>
    </w:p>
    <w:p w14:paraId="69A3D42D" w14:textId="77777777" w:rsidR="00396365" w:rsidRDefault="00000000">
      <w:pPr>
        <w:ind w:left="198" w:hanging="198"/>
      </w:pPr>
      <w:r>
        <w:rPr>
          <w:b/>
        </w:rPr>
        <w:t xml:space="preserve">1. </w:t>
      </w:r>
      <w:r>
        <w:t>Compartan una copia sin datos personales de la estructura del archivo: nombres de columnas, opciones válidas, obligatoriedad y reglas de ramificación. Aporten además el escenario 3 de SG-04 y los supuestos de simulación respaldados por sus fuentes.</w:t>
      </w:r>
    </w:p>
    <w:p w14:paraId="4D0FB1C4" w14:textId="77777777" w:rsidR="00396365" w:rsidRDefault="00000000">
      <w:pPr>
        <w:ind w:left="198" w:hanging="198"/>
      </w:pPr>
      <w:r>
        <w:rPr>
          <w:b/>
        </w:rPr>
        <w:t xml:space="preserve">2. </w:t>
      </w:r>
      <w:r>
        <w:t>Definan con la herramienta la tarea: producir registros ficticios nuevos, mantener exactamente el formato del instrumento, conservar coherencia entre respuestas y completar por separado los cupos territoriales de 256, 113 y 110 casos.</w:t>
      </w:r>
    </w:p>
    <w:p w14:paraId="6E2389DC" w14:textId="77777777" w:rsidR="00396365" w:rsidRDefault="00000000">
      <w:pPr>
        <w:ind w:left="198" w:hanging="198"/>
      </w:pPr>
      <w:r>
        <w:rPr>
          <w:b/>
        </w:rPr>
        <w:t xml:space="preserve">3. </w:t>
      </w:r>
      <w:r>
        <w:t>Soliciten un lote piloto pequeño. Verifiquen si cada columna tiene un valor válido, si las edades y territorios son coherentes y si funcionan los saltos y las preguntas abiertas.</w:t>
      </w:r>
    </w:p>
    <w:p w14:paraId="646CBF12" w14:textId="77777777" w:rsidR="00396365" w:rsidRDefault="00000000">
      <w:pPr>
        <w:ind w:left="198" w:hanging="198"/>
      </w:pPr>
      <w:r>
        <w:rPr>
          <w:b/>
        </w:rPr>
        <w:t xml:space="preserve">4. </w:t>
      </w:r>
      <w:r>
        <w:t>Si detectan fallos, indiquen cuáles fueron y ajusten las instrucciones. Solo después soliciten los lotes restantes por dominio y en cantidades manejables. Si la herramienta no puede producir un XLSX, soliciten CSV o una tabla exportable.</w:t>
      </w:r>
    </w:p>
    <w:p w14:paraId="3AEB0303" w14:textId="77777777" w:rsidR="00396365" w:rsidRDefault="00000000">
      <w:pPr>
        <w:ind w:left="198" w:hanging="198"/>
      </w:pPr>
      <w:r>
        <w:rPr>
          <w:b/>
        </w:rPr>
        <w:t xml:space="preserve">5. </w:t>
      </w:r>
      <w:r>
        <w:t>Unifiquen los lotes en una hoja de cálculo, sin añadir a la muestra las respuestas reales iniciales. Comprueben que no se repiten bloques enteros de respuestas ni aparecen secuencias artificialmente idénticas.</w:t>
      </w:r>
    </w:p>
    <w:p w14:paraId="64DF4C06" w14:textId="77777777" w:rsidR="00396365" w:rsidRDefault="00000000">
      <w:pPr>
        <w:ind w:left="198" w:hanging="198"/>
      </w:pPr>
      <w:r>
        <w:rPr>
          <w:b/>
        </w:rPr>
        <w:t xml:space="preserve">6. </w:t>
      </w:r>
      <w:r>
        <w:t>Contrasten los totales y las reglas del instrumento. Regeneren los lotes deficientes y conserven una síntesis de las instrucciones, supuestos y ajustes que permitieron obtener la versión aceptada.</w:t>
      </w:r>
    </w:p>
    <w:p w14:paraId="65747C63" w14:textId="77777777" w:rsidR="00396365" w:rsidRDefault="00000000">
      <w:pPr>
        <w:pStyle w:val="Ttulo1"/>
      </w:pPr>
      <w:r>
        <w:t>4. Ruta B. Simulación mediante Python</w:t>
      </w:r>
    </w:p>
    <w:p w14:paraId="40D4C59F" w14:textId="77777777" w:rsidR="00396365" w:rsidRDefault="00000000">
      <w:pPr>
        <w:ind w:left="198" w:hanging="198"/>
      </w:pPr>
      <w:r>
        <w:rPr>
          <w:b/>
        </w:rPr>
        <w:t xml:space="preserve">1. </w:t>
      </w:r>
      <w:r>
        <w:t>Importen la copia exportada y revisen su estructura: nombres de columnas, formatos, categorías, respuestas múltiples y saltos condicionados.</w:t>
      </w:r>
    </w:p>
    <w:p w14:paraId="3DAE2E91" w14:textId="77777777" w:rsidR="00396365" w:rsidRDefault="00000000">
      <w:pPr>
        <w:ind w:left="198" w:hanging="198"/>
      </w:pPr>
      <w:r>
        <w:rPr>
          <w:b/>
        </w:rPr>
        <w:t xml:space="preserve">2. </w:t>
      </w:r>
      <w:r>
        <w:t>Excluyan las pruebas del profesor y separen las respuestas originales de cualquier registro sintético. Establezcan identificadores artificiales y la variable de dominio territorial.</w:t>
      </w:r>
    </w:p>
    <w:p w14:paraId="5E3D474B" w14:textId="77777777" w:rsidR="00396365" w:rsidRDefault="00000000">
      <w:pPr>
        <w:ind w:left="198" w:hanging="198"/>
      </w:pPr>
      <w:r>
        <w:rPr>
          <w:b/>
        </w:rPr>
        <w:t xml:space="preserve">3. </w:t>
      </w:r>
      <w:r>
        <w:t>Definan las reglas de generación para cada pregunta y las relaciones entre respuestas, con supuestos documentados a partir de las fuentes disponibles. Cuando sea pertinente, establezcan distribuciones diferenciadas por dominio.</w:t>
      </w:r>
    </w:p>
    <w:p w14:paraId="6FE4E12F" w14:textId="77777777" w:rsidR="00396365" w:rsidRDefault="00000000">
      <w:pPr>
        <w:ind w:left="198" w:hanging="198"/>
      </w:pPr>
      <w:r>
        <w:rPr>
          <w:b/>
        </w:rPr>
        <w:t xml:space="preserve">4. </w:t>
      </w:r>
      <w:r>
        <w:t>Generen primero un lote de prueba y contrasten categorías, edades, faltantes y preguntas condicionadas. Ajusten las reglas si aparecen combinaciones inválidas.</w:t>
      </w:r>
    </w:p>
    <w:p w14:paraId="3A9FB937" w14:textId="77777777" w:rsidR="00396365" w:rsidRDefault="00000000">
      <w:pPr>
        <w:ind w:left="198" w:hanging="198"/>
      </w:pPr>
      <w:r>
        <w:rPr>
          <w:b/>
        </w:rPr>
        <w:t xml:space="preserve">5. </w:t>
      </w:r>
      <w:r>
        <w:t>Generen los registros restantes hasta completar 256, 113 y 110 casos válidos por dominio. Revisen que la aleatoriedad no produzca duplicaciones excesivas, patrones mecánicos ni relaciones perfectas injustificadas.</w:t>
      </w:r>
    </w:p>
    <w:p w14:paraId="1C915776" w14:textId="77777777" w:rsidR="00396365" w:rsidRDefault="00000000">
      <w:pPr>
        <w:ind w:left="198" w:hanging="198"/>
      </w:pPr>
      <w:r>
        <w:rPr>
          <w:b/>
        </w:rPr>
        <w:t xml:space="preserve">6. </w:t>
      </w:r>
      <w:r>
        <w:t>Consoliden únicamente los 479 registros sintéticos, ejecuten las verificaciones de calidad y exporten en XLSX o CSV. Conserven el cuaderno o archivo de trabajo y una descripción de las reglas utilizadas.</w:t>
      </w:r>
    </w:p>
    <w:p w14:paraId="0ED5139A" w14:textId="77777777" w:rsidR="00396365" w:rsidRDefault="00000000">
      <w:pPr>
        <w:pStyle w:val="Ttulo1"/>
      </w:pPr>
      <w:r>
        <w:t>5. Verificación de la base final</w:t>
      </w:r>
    </w:p>
    <w:p w14:paraId="1F5DA43C" w14:textId="77777777" w:rsidR="00396365" w:rsidRDefault="00000000">
      <w:r>
        <w:t>Antes de pasar a HD-02, revisen lo siguiente:</w:t>
      </w:r>
    </w:p>
    <w:p w14:paraId="6672487E" w14:textId="70ABEACE" w:rsidR="00396365" w:rsidRDefault="00000000" w:rsidP="003538E7">
      <w:pPr>
        <w:pStyle w:val="Prrafodelista"/>
        <w:numPr>
          <w:ilvl w:val="0"/>
          <w:numId w:val="11"/>
        </w:numPr>
      </w:pPr>
      <w:r>
        <w:t xml:space="preserve">Hay 479 </w:t>
      </w:r>
      <w:proofErr w:type="spellStart"/>
      <w:r>
        <w:t>filas</w:t>
      </w:r>
      <w:proofErr w:type="spellEnd"/>
      <w:r>
        <w:t xml:space="preserve"> de respuestas sintéticas, sin contar los encabezados.</w:t>
      </w:r>
    </w:p>
    <w:p w14:paraId="4953FA8A" w14:textId="7453DFB5" w:rsidR="00396365" w:rsidRDefault="00000000" w:rsidP="003538E7">
      <w:pPr>
        <w:pStyle w:val="Prrafodelista"/>
        <w:numPr>
          <w:ilvl w:val="0"/>
          <w:numId w:val="11"/>
        </w:numPr>
      </w:pPr>
      <w:r>
        <w:lastRenderedPageBreak/>
        <w:t xml:space="preserve">La </w:t>
      </w:r>
      <w:proofErr w:type="spellStart"/>
      <w:r>
        <w:t>distribución</w:t>
      </w:r>
      <w:proofErr w:type="spellEnd"/>
      <w:r>
        <w:t xml:space="preserve"> territorial es 256 / 113 / 110 y cada caso tiene un identificador artificial.</w:t>
      </w:r>
    </w:p>
    <w:p w14:paraId="35BF6822" w14:textId="0D5ADF85" w:rsidR="00396365" w:rsidRDefault="00000000" w:rsidP="003538E7">
      <w:pPr>
        <w:pStyle w:val="Prrafodelista"/>
        <w:numPr>
          <w:ilvl w:val="0"/>
          <w:numId w:val="11"/>
        </w:numPr>
      </w:pPr>
      <w:r>
        <w:t xml:space="preserve">Las columnas,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escalas</w:t>
      </w:r>
      <w:proofErr w:type="spellEnd"/>
      <w:r>
        <w:t xml:space="preserve"> y ramificaciones corresponden al formulario aprobado.</w:t>
      </w:r>
    </w:p>
    <w:p w14:paraId="0B0ABEB1" w14:textId="4194752B" w:rsidR="00396365" w:rsidRDefault="00000000" w:rsidP="003538E7">
      <w:pPr>
        <w:pStyle w:val="Prrafodelista"/>
        <w:numPr>
          <w:ilvl w:val="0"/>
          <w:numId w:val="11"/>
        </w:numPr>
      </w:pPr>
      <w:r>
        <w:t xml:space="preserve">No se </w:t>
      </w:r>
      <w:proofErr w:type="spellStart"/>
      <w:r>
        <w:t>incluyeron</w:t>
      </w:r>
      <w:proofErr w:type="spellEnd"/>
      <w:r>
        <w:t xml:space="preserve"> las respuestas del profesor ni las de compañeros dentro de la muestra sintética.</w:t>
      </w:r>
    </w:p>
    <w:p w14:paraId="364233B7" w14:textId="31CED58E" w:rsidR="00396365" w:rsidRDefault="00000000" w:rsidP="003538E7">
      <w:pPr>
        <w:pStyle w:val="Prrafodelista"/>
        <w:numPr>
          <w:ilvl w:val="0"/>
          <w:numId w:val="11"/>
        </w:numPr>
      </w:pPr>
      <w:r>
        <w:t xml:space="preserve">No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o correos reales, ni duplicaciones masivas de respuestas iniciales.</w:t>
      </w:r>
    </w:p>
    <w:p w14:paraId="24C6BBCA" w14:textId="422354DB" w:rsidR="00396365" w:rsidRDefault="00000000" w:rsidP="003538E7">
      <w:pPr>
        <w:pStyle w:val="Prrafodelista"/>
        <w:numPr>
          <w:ilvl w:val="0"/>
          <w:numId w:val="11"/>
        </w:numPr>
      </w:pPr>
      <w:r>
        <w:t xml:space="preserve">La </w:t>
      </w:r>
      <w:proofErr w:type="spellStart"/>
      <w:r>
        <w:t>diversidad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y las relaciones entre variables son plausibles y los supuestos se pueden explicar.</w:t>
      </w:r>
    </w:p>
    <w:p w14:paraId="771EF2B8" w14:textId="77777777" w:rsidR="00396365" w:rsidRDefault="00000000">
      <w:r>
        <w:t>Conserven la base final y el registro breve de reglas de generación. Continúen con HD-02 para construir las tablas, los gráficos y el informe descriptivo.</w:t>
      </w:r>
    </w:p>
    <w:sectPr w:rsidR="00396365" w:rsidSect="00034616">
      <w:footerReference w:type="default" r:id="rId8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A26C95" w14:textId="77777777" w:rsidR="00D91767" w:rsidRDefault="00D91767">
      <w:pPr>
        <w:spacing w:after="0" w:line="240" w:lineRule="auto"/>
      </w:pPr>
      <w:r>
        <w:separator/>
      </w:r>
    </w:p>
  </w:endnote>
  <w:endnote w:type="continuationSeparator" w:id="0">
    <w:p w14:paraId="5E82FC71" w14:textId="77777777" w:rsidR="00D91767" w:rsidRDefault="00D91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9CF4D7" w14:textId="77777777" w:rsidR="00396365" w:rsidRDefault="00000000">
    <w:pPr>
      <w:pStyle w:val="Piedepgina"/>
      <w:jc w:val="right"/>
    </w:pPr>
    <w:r>
      <w:rPr>
        <w:color w:val="5D6E74"/>
        <w:sz w:val="16"/>
      </w:rPr>
      <w:t xml:space="preserve">HERRAMIENTAS </w:t>
    </w:r>
    <w:proofErr w:type="gramStart"/>
    <w:r>
      <w:rPr>
        <w:color w:val="5D6E74"/>
        <w:sz w:val="16"/>
      </w:rPr>
      <w:t>DIGITALES  |</w:t>
    </w:r>
    <w:proofErr w:type="gramEnd"/>
    <w:r>
      <w:rPr>
        <w:color w:val="5D6E74"/>
        <w:sz w:val="16"/>
      </w:rPr>
      <w:t xml:space="preserve">  HD-</w:t>
    </w:r>
    <w:proofErr w:type="gramStart"/>
    <w:r>
      <w:rPr>
        <w:color w:val="5D6E74"/>
        <w:sz w:val="16"/>
      </w:rPr>
      <w:t>01  |</w:t>
    </w:r>
    <w:proofErr w:type="gramEnd"/>
    <w:r>
      <w:rPr>
        <w:color w:val="5D6E74"/>
        <w:sz w:val="16"/>
      </w:rPr>
      <w:t xml:space="preserve">  SAN GABRIEL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FF087F" w14:textId="77777777" w:rsidR="00D91767" w:rsidRDefault="00D91767">
      <w:pPr>
        <w:spacing w:after="0" w:line="240" w:lineRule="auto"/>
      </w:pPr>
      <w:r>
        <w:separator/>
      </w:r>
    </w:p>
  </w:footnote>
  <w:footnote w:type="continuationSeparator" w:id="0">
    <w:p w14:paraId="2D9670D7" w14:textId="77777777" w:rsidR="00D91767" w:rsidRDefault="00D91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2341"/>
    <w:multiLevelType w:val="hybridMultilevel"/>
    <w:tmpl w:val="34B6B0B0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593E7066"/>
    <w:multiLevelType w:val="hybridMultilevel"/>
    <w:tmpl w:val="99DE6B2A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28879976">
    <w:abstractNumId w:val="8"/>
  </w:num>
  <w:num w:numId="2" w16cid:durableId="467280307">
    <w:abstractNumId w:val="6"/>
  </w:num>
  <w:num w:numId="3" w16cid:durableId="2038696768">
    <w:abstractNumId w:val="5"/>
  </w:num>
  <w:num w:numId="4" w16cid:durableId="1762330872">
    <w:abstractNumId w:val="4"/>
  </w:num>
  <w:num w:numId="5" w16cid:durableId="969432386">
    <w:abstractNumId w:val="7"/>
  </w:num>
  <w:num w:numId="6" w16cid:durableId="522011567">
    <w:abstractNumId w:val="3"/>
  </w:num>
  <w:num w:numId="7" w16cid:durableId="498228517">
    <w:abstractNumId w:val="2"/>
  </w:num>
  <w:num w:numId="8" w16cid:durableId="77099290">
    <w:abstractNumId w:val="1"/>
  </w:num>
  <w:num w:numId="9" w16cid:durableId="1336491015">
    <w:abstractNumId w:val="0"/>
  </w:num>
  <w:num w:numId="10" w16cid:durableId="1853105436">
    <w:abstractNumId w:val="10"/>
  </w:num>
  <w:num w:numId="11" w16cid:durableId="76750092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8E7"/>
    <w:rsid w:val="00396365"/>
    <w:rsid w:val="005B2776"/>
    <w:rsid w:val="00AA1D8D"/>
    <w:rsid w:val="00B47730"/>
    <w:rsid w:val="00CB0664"/>
    <w:rsid w:val="00D91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8CC1DE"/>
  <w14:defaultImageDpi w14:val="300"/>
  <w15:docId w15:val="{7F6C0EB8-6FAE-E74A-B95C-2BFDD062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2D3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6404E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6404E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6404E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935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Revisión</cp:lastModifiedBy>
  <cp:revision>2</cp:revision>
  <dcterms:created xsi:type="dcterms:W3CDTF">2013-12-23T23:15:00Z</dcterms:created>
  <dcterms:modified xsi:type="dcterms:W3CDTF">2026-10-01T21:22:00Z</dcterms:modified>
  <cp:category/>
</cp:coreProperties>
</file>